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项目地点"/>
            <w:r>
              <w:t>石家庄</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华北理工大学</w:t>
            </w:r>
            <w:bookmarkEnd w:id="3"/>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r>
              <w:t>华北理工大学</w:t>
            </w:r>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szCs w:val="21"/>
                <w:lang w:val="en-US" w:eastAsia="zh-CN"/>
              </w:rPr>
            </w:pPr>
            <w:bookmarkStart w:id="190" w:name="_GoBack"/>
            <w:bookmarkEnd w:id="19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2023年12月26日</w:t>
            </w:r>
            <w:bookmarkEnd w:id="4"/>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5" w:name="二维码"/>
      <w:bookmarkEnd w:id="5"/>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"_Toc154519408"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_Toc154519408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"_Toc154519409"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_Toc154519409 \h </w:instrText>
      </w:r>
      <w:r>
        <w:fldChar w:fldCharType="separate"/>
      </w:r>
      <w:r>
        <w:t>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"_Toc154519410"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_Toc154519410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"_Toc154519411"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_Toc154519411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"_Toc154519412"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_Toc154519412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"_Toc154519413"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_Toc154519413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"_Toc154519414"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_Toc154519414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"_Toc154519415"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冬季工况风场计算域</w:t>
      </w:r>
      <w:r>
        <w:tab/>
      </w:r>
      <w:r>
        <w:fldChar w:fldCharType="begin"/>
      </w:r>
      <w:r>
        <w:instrText xml:space="preserve"> PAGEREF _Toc154519415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"_Toc154519416"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夏季工况风场计算域</w:t>
      </w:r>
      <w:r>
        <w:tab/>
      </w:r>
      <w:r>
        <w:fldChar w:fldCharType="begin"/>
      </w:r>
      <w:r>
        <w:instrText xml:space="preserve"> PAGEREF _Toc154519416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"_Toc154519417"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过渡季工况风场计算域</w:t>
      </w:r>
      <w:r>
        <w:tab/>
      </w:r>
      <w:r>
        <w:fldChar w:fldCharType="begin"/>
      </w:r>
      <w:r>
        <w:instrText xml:space="preserve"> PAGEREF _Toc154519417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"_Toc154519418"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_Toc154519418 \h </w:instrText>
      </w:r>
      <w:r>
        <w:fldChar w:fldCharType="separate"/>
      </w:r>
      <w:r>
        <w:t>9</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"_Toc154519419"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_Toc154519419 \h </w:instrText>
      </w:r>
      <w:r>
        <w:fldChar w:fldCharType="separate"/>
      </w:r>
      <w:r>
        <w:t>12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"_Toc154519420"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_Toc154519420 \h </w:instrText>
      </w:r>
      <w:r>
        <w:fldChar w:fldCharType="separate"/>
      </w:r>
      <w:r>
        <w:t>12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"_Toc154519421"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_Toc154519421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"_Toc154519422"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_Toc154519422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"_Toc154519423"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_Toc154519423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"_Toc154519424"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_Toc154519424 \h </w:instrText>
      </w:r>
      <w:r>
        <w:fldChar w:fldCharType="separate"/>
      </w:r>
      <w:r>
        <w:t>15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"_Toc154519425"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_Toc154519425 \h </w:instrText>
      </w:r>
      <w:r>
        <w:fldChar w:fldCharType="separate"/>
      </w:r>
      <w:r>
        <w:t>16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"_Toc154519426"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_Toc154519426 \h </w:instrText>
      </w:r>
      <w:r>
        <w:fldChar w:fldCharType="separate"/>
      </w:r>
      <w:r>
        <w:t>16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"_Toc154519427"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冬季工况</w:t>
      </w:r>
      <w:r>
        <w:tab/>
      </w:r>
      <w:r>
        <w:fldChar w:fldCharType="begin"/>
      </w:r>
      <w:r>
        <w:instrText xml:space="preserve"> PAGEREF _Toc154519427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"_Toc154519428"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人行区域风速达标分析</w:t>
      </w:r>
      <w:r>
        <w:tab/>
      </w:r>
      <w:r>
        <w:fldChar w:fldCharType="begin"/>
      </w:r>
      <w:r>
        <w:instrText xml:space="preserve"> PAGEREF _Toc154519428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"_Toc154519429"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人行区域风速放大系数达标分析</w:t>
      </w:r>
      <w:r>
        <w:tab/>
      </w:r>
      <w:r>
        <w:fldChar w:fldCharType="begin"/>
      </w:r>
      <w:r>
        <w:instrText xml:space="preserve"> PAGEREF _Toc154519429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"_Toc154519430"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Pr>
        <w:t>户外休息区、儿童娱乐区域风速达标分析</w:t>
      </w:r>
      <w:r>
        <w:tab/>
      </w:r>
      <w:r>
        <w:fldChar w:fldCharType="begin"/>
      </w:r>
      <w:r>
        <w:instrText xml:space="preserve"> PAGEREF _Toc154519430 \h </w:instrText>
      </w:r>
      <w:r>
        <w:fldChar w:fldCharType="separate"/>
      </w:r>
      <w:r>
        <w:t>17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"_Toc154519431"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户外休息区、儿童娱乐区风速放大系数达标分析</w:t>
      </w:r>
      <w:r>
        <w:tab/>
      </w:r>
      <w:r>
        <w:fldChar w:fldCharType="begin"/>
      </w:r>
      <w:r>
        <w:instrText xml:space="preserve"> PAGEREF _Toc154519431 \h </w:instrText>
      </w:r>
      <w:r>
        <w:fldChar w:fldCharType="separate"/>
      </w:r>
      <w:r>
        <w:t>17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"_Toc154519432" </w:instrText>
      </w:r>
      <w:r>
        <w:fldChar w:fldCharType="separate"/>
      </w:r>
      <w:r>
        <w:rPr>
          <w:rStyle w:val="26"/>
          <w:lang w:val="en-GB"/>
        </w:rPr>
        <w:t>5.2.5</w:t>
      </w:r>
      <w:r>
        <w:rPr>
          <w:rFonts w:asciiTheme="minorHAnsi" w:hAnsiTheme="minorHAnsi" w:eastAsiaTheme="minorEastAsia" w:cstheme="minorBidi"/>
          <w:szCs w:val="22"/>
          <w14:ligatures w14:val="standardContextual"/>
        </w:rPr>
        <w:tab/>
      </w:r>
      <w:r>
        <w:rPr>
          <w:rStyle w:val="26"/>
        </w:rPr>
        <w:t>冬季工况风速/风速放大系数达标结果汇总</w:t>
      </w:r>
      <w:r>
        <w:tab/>
      </w:r>
      <w:r>
        <w:fldChar w:fldCharType="begin"/>
      </w:r>
      <w:r>
        <w:instrText xml:space="preserve"> PAGEREF _Toc154519432 \h </w:instrText>
      </w:r>
      <w:r>
        <w:fldChar w:fldCharType="separate"/>
      </w:r>
      <w:r>
        <w:t>18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"_Toc154519433" </w:instrText>
      </w:r>
      <w:r>
        <w:fldChar w:fldCharType="separate"/>
      </w:r>
      <w:r>
        <w:rPr>
          <w:rStyle w:val="26"/>
          <w:lang w:val="en-GB"/>
        </w:rPr>
        <w:t>5.2.6</w:t>
      </w:r>
      <w:r>
        <w:rPr>
          <w:rFonts w:asciiTheme="minorHAnsi" w:hAnsiTheme="minorHAnsi" w:eastAsiaTheme="minorEastAsia" w:cstheme="minorBidi"/>
          <w:szCs w:val="22"/>
          <w14:ligatures w14:val="standardContextual"/>
        </w:rPr>
        <w:tab/>
      </w:r>
      <w:r>
        <w:rPr>
          <w:rStyle w:val="26"/>
        </w:rPr>
        <w:t>建筑迎风面和背风面风压分析</w:t>
      </w:r>
      <w:r>
        <w:tab/>
      </w:r>
      <w:r>
        <w:fldChar w:fldCharType="begin"/>
      </w:r>
      <w:r>
        <w:instrText xml:space="preserve"> PAGEREF _Toc154519433 \h </w:instrText>
      </w:r>
      <w:r>
        <w:fldChar w:fldCharType="separate"/>
      </w:r>
      <w:r>
        <w:t>18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"_Toc154519434"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夏季工况</w:t>
      </w:r>
      <w:r>
        <w:tab/>
      </w:r>
      <w:r>
        <w:fldChar w:fldCharType="begin"/>
      </w:r>
      <w:r>
        <w:instrText xml:space="preserve"> PAGEREF _Toc154519434 \h </w:instrText>
      </w:r>
      <w:r>
        <w:fldChar w:fldCharType="separate"/>
      </w:r>
      <w:r>
        <w:t>20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"_Toc154519435"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人活动区域无风区计算分析</w:t>
      </w:r>
      <w:r>
        <w:tab/>
      </w:r>
      <w:r>
        <w:fldChar w:fldCharType="begin"/>
      </w:r>
      <w:r>
        <w:instrText xml:space="preserve"> PAGEREF _Toc154519435 \h </w:instrText>
      </w:r>
      <w:r>
        <w:fldChar w:fldCharType="separate"/>
      </w:r>
      <w:r>
        <w:t>21</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"_Toc154519436" </w:instrText>
      </w:r>
      <w:r>
        <w:fldChar w:fldCharType="separate"/>
      </w:r>
      <w:r>
        <w:rPr>
          <w:rStyle w:val="26"/>
          <w:lang w:val="en-GB"/>
        </w:rPr>
        <w:t>5.3.2</w:t>
      </w:r>
      <w:r>
        <w:rPr>
          <w:rFonts w:asciiTheme="minorHAnsi" w:hAnsiTheme="minorHAnsi" w:eastAsiaTheme="minorEastAsia" w:cstheme="minorBidi"/>
          <w:szCs w:val="22"/>
          <w14:ligatures w14:val="standardContextual"/>
        </w:rPr>
        <w:tab/>
      </w:r>
      <w:r>
        <w:rPr>
          <w:rStyle w:val="26"/>
        </w:rPr>
        <w:t>人活动区域旋涡区分析</w:t>
      </w:r>
      <w:r>
        <w:tab/>
      </w:r>
      <w:r>
        <w:fldChar w:fldCharType="begin"/>
      </w:r>
      <w:r>
        <w:instrText xml:space="preserve"> PAGEREF _Toc154519436 \h </w:instrText>
      </w:r>
      <w:r>
        <w:fldChar w:fldCharType="separate"/>
      </w:r>
      <w:r>
        <w:t>21</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"_Toc154519437" </w:instrText>
      </w:r>
      <w:r>
        <w:fldChar w:fldCharType="separate"/>
      </w:r>
      <w:r>
        <w:rPr>
          <w:rStyle w:val="26"/>
          <w:lang w:val="en-GB"/>
        </w:rPr>
        <w:t>5.3.3</w:t>
      </w:r>
      <w:r>
        <w:rPr>
          <w:rFonts w:asciiTheme="minorHAnsi" w:hAnsiTheme="minorHAnsi" w:eastAsiaTheme="minorEastAsia" w:cstheme="minorBidi"/>
          <w:szCs w:val="22"/>
          <w14:ligatures w14:val="standardContextual"/>
        </w:rPr>
        <w:tab/>
      </w:r>
      <w:r>
        <w:rPr>
          <w:rStyle w:val="26"/>
        </w:rPr>
        <w:t>人活动区域旋涡区/无风区达标结果汇总</w:t>
      </w:r>
      <w:r>
        <w:tab/>
      </w:r>
      <w:r>
        <w:fldChar w:fldCharType="begin"/>
      </w:r>
      <w:r>
        <w:instrText xml:space="preserve"> PAGEREF _Toc154519437 \h </w:instrText>
      </w:r>
      <w:r>
        <w:fldChar w:fldCharType="separate"/>
      </w:r>
      <w:r>
        <w:t>22</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"_Toc154519438" </w:instrText>
      </w:r>
      <w:r>
        <w:fldChar w:fldCharType="separate"/>
      </w:r>
      <w:r>
        <w:rPr>
          <w:rStyle w:val="26"/>
          <w:lang w:val="en-GB"/>
        </w:rPr>
        <w:t>5.3.4</w:t>
      </w:r>
      <w:r>
        <w:rPr>
          <w:rFonts w:asciiTheme="minorHAnsi" w:hAnsiTheme="minorHAnsi" w:eastAsiaTheme="minorEastAsia" w:cstheme="minorBidi"/>
          <w:szCs w:val="22"/>
          <w14:ligatures w14:val="standardContextual"/>
        </w:rPr>
        <w:tab/>
      </w:r>
      <w:r>
        <w:rPr>
          <w:rStyle w:val="26"/>
        </w:rPr>
        <w:t>外窗内外表面风压差达标分析</w:t>
      </w:r>
      <w:r>
        <w:tab/>
      </w:r>
      <w:r>
        <w:fldChar w:fldCharType="begin"/>
      </w:r>
      <w:r>
        <w:instrText xml:space="preserve"> PAGEREF _Toc154519438 \h </w:instrText>
      </w:r>
      <w:r>
        <w:fldChar w:fldCharType="separate"/>
      </w:r>
      <w:r>
        <w:t>22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"_Toc154519439" </w:instrText>
      </w:r>
      <w:r>
        <w:fldChar w:fldCharType="separate"/>
      </w:r>
      <w:r>
        <w:rPr>
          <w:rStyle w:val="26"/>
          <w:lang w:val="en-GB"/>
        </w:rPr>
        <w:t>5.4</w:t>
      </w:r>
      <w:r>
        <w:rPr>
          <w:rFonts w:asciiTheme="minorHAnsi" w:hAnsiTheme="minorHAnsi" w:eastAsiaTheme="minorEastAsia" w:cstheme="minorBidi"/>
          <w:szCs w:val="22"/>
          <w14:ligatures w14:val="standardContextual"/>
        </w:rPr>
        <w:tab/>
      </w:r>
      <w:r>
        <w:rPr>
          <w:rStyle w:val="26"/>
        </w:rPr>
        <w:t>过渡季工况</w:t>
      </w:r>
      <w:r>
        <w:tab/>
      </w:r>
      <w:r>
        <w:fldChar w:fldCharType="begin"/>
      </w:r>
      <w:r>
        <w:instrText xml:space="preserve"> PAGEREF _Toc154519439 \h </w:instrText>
      </w:r>
      <w:r>
        <w:fldChar w:fldCharType="separate"/>
      </w:r>
      <w:r>
        <w:t>24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"_Toc154519440" </w:instrText>
      </w:r>
      <w:r>
        <w:fldChar w:fldCharType="separate"/>
      </w:r>
      <w:r>
        <w:rPr>
          <w:rStyle w:val="26"/>
          <w:lang w:val="en-GB"/>
        </w:rPr>
        <w:t>5.4.1</w:t>
      </w:r>
      <w:r>
        <w:rPr>
          <w:rFonts w:asciiTheme="minorHAnsi" w:hAnsiTheme="minorHAnsi" w:eastAsiaTheme="minorEastAsia" w:cstheme="minorBidi"/>
          <w:szCs w:val="22"/>
          <w14:ligatures w14:val="standardContextual"/>
        </w:rPr>
        <w:tab/>
      </w:r>
      <w:r>
        <w:rPr>
          <w:rStyle w:val="26"/>
        </w:rPr>
        <w:t>人活动区域无风区计算分析</w:t>
      </w:r>
      <w:r>
        <w:tab/>
      </w:r>
      <w:r>
        <w:fldChar w:fldCharType="begin"/>
      </w:r>
      <w:r>
        <w:instrText xml:space="preserve"> PAGEREF _Toc154519440 \h </w:instrText>
      </w:r>
      <w:r>
        <w:fldChar w:fldCharType="separate"/>
      </w:r>
      <w:r>
        <w:t>24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"_Toc154519441" </w:instrText>
      </w:r>
      <w:r>
        <w:fldChar w:fldCharType="separate"/>
      </w:r>
      <w:r>
        <w:rPr>
          <w:rStyle w:val="26"/>
          <w:lang w:val="en-GB"/>
        </w:rPr>
        <w:t>5.4.2</w:t>
      </w:r>
      <w:r>
        <w:rPr>
          <w:rFonts w:asciiTheme="minorHAnsi" w:hAnsiTheme="minorHAnsi" w:eastAsiaTheme="minorEastAsia" w:cstheme="minorBidi"/>
          <w:szCs w:val="22"/>
          <w14:ligatures w14:val="standardContextual"/>
        </w:rPr>
        <w:tab/>
      </w:r>
      <w:r>
        <w:rPr>
          <w:rStyle w:val="26"/>
        </w:rPr>
        <w:t>人活动区域旋涡区分析</w:t>
      </w:r>
      <w:r>
        <w:tab/>
      </w:r>
      <w:r>
        <w:fldChar w:fldCharType="begin"/>
      </w:r>
      <w:r>
        <w:instrText xml:space="preserve"> PAGEREF _Toc154519441 \h </w:instrText>
      </w:r>
      <w:r>
        <w:fldChar w:fldCharType="separate"/>
      </w:r>
      <w:r>
        <w:t>24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"_Toc154519442" </w:instrText>
      </w:r>
      <w:r>
        <w:fldChar w:fldCharType="separate"/>
      </w:r>
      <w:r>
        <w:rPr>
          <w:rStyle w:val="26"/>
          <w:lang w:val="en-GB"/>
        </w:rPr>
        <w:t>5.4.3</w:t>
      </w:r>
      <w:r>
        <w:rPr>
          <w:rFonts w:asciiTheme="minorHAnsi" w:hAnsiTheme="minorHAnsi" w:eastAsiaTheme="minorEastAsia" w:cstheme="minorBidi"/>
          <w:szCs w:val="22"/>
          <w14:ligatures w14:val="standardContextual"/>
        </w:rPr>
        <w:tab/>
      </w:r>
      <w:r>
        <w:rPr>
          <w:rStyle w:val="26"/>
        </w:rPr>
        <w:t>人活动区域旋涡区/无风区达标结果汇总</w:t>
      </w:r>
      <w:r>
        <w:tab/>
      </w:r>
      <w:r>
        <w:fldChar w:fldCharType="begin"/>
      </w:r>
      <w:r>
        <w:instrText xml:space="preserve"> PAGEREF _Toc154519442 \h </w:instrText>
      </w:r>
      <w:r>
        <w:fldChar w:fldCharType="separate"/>
      </w:r>
      <w:r>
        <w:t>25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"_Toc154519443" </w:instrText>
      </w:r>
      <w:r>
        <w:fldChar w:fldCharType="separate"/>
      </w:r>
      <w:r>
        <w:rPr>
          <w:rStyle w:val="26"/>
          <w:lang w:val="en-GB"/>
        </w:rPr>
        <w:t>5.4.4</w:t>
      </w:r>
      <w:r>
        <w:rPr>
          <w:rFonts w:asciiTheme="minorHAnsi" w:hAnsiTheme="minorHAnsi" w:eastAsiaTheme="minorEastAsia" w:cstheme="minorBidi"/>
          <w:szCs w:val="22"/>
          <w14:ligatures w14:val="standardContextual"/>
        </w:rPr>
        <w:tab/>
      </w:r>
      <w:r>
        <w:rPr>
          <w:rStyle w:val="26"/>
        </w:rPr>
        <w:t>外窗内外表面风压差达标分析</w:t>
      </w:r>
      <w:r>
        <w:tab/>
      </w:r>
      <w:r>
        <w:fldChar w:fldCharType="begin"/>
      </w:r>
      <w:r>
        <w:instrText xml:space="preserve"> PAGEREF _Toc154519443 \h </w:instrText>
      </w:r>
      <w:r>
        <w:fldChar w:fldCharType="separate"/>
      </w:r>
      <w:r>
        <w:t>25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"_Toc154519444" </w:instrText>
      </w:r>
      <w:r>
        <w:fldChar w:fldCharType="separate"/>
      </w:r>
      <w:r>
        <w:rPr>
          <w:rStyle w:val="26"/>
          <w:lang w:val="en-GB"/>
        </w:rPr>
        <w:t>5.5</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_Toc154519444 \h </w:instrText>
      </w:r>
      <w:r>
        <w:fldChar w:fldCharType="separate"/>
      </w:r>
      <w:r>
        <w:t>27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"_Toc154519445" </w:instrText>
      </w:r>
      <w:r>
        <w:fldChar w:fldCharType="separate"/>
      </w:r>
      <w:r>
        <w:rPr>
          <w:rStyle w:val="26"/>
          <w:lang w:val="en-GB"/>
        </w:rPr>
        <w:t>5.5.1</w:t>
      </w:r>
      <w:r>
        <w:rPr>
          <w:rFonts w:asciiTheme="minorHAnsi" w:hAnsiTheme="minorHAnsi" w:eastAsiaTheme="minorEastAsia" w:cstheme="minorBidi"/>
          <w:szCs w:val="22"/>
          <w14:ligatures w14:val="standardContextual"/>
        </w:rPr>
        <w:tab/>
      </w:r>
      <w:r>
        <w:rPr>
          <w:rStyle w:val="26"/>
        </w:rPr>
        <w:t>冬季工况达标判断</w:t>
      </w:r>
      <w:r>
        <w:tab/>
      </w:r>
      <w:r>
        <w:fldChar w:fldCharType="begin"/>
      </w:r>
      <w:r>
        <w:instrText xml:space="preserve"> PAGEREF _Toc154519445 \h </w:instrText>
      </w:r>
      <w:r>
        <w:fldChar w:fldCharType="separate"/>
      </w:r>
      <w:r>
        <w:t>27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"_Toc154519446" </w:instrText>
      </w:r>
      <w:r>
        <w:fldChar w:fldCharType="separate"/>
      </w:r>
      <w:r>
        <w:rPr>
          <w:rStyle w:val="26"/>
          <w:lang w:val="en-GB"/>
        </w:rPr>
        <w:t>5.5.2</w:t>
      </w:r>
      <w:r>
        <w:rPr>
          <w:rFonts w:asciiTheme="minorHAnsi" w:hAnsiTheme="minorHAnsi" w:eastAsiaTheme="minorEastAsia" w:cstheme="minorBidi"/>
          <w:szCs w:val="22"/>
          <w14:ligatures w14:val="standardContextual"/>
        </w:rPr>
        <w:tab/>
      </w:r>
      <w:r>
        <w:rPr>
          <w:rStyle w:val="26"/>
        </w:rPr>
        <w:t>过渡季、夏季工况达标判断</w:t>
      </w:r>
      <w:r>
        <w:tab/>
      </w:r>
      <w:r>
        <w:fldChar w:fldCharType="begin"/>
      </w:r>
      <w:r>
        <w:instrText xml:space="preserve"> PAGEREF _Toc154519446 \h </w:instrText>
      </w:r>
      <w:r>
        <w:fldChar w:fldCharType="separate"/>
      </w:r>
      <w:r>
        <w:t>27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6" w:name="_Toc452108759"/>
      <w:bookmarkStart w:id="7" w:name="_Toc154519408"/>
      <w:r>
        <w:rPr>
          <w:rFonts w:hint="eastAsia"/>
        </w:rPr>
        <w:t>项目概况</w:t>
      </w:r>
      <w:bookmarkEnd w:id="6"/>
      <w:bookmarkEnd w:id="7"/>
    </w:p>
    <w:p>
      <w:pPr>
        <w:pStyle w:val="3"/>
        <w:ind w:firstLine="420"/>
        <w:rPr>
          <w:lang w:val="en-US"/>
        </w:rPr>
      </w:pPr>
      <w:bookmarkStart w:id="8" w:name="项目概况"/>
      <w:bookmarkEnd w:id="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9" w:name="_Toc154519409"/>
      <w:bookmarkStart w:id="10" w:name="_Toc452108760"/>
      <w:r>
        <w:rPr>
          <w:rFonts w:hint="eastAsia"/>
        </w:rPr>
        <w:t>总</w:t>
      </w:r>
      <w:r>
        <w:t>平面图</w:t>
      </w:r>
      <w:bookmarkEnd w:id="9"/>
      <w:bookmarkEnd w:id="1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1"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1"/>
    </w:tbl>
    <w:p>
      <w:pPr>
        <w:pStyle w:val="3"/>
        <w:ind w:firstLine="0" w:firstLineChars="0"/>
        <w:jc w:val="center"/>
        <w:rPr>
          <w:lang w:val="en-US"/>
        </w:rPr>
      </w:pPr>
      <w:r>
        <w:rPr>
          <w:rFonts w:hint="eastAsia"/>
          <w:lang w:val="en-US"/>
        </w:rPr>
        <w:t xml:space="preserve"> </w:t>
      </w:r>
      <w:bookmarkStart w:id="12" w:name="总平面图"/>
      <w:bookmarkEnd w:id="12"/>
      <w: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3" w:name="_Toc452108761"/>
      <w:bookmarkStart w:id="14" w:name="_Toc154519410"/>
      <w:r>
        <w:rPr>
          <w:rFonts w:hint="eastAsia"/>
        </w:rPr>
        <w:t>三</w:t>
      </w:r>
      <w:r>
        <w:t>维视图</w:t>
      </w:r>
      <w:bookmarkEnd w:id="13"/>
      <w:bookmarkEnd w:id="1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5"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5"/>
    </w:tbl>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154519411"/>
      <w:bookmarkStart w:id="18" w:name="TitleFormat"/>
      <w:bookmarkStart w:id="19" w:name="_Toc452108762"/>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0" w:name="参考标准名称1"/>
      <w:r>
        <w:rPr>
          <w:rFonts w:hint="eastAsia"/>
          <w:lang w:val="en-US"/>
        </w:rPr>
        <w:t>《绿色建筑评价标准》GB/T50378-2019</w:t>
      </w:r>
      <w:bookmarkEnd w:id="20"/>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54519412"/>
      <w:bookmarkStart w:id="22" w:name="_Toc452108763"/>
      <w:r>
        <w:rPr>
          <w:rFonts w:hint="eastAsia"/>
        </w:rPr>
        <w:t>参考</w:t>
      </w:r>
      <w:r>
        <w:t>标准</w:t>
      </w:r>
      <w:bookmarkEnd w:id="21"/>
      <w:bookmarkEnd w:id="22"/>
    </w:p>
    <w:p>
      <w:pPr>
        <w:pStyle w:val="3"/>
        <w:ind w:firstLine="420"/>
        <w:rPr>
          <w:lang w:val="en-US"/>
        </w:rPr>
      </w:pPr>
      <w:r>
        <w:rPr>
          <w:rFonts w:hint="eastAsia"/>
          <w:lang w:val="en-US"/>
        </w:rPr>
        <w:t>室外风环境评价依据为</w:t>
      </w:r>
      <w:bookmarkStart w:id="23" w:name="参考标准名称2"/>
      <w:r>
        <w:rPr>
          <w:rFonts w:hint="eastAsia"/>
          <w:lang w:val="en-US"/>
        </w:rPr>
        <w:t>《绿色建筑评价标准》GB/T50378-2019</w:t>
      </w:r>
      <w:bookmarkEnd w:id="23"/>
      <w:r>
        <w:rPr>
          <w:rFonts w:hint="eastAsia"/>
          <w:lang w:val="en-US"/>
        </w:rPr>
        <w:t>中有关室外风环境的条目要求。具体要求如下：</w:t>
      </w:r>
    </w:p>
    <w:p>
      <w:pPr>
        <w:pStyle w:val="3"/>
        <w:ind w:firstLine="420"/>
        <w:rPr>
          <w:lang w:val="en-US"/>
        </w:rPr>
      </w:pPr>
      <w:bookmarkStart w:id="24" w:name="_Toc451698935"/>
      <w:bookmarkStart w:id="25" w:name="_Toc452108764"/>
      <w:bookmarkStart w:id="26"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7" w:name="参考标准冬季风速得分"/>
      <w:r>
        <w:rPr>
          <w:lang w:val="en-US"/>
        </w:rPr>
        <w:t>3</w:t>
      </w:r>
      <w:bookmarkEnd w:id="27"/>
      <w:r>
        <w:rPr>
          <w:rFonts w:hint="eastAsia"/>
          <w:lang w:val="en-US"/>
        </w:rPr>
        <w:t>分；除迎风第一排建筑外，建筑迎风面与背风面表面风压差不超过5Pa，得</w:t>
      </w:r>
      <w:bookmarkStart w:id="28" w:name="参考标准冬季风压得分"/>
      <w:r>
        <w:rPr>
          <w:lang w:val="en-US"/>
        </w:rPr>
        <w:t>2</w:t>
      </w:r>
      <w:bookmarkEnd w:id="28"/>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9" w:name="参考标准夏季风速得分"/>
      <w:r>
        <w:rPr>
          <w:lang w:val="en-US"/>
        </w:rPr>
        <w:t>3</w:t>
      </w:r>
      <w:bookmarkEnd w:id="29"/>
      <w:r>
        <w:rPr>
          <w:rFonts w:hint="eastAsia"/>
          <w:lang w:val="en-US"/>
        </w:rPr>
        <w:t>分；50%以上可开启外窗室内外表面的风压差大于0.5Pa，得</w:t>
      </w:r>
      <w:bookmarkStart w:id="30" w:name="参考标准夏季风压得分"/>
      <w:r>
        <w:rPr>
          <w:lang w:val="en-US"/>
        </w:rPr>
        <w:t>2</w:t>
      </w:r>
      <w:bookmarkEnd w:id="30"/>
      <w:r>
        <w:rPr>
          <w:rFonts w:hint="eastAsia"/>
          <w:lang w:val="en-US"/>
        </w:rPr>
        <w:t>分。</w:t>
      </w:r>
    </w:p>
    <w:p>
      <w:pPr>
        <w:pStyle w:val="2"/>
      </w:pPr>
      <w:bookmarkStart w:id="31" w:name="_Toc154519413"/>
      <w:r>
        <w:rPr>
          <w:rFonts w:hint="eastAsia"/>
        </w:rPr>
        <w:t>计算原理</w:t>
      </w:r>
      <w:bookmarkEnd w:id="24"/>
      <w:bookmarkEnd w:id="25"/>
      <w:bookmarkEnd w:id="31"/>
    </w:p>
    <w:p>
      <w:pPr>
        <w:pStyle w:val="4"/>
        <w:numPr>
          <w:ilvl w:val="1"/>
          <w:numId w:val="3"/>
        </w:numPr>
      </w:pPr>
      <w:bookmarkStart w:id="32" w:name="_Toc154519414"/>
      <w:bookmarkStart w:id="33" w:name="_Toc509844740"/>
      <w:bookmarkStart w:id="34" w:name="_Toc452108765"/>
      <w:bookmarkStart w:id="35" w:name="_Toc451698937"/>
      <w:r>
        <w:rPr>
          <w:rFonts w:hint="eastAsia"/>
        </w:rPr>
        <w:t>风场计算域</w:t>
      </w:r>
      <w:bookmarkEnd w:id="32"/>
      <w:bookmarkEnd w:id="33"/>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6" w:name="_Toc154519415"/>
      <w:r>
        <w:rPr>
          <w:rFonts w:hint="eastAsia"/>
        </w:rPr>
        <w:t>冬季工况风场计算域</w:t>
      </w:r>
      <w:bookmarkEnd w:id="36"/>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37" w:name="_Toc154519416"/>
      <w:r>
        <w:rPr>
          <w:rFonts w:hint="eastAsia"/>
        </w:rPr>
        <w:t>夏季工况风场计算域</w:t>
      </w:r>
      <w:bookmarkEnd w:id="3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3124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38" w:name="_Toc154519417"/>
      <w:r>
        <w:rPr>
          <w:rFonts w:hint="eastAsia"/>
        </w:rPr>
        <w:t>过渡季工况风场计算域</w:t>
      </w:r>
      <w:bookmarkEnd w:id="3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9" w:name="冬季风场X尺寸"/>
            <w:r>
              <w:t>314</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0" w:name="冬季风场Y尺寸"/>
            <w:r>
              <w:t>257</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Z尺寸"/>
            <w:r>
              <w:t>109</w:t>
            </w:r>
            <w:bookmarkEnd w:id="41"/>
          </w:p>
        </w:tc>
      </w:tr>
    </w:tbl>
    <w:p>
      <w:pPr>
        <w:pStyle w:val="3"/>
        <w:ind w:firstLine="0" w:firstLineChars="0"/>
        <w:jc w:val="center"/>
        <w:rPr>
          <w:lang w:val="en-US"/>
        </w:rPr>
      </w:pPr>
      <w:bookmarkStart w:id="42" w:name="冬季工况风场计算域图示"/>
      <w:bookmarkEnd w:id="42"/>
      <w:r>
        <w:drawing>
          <wp:inline distT="0" distB="0" distL="0" distR="0">
            <wp:extent cx="5667375" cy="3124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3" w:name="计算域"/>
      <w:bookmarkEnd w:id="43"/>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4" w:name="_Toc154519418"/>
      <w:bookmarkStart w:id="45" w:name="_Toc509844741"/>
      <w:r>
        <w:rPr>
          <w:rFonts w:hint="eastAsia"/>
        </w:rPr>
        <w:t>网格划分</w:t>
      </w:r>
      <w:bookmarkEnd w:id="44"/>
      <w:bookmarkEnd w:id="45"/>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6" w:name="OLE_LINK277"/>
      <w:bookmarkStart w:id="47" w:name="OLE_LINK276"/>
      <w:r>
        <w:rPr>
          <w:rFonts w:hint="eastAsia"/>
        </w:rPr>
        <w:t>1）普通网格：指除靠近地面和建筑以外的网格，通常不需要特别加密处理</w:t>
      </w:r>
    </w:p>
    <w:p>
      <w:pPr>
        <w:pStyle w:val="12"/>
        <w:numPr>
          <w:ilvl w:val="0"/>
          <w:numId w:val="4"/>
        </w:numPr>
        <w:spacing w:before="156"/>
      </w:pPr>
      <w:bookmarkStart w:id="48" w:name="OLE_LINK15"/>
      <w:r>
        <w:rPr>
          <w:rFonts w:hint="eastAsia"/>
        </w:rPr>
        <w:t>分弧精度：对于有圆弧特征的建筑局部，把圆弧分解为线段时，弦到弧的最大距离；</w:t>
      </w:r>
    </w:p>
    <w:bookmarkEnd w:id="48"/>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6"/>
      <w:bookmarkEnd w:id="47"/>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176383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1337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stretch>
                      <a:fillRect/>
                    </a:stretch>
                  </pic:blipFill>
                  <pic:spPr>
                    <a:xfrm>
                      <a:off x="0" y="0"/>
                      <a:ext cx="5667375" cy="313372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网格图-冬季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165613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1337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5"/>
                    <a:stretch>
                      <a:fillRect/>
                    </a:stretch>
                  </pic:blipFill>
                  <pic:spPr>
                    <a:xfrm>
                      <a:off x="0" y="0"/>
                      <a:ext cx="5667375" cy="313372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2</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网格图-夏季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9" w:name="冬季网格总数"/>
            <w:r>
              <w:t>165613</w:t>
            </w:r>
            <w:bookmarkEnd w:id="49"/>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分弧精度"/>
            <w:r>
              <w:t>0.24</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初始网格"/>
            <w:r>
              <w:t>8.0</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最小细分级数"/>
            <w:r>
              <w:t>1</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最大细分级数"/>
            <w:r>
              <w:t>2</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远场细分级数"/>
            <w:r>
              <w:t>1</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近场细分级数"/>
            <w:r>
              <w:t>2</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地面附面层数"/>
            <w:r>
              <w:t>2</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建筑附面层数"/>
            <w:r>
              <w:t>0</w:t>
            </w:r>
            <w:bookmarkEnd w:id="57"/>
          </w:p>
        </w:tc>
      </w:tr>
    </w:tbl>
    <w:p>
      <w:pPr>
        <w:rPr>
          <w:szCs w:val="21"/>
          <w:lang w:val="en-US"/>
        </w:rPr>
      </w:pPr>
    </w:p>
    <w:p>
      <w:pPr>
        <w:jc w:val="center"/>
      </w:pPr>
      <w:r>
        <w:drawing>
          <wp:inline distT="0" distB="0" distL="0" distR="0">
            <wp:extent cx="5667375" cy="31337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313372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3</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58" w:name="季节"/>
      <w:r>
        <w:rPr>
          <w:rFonts w:hint="eastAsia" w:ascii="黑体" w:hAnsi="黑体" w:eastAsia="黑体"/>
          <w:sz w:val="20"/>
        </w:rPr>
        <w:t>过渡季</w:t>
      </w:r>
      <w:bookmarkEnd w:id="58"/>
    </w:p>
    <w:p>
      <w:pPr>
        <w:pStyle w:val="3"/>
        <w:ind w:firstLine="630" w:firstLineChars="300"/>
        <w:rPr>
          <w:rFonts w:ascii="黑体" w:hAnsi="黑体" w:eastAsia="黑体"/>
          <w:szCs w:val="20"/>
          <w:lang w:val="en-US"/>
        </w:rPr>
      </w:pPr>
      <w:bookmarkStart w:id="59" w:name="网格划分信息"/>
      <w:bookmarkEnd w:id="59"/>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60" w:name="网格图"/>
      <w:bookmarkEnd w:id="60"/>
    </w:p>
    <w:p>
      <w:pPr>
        <w:pStyle w:val="4"/>
        <w:numPr>
          <w:ilvl w:val="1"/>
          <w:numId w:val="3"/>
        </w:numPr>
      </w:pPr>
      <w:bookmarkStart w:id="61" w:name="_Toc154519419"/>
      <w:bookmarkStart w:id="62" w:name="_Toc509844742"/>
      <w:r>
        <w:rPr>
          <w:rFonts w:hint="eastAsia"/>
        </w:rPr>
        <w:t>边界条件</w:t>
      </w:r>
      <w:bookmarkEnd w:id="61"/>
      <w:bookmarkEnd w:id="6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3" w:name="_Toc509844743"/>
      <w:bookmarkStart w:id="64" w:name="_Toc154519420"/>
      <w:r>
        <w:rPr>
          <w:rFonts w:hint="eastAsia"/>
        </w:rPr>
        <w:t>入口与出口边界条件</w:t>
      </w:r>
      <w:bookmarkEnd w:id="63"/>
      <w:bookmarkEnd w:id="6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pt;width:71.4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6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6pt;width:14.4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6" w:name="_Toc154519421"/>
      <w:bookmarkStart w:id="67" w:name="_Toc509844744"/>
      <w:r>
        <w:rPr>
          <w:rFonts w:hint="eastAsia"/>
        </w:rPr>
        <w:t>壁面边界条件</w:t>
      </w:r>
      <w:bookmarkEnd w:id="66"/>
      <w:bookmarkEnd w:id="6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8" w:name="_Toc154519422"/>
      <w:r>
        <w:rPr>
          <w:rFonts w:hint="eastAsia"/>
        </w:rPr>
        <w:t>湍流模型</w:t>
      </w:r>
      <w:bookmarkEnd w:id="34"/>
      <w:bookmarkEnd w:id="35"/>
      <w:bookmarkEnd w:id="6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9" w:name="_Toc452108767"/>
      <w:bookmarkStart w:id="70" w:name="_Toc154519423"/>
      <w:bookmarkStart w:id="71" w:name="_Toc451698939"/>
      <w:r>
        <w:rPr>
          <w:rFonts w:hint="eastAsia"/>
        </w:rPr>
        <w:t>求解计算</w:t>
      </w:r>
      <w:bookmarkEnd w:id="69"/>
      <w:bookmarkEnd w:id="70"/>
      <w:bookmarkEnd w:id="7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6"/>
    </w:p>
    <w:p>
      <w:pPr>
        <w:pStyle w:val="4"/>
      </w:pPr>
      <w:bookmarkStart w:id="74" w:name="_Toc509844747"/>
      <w:bookmarkStart w:id="75" w:name="_Toc154519424"/>
      <w:r>
        <w:rPr>
          <w:rFonts w:hint="eastAsia"/>
        </w:rPr>
        <w:t>风速放大系数计算</w:t>
      </w:r>
      <w:bookmarkEnd w:id="74"/>
      <w:bookmarkEnd w:id="7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7" w:name="_Toc452108768"/>
      <w:bookmarkStart w:id="78" w:name="_Toc154519425"/>
      <w:r>
        <w:rPr>
          <w:rFonts w:hint="eastAsia"/>
        </w:rPr>
        <w:t>结果</w:t>
      </w:r>
      <w:r>
        <w:t>分析</w:t>
      </w:r>
      <w:bookmarkEnd w:id="77"/>
      <w:bookmarkEnd w:id="78"/>
    </w:p>
    <w:p>
      <w:pPr>
        <w:pStyle w:val="4"/>
        <w:rPr>
          <w:szCs w:val="21"/>
        </w:rPr>
      </w:pPr>
      <w:bookmarkStart w:id="79" w:name="_Toc154519426"/>
      <w:r>
        <w:rPr>
          <w:rFonts w:hint="eastAsia"/>
          <w:szCs w:val="21"/>
        </w:rPr>
        <w:t>工况</w:t>
      </w:r>
      <w:r>
        <w:rPr>
          <w:szCs w:val="21"/>
        </w:rPr>
        <w:t>表</w:t>
      </w:r>
      <w:bookmarkEnd w:id="7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2.00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67.5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270.0</w:t>
            </w:r>
          </w:p>
        </w:tc>
      </w:tr>
      <w:bookmarkEnd w:id="8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1" w:name="_Toc154519427"/>
      <w:bookmarkStart w:id="82" w:name="_Toc509844750"/>
      <w:r>
        <w:rPr>
          <w:rFonts w:hint="eastAsia"/>
        </w:rPr>
        <w:t>冬季工况</w:t>
      </w:r>
      <w:bookmarkEnd w:id="81"/>
      <w:bookmarkEnd w:id="82"/>
    </w:p>
    <w:p>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2.00</w:t>
      </w:r>
      <w:bookmarkEnd w:id="83"/>
      <w:r>
        <w:rPr>
          <w:rFonts w:ascii="Calibri" w:hAnsi="Calibri"/>
          <w:szCs w:val="21"/>
        </w:rPr>
        <w:t>m/s</w:t>
      </w:r>
      <w:r>
        <w:rPr>
          <w:rFonts w:hint="eastAsia" w:ascii="Calibri" w:hAnsi="Calibri"/>
          <w:szCs w:val="21"/>
        </w:rPr>
        <w:t>，风向为</w:t>
      </w:r>
      <w:bookmarkStart w:id="84" w:name="冬季入口边界风向"/>
      <w:r>
        <w:rPr>
          <w:szCs w:val="21"/>
        </w:rPr>
        <w:t>NNE</w:t>
      </w:r>
      <w:bookmarkEnd w:id="84"/>
      <w:r>
        <w:rPr>
          <w:rFonts w:hint="eastAsia"/>
          <w:szCs w:val="21"/>
        </w:rPr>
        <w:t>。</w:t>
      </w:r>
    </w:p>
    <w:p>
      <w:pPr>
        <w:pStyle w:val="5"/>
      </w:pPr>
      <w:bookmarkStart w:id="85" w:name="_Toc154519428"/>
      <w:bookmarkStart w:id="86" w:name="_Toc509844751"/>
      <w:r>
        <w:rPr>
          <w:rFonts w:hint="eastAsia"/>
        </w:rPr>
        <w:t>人行区域风速达标分析</w:t>
      </w:r>
      <w:bookmarkEnd w:id="85"/>
      <w:bookmarkEnd w:id="86"/>
      <w:r>
        <w:rPr>
          <w:rFonts w:hint="eastAsia"/>
        </w:rPr>
        <w:t xml:space="preserve"> </w:t>
      </w:r>
    </w:p>
    <w:p>
      <w:pPr>
        <w:pStyle w:val="3"/>
        <w:ind w:left="420" w:firstLine="0" w:firstLineChars="0"/>
        <w:rPr>
          <w:lang w:val="en-US"/>
        </w:rPr>
      </w:pPr>
      <w:bookmarkStart w:id="87" w:name="冬季工况人行区风速分析"/>
      <w:r>
        <w:rPr>
          <w:rFonts w:hint="eastAsia"/>
          <w:lang w:val="en-US"/>
        </w:rPr>
        <w:t>（本项目未划分人行区域）</w:t>
      </w:r>
    </w:p>
    <w:bookmarkEnd w:id="87"/>
    <w:p>
      <w:pPr>
        <w:pStyle w:val="3"/>
        <w:ind w:firstLine="420"/>
        <w:rPr>
          <w:lang w:val="en-US"/>
        </w:rPr>
      </w:pPr>
    </w:p>
    <w:p>
      <w:pPr>
        <w:pStyle w:val="5"/>
      </w:pPr>
      <w:bookmarkStart w:id="88" w:name="_Toc154519429"/>
      <w:bookmarkStart w:id="89" w:name="_Toc509844752"/>
      <w:r>
        <w:rPr>
          <w:rFonts w:hint="eastAsia"/>
        </w:rPr>
        <w:t>人行区域风速放大系数达标分析</w:t>
      </w:r>
      <w:bookmarkEnd w:id="88"/>
      <w:bookmarkEnd w:id="89"/>
    </w:p>
    <w:p>
      <w:pPr>
        <w:pStyle w:val="3"/>
        <w:ind w:firstLine="420"/>
        <w:rPr>
          <w:lang w:val="en-US"/>
        </w:rPr>
      </w:pPr>
      <w:bookmarkStart w:id="90" w:name="冬季工况人行区风速放大系数分析"/>
      <w:r>
        <w:rPr>
          <w:rFonts w:hint="eastAsia"/>
          <w:lang w:val="en-US"/>
        </w:rPr>
        <w:t>（本项目未划分人行区域）</w:t>
      </w:r>
    </w:p>
    <w:bookmarkEnd w:id="90"/>
    <w:p>
      <w:pPr>
        <w:pStyle w:val="3"/>
        <w:ind w:firstLine="420"/>
        <w:rPr>
          <w:lang w:val="en-US"/>
        </w:rPr>
      </w:pPr>
    </w:p>
    <w:p>
      <w:pPr>
        <w:pStyle w:val="5"/>
      </w:pPr>
      <w:bookmarkStart w:id="91" w:name="_Toc154519430"/>
      <w:r>
        <w:rPr>
          <w:rFonts w:hint="eastAsia"/>
        </w:rPr>
        <w:t>户外休息区、儿童娱乐区</w:t>
      </w:r>
      <w:r>
        <w:t>域风速达标分析</w:t>
      </w:r>
      <w:bookmarkEnd w:id="91"/>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2" w:name="冬季工况休息区风速分析结论"/>
      <w:bookmarkEnd w:id="92"/>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3" w:name="冬季工况休息区风速云图"/>
      <w:bookmarkEnd w:id="93"/>
      <w:r>
        <w:drawing>
          <wp:inline distT="0" distB="0" distL="0" distR="0">
            <wp:extent cx="5667375" cy="2914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2"/>
                    <a:stretch>
                      <a:fillRect/>
                    </a:stretch>
                  </pic:blipFill>
                  <pic:spPr>
                    <a:xfrm>
                      <a:off x="0" y="0"/>
                      <a:ext cx="5667375" cy="29146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94" w:name="_Toc154519431"/>
      <w:r>
        <w:rPr>
          <w:rFonts w:hint="eastAsia"/>
        </w:rPr>
        <w:t>户外休息区、儿童娱乐区风速放大系数达标</w:t>
      </w:r>
      <w:r>
        <w:t>分析</w:t>
      </w:r>
      <w:bookmarkEnd w:id="94"/>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5" w:name="冬季工况户外休息区和儿童娱乐区风速放大系数分析结论"/>
      <w:bookmarkEnd w:id="95"/>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96" w:name="冬季工况户外休息区和儿童娱乐区风速放大系数云图"/>
      <w:bookmarkEnd w:id="96"/>
      <w:r>
        <w:drawing>
          <wp:inline distT="0" distB="0" distL="0" distR="0">
            <wp:extent cx="5667375" cy="2857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3"/>
                    <a:stretch>
                      <a:fillRect/>
                    </a:stretch>
                  </pic:blipFill>
                  <pic:spPr>
                    <a:xfrm>
                      <a:off x="0" y="0"/>
                      <a:ext cx="5667375" cy="2857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97" w:name="_Toc509844753"/>
      <w:bookmarkStart w:id="98" w:name="_Toc154519432"/>
      <w:r>
        <w:rPr>
          <w:rFonts w:hint="eastAsia"/>
        </w:rPr>
        <w:t>冬季工况风速/风速放大系数达标</w:t>
      </w:r>
      <w:bookmarkEnd w:id="97"/>
      <w:r>
        <w:rPr>
          <w:rFonts w:hint="eastAsia"/>
        </w:rPr>
        <w:t>结果汇总</w:t>
      </w:r>
      <w:bookmarkEnd w:id="98"/>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w:t>
            </w:r>
            <w:bookmarkEnd w:id="9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w:t>
            </w:r>
            <w:bookmarkEnd w:id="100"/>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w:t>
            </w:r>
            <w:bookmarkEnd w:id="102"/>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3" w:name="冬季工况休息区风速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4" w:name="冬季工况休息区风速达标判断"/>
            <w:r>
              <w:rPr>
                <w:rFonts w:hint="eastAsia" w:ascii="宋体" w:hAnsi="宋体" w:cs="宋体"/>
                <w:color w:val="000000"/>
                <w:sz w:val="22"/>
                <w:szCs w:val="22"/>
                <w:lang w:val="en-US"/>
              </w:rPr>
              <w:t>是</w:t>
            </w:r>
            <w:bookmarkEnd w:id="104"/>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5" w:name="冬季工况休息区和儿童娱乐区风速放大系数标准要求限值"/>
            <w:r>
              <w:rPr>
                <w:rFonts w:ascii="宋体" w:hAnsi="宋体" w:cs="宋体"/>
                <w:szCs w:val="21"/>
              </w:rPr>
              <w:t>2</w:t>
            </w:r>
            <w:bookmarkEnd w:id="105"/>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户外休息区风速放大系数是否有超限区域"/>
            <w:r>
              <w:rPr>
                <w:rFonts w:hint="eastAsia" w:ascii="宋体" w:hAnsi="宋体" w:cs="宋体"/>
                <w:color w:val="000000"/>
                <w:sz w:val="22"/>
                <w:szCs w:val="22"/>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户外休息区风速放大系数达标判断"/>
            <w:r>
              <w:rPr>
                <w:rFonts w:hint="eastAsia" w:ascii="宋体" w:hAnsi="宋体" w:cs="宋体"/>
                <w:color w:val="000000"/>
                <w:sz w:val="22"/>
                <w:szCs w:val="22"/>
                <w:lang w:val="en-US"/>
              </w:rPr>
              <w:t>是</w:t>
            </w:r>
            <w:bookmarkEnd w:id="107"/>
          </w:p>
        </w:tc>
      </w:tr>
    </w:tbl>
    <w:p/>
    <w:p>
      <w:pPr>
        <w:pStyle w:val="5"/>
      </w:pPr>
      <w:bookmarkStart w:id="108" w:name="_Toc154519433"/>
      <w:r>
        <w:rPr>
          <w:rFonts w:hint="eastAsia"/>
        </w:rPr>
        <w:t>建筑迎风面和背风面风压分析</w:t>
      </w:r>
      <w:bookmarkEnd w:id="108"/>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09" w:name="冬季工况建筑迎风面风压云图"/>
      <w:bookmarkEnd w:id="109"/>
      <w:r>
        <w:drawing>
          <wp:inline distT="0" distB="0" distL="0" distR="0">
            <wp:extent cx="5667375" cy="3105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5"/>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0" w:name="冬季工况建筑背风面风压云图"/>
      <w:bookmarkEnd w:id="110"/>
      <w:r>
        <w:drawing>
          <wp:inline distT="0" distB="0" distL="0" distR="0">
            <wp:extent cx="5667375" cy="3143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6"/>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1"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2" w:name="建筑迎背风面风压差表_建筑名"/>
      <w:r>
        <w:rPr>
          <w:rFonts w:ascii="Cambria" w:hAnsi="Cambria" w:eastAsia="黑体"/>
          <w:sz w:val="20"/>
        </w:rPr>
        <w:t>&lt;未命名&gt;(单体加院子)</w:t>
      </w:r>
      <w:bookmarkEnd w:id="112"/>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-0.48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-0.42</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-0.06</w:t>
            </w:r>
          </w:p>
        </w:tc>
      </w:tr>
    </w:tbl>
    <w:p>
      <w:bookmarkStart w:id="113" w:name="结论"/>
      <w:bookmarkEnd w:id="113"/>
      <w:r>
        <w:t>标准要求：迎背风面窗平均风压差（绝对值）≤5Pa。结论：该楼</w:t>
      </w:r>
      <w:r>
        <w:rPr>
          <w:b/>
          <w:color w:val="0000FF"/>
        </w:rPr>
        <w:t>达标</w:t>
      </w:r>
      <w:r>
        <w:t>。</w:t>
      </w:r>
    </w:p>
    <w:bookmarkEnd w:id="111"/>
    <w:p>
      <w:pPr>
        <w:jc w:val="center"/>
        <w:rPr>
          <w:rFonts w:ascii="Cambria" w:hAnsi="Cambria" w:eastAsia="黑体"/>
          <w:sz w:val="20"/>
        </w:rPr>
      </w:pPr>
      <w:bookmarkStart w:id="114" w:name="建筑迎背风面风压差表_新增"/>
      <w:bookmarkEnd w:id="114"/>
      <w:bookmarkStart w:id="115" w:name="建筑迎背风面风压差表"/>
    </w:p>
    <w:bookmarkEnd w:id="11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6"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&lt;未命名&gt;(单体加院子)</w:t>
            </w:r>
          </w:p>
        </w:tc>
        <w:tc>
          <w:tcPr>
            <w:tcW w:w="1276" w:type="dxa"/>
            <w:shd w:val="clear" w:color="auto" w:fill="auto"/>
            <w:vAlign w:val="center"/>
          </w:tcPr>
          <w:p>
            <w:pPr>
              <w:jc w:val="center"/>
              <w:rPr>
                <w:lang w:val="en-US"/>
              </w:rPr>
            </w:pPr>
            <w:r>
              <w:rPr>
                <w:lang w:val="en-US"/>
              </w:rPr>
              <w:t>-0.48</w:t>
            </w:r>
          </w:p>
        </w:tc>
        <w:tc>
          <w:tcPr>
            <w:tcW w:w="1276" w:type="dxa"/>
            <w:shd w:val="clear" w:color="auto" w:fill="auto"/>
            <w:vAlign w:val="center"/>
          </w:tcPr>
          <w:p>
            <w:pPr>
              <w:jc w:val="center"/>
              <w:rPr>
                <w:lang w:val="en-US"/>
              </w:rPr>
            </w:pPr>
            <w:r>
              <w:rPr>
                <w:lang w:val="en-US"/>
              </w:rPr>
              <w:t>-0.42</w:t>
            </w:r>
          </w:p>
        </w:tc>
        <w:tc>
          <w:tcPr>
            <w:tcW w:w="1701" w:type="dxa"/>
            <w:shd w:val="clear" w:color="auto" w:fill="auto"/>
            <w:vAlign w:val="center"/>
          </w:tcPr>
          <w:p>
            <w:pPr>
              <w:jc w:val="center"/>
              <w:rPr>
                <w:lang w:val="en-US"/>
              </w:rPr>
            </w:pPr>
            <w:r>
              <w:rPr>
                <w:lang w:val="en-US"/>
              </w:rPr>
              <w:t>-0.06</w:t>
            </w:r>
          </w:p>
        </w:tc>
        <w:tc>
          <w:tcPr>
            <w:tcW w:w="973" w:type="dxa"/>
            <w:shd w:val="clear" w:color="auto" w:fill="auto"/>
            <w:vAlign w:val="center"/>
          </w:tcPr>
          <w:p>
            <w:pPr>
              <w:jc w:val="center"/>
              <w:rPr>
                <w:lang w:val="en-US"/>
              </w:rPr>
            </w:pPr>
            <w:r>
              <w:rPr>
                <w:lang w:val="en-US"/>
              </w:rPr>
              <w:t>是</w:t>
            </w:r>
          </w:p>
        </w:tc>
      </w:tr>
      <w:bookmarkEnd w:id="116"/>
    </w:tbl>
    <w:p>
      <w:pPr>
        <w:rPr>
          <w:lang w:val="en-US"/>
        </w:rPr>
      </w:pPr>
      <w:bookmarkStart w:id="117" w:name="建筑迎风和背风面风压差结论汇总结论"/>
      <w:bookmarkEnd w:id="117"/>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18" w:name="冬季工况"/>
      <w:bookmarkEnd w:id="118"/>
      <w:r>
        <w:rPr>
          <w:rFonts w:hint="eastAsia"/>
          <w:lang w:val="en-US"/>
        </w:rPr>
        <w:t xml:space="preserve"> </w:t>
      </w:r>
    </w:p>
    <w:p>
      <w:pPr>
        <w:pStyle w:val="4"/>
      </w:pPr>
      <w:bookmarkStart w:id="119" w:name="_Toc154519434"/>
      <w:r>
        <w:rPr>
          <w:rFonts w:hint="eastAsia"/>
        </w:rPr>
        <w:t>夏季工况</w:t>
      </w:r>
      <w:bookmarkEnd w:id="119"/>
    </w:p>
    <w:p>
      <w:pPr>
        <w:pStyle w:val="3"/>
        <w:ind w:firstLine="420"/>
      </w:pPr>
      <w:r>
        <w:rPr>
          <w:rFonts w:hint="eastAsia"/>
          <w:lang w:val="en-US"/>
        </w:rPr>
        <w:t>本项目夏季工况的入口边界风速为2.60m/s，风向为</w:t>
      </w:r>
      <w:r>
        <w:t>S</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20" w:name="_Toc154519435"/>
      <w:r>
        <w:rPr>
          <w:rFonts w:hint="eastAsia"/>
        </w:rPr>
        <w:t>人活动区域无风区计算分析</w:t>
      </w:r>
      <w:bookmarkEnd w:id="120"/>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r>
        <w:drawing>
          <wp:inline distT="0" distB="0" distL="0" distR="0">
            <wp:extent cx="5667375" cy="2914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7"/>
                    <a:stretch>
                      <a:fillRect/>
                    </a:stretch>
                  </pic:blipFill>
                  <pic:spPr>
                    <a:xfrm>
                      <a:off x="0" y="0"/>
                      <a:ext cx="5667375" cy="29146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人活动区域-1.5米高度水平面风速云图-夏季</w:t>
      </w:r>
      <w:r>
        <w:rPr>
          <w:rFonts w:hint="eastAsia"/>
        </w:rPr>
        <w:t xml:space="preserve"> </w:t>
      </w:r>
    </w:p>
    <w:p>
      <w:pPr>
        <w:pStyle w:val="3"/>
        <w:ind w:firstLine="420"/>
      </w:pPr>
    </w:p>
    <w:p>
      <w:pPr>
        <w:pStyle w:val="5"/>
      </w:pPr>
      <w:bookmarkStart w:id="121" w:name="_Toc154519436"/>
      <w:r>
        <w:rPr>
          <w:rFonts w:hint="eastAsia"/>
        </w:rPr>
        <w:t>人活动区域旋涡区分析</w:t>
      </w:r>
      <w:bookmarkEnd w:id="121"/>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r>
        <w:drawing>
          <wp:inline distT="0" distB="0" distL="0" distR="0">
            <wp:extent cx="5667375" cy="33051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8"/>
                    <a:stretch>
                      <a:fillRect/>
                    </a:stretch>
                  </pic:blipFill>
                  <pic:spPr>
                    <a:xfrm>
                      <a:off x="0" y="0"/>
                      <a:ext cx="5667375" cy="33051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22" w:name="_Toc154519437"/>
      <w:r>
        <w:rPr>
          <w:rFonts w:hint="eastAsia"/>
        </w:rPr>
        <w:t>人活动区域旋涡区/无风区达标结果汇总</w:t>
      </w:r>
      <w:bookmarkEnd w:id="12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123" w:name="_Toc154519438"/>
      <w:r>
        <w:rPr>
          <w:rFonts w:hint="eastAsia"/>
        </w:rPr>
        <w:t>外窗内外表面风压差达标分析</w:t>
      </w:r>
      <w:bookmarkEnd w:id="123"/>
    </w:p>
    <w:p>
      <w:pPr>
        <w:pStyle w:val="3"/>
        <w:ind w:firstLine="420"/>
      </w:pPr>
      <w:r>
        <w:rPr>
          <w:rFonts w:hint="eastAsia"/>
          <w:lang w:val="en-US"/>
        </w:rPr>
        <w:t>分析《绿色建筑评价标准》，夏季为充分利用自然通风获得良好的室内风环境，要求50%以上可开启外窗室内外表面的风压差大于0.5Pa。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r>
        <w:drawing>
          <wp:inline distT="0" distB="0" distL="0" distR="0">
            <wp:extent cx="5667375" cy="3105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9"/>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p>
    <w:p>
      <w:pPr>
        <w:pStyle w:val="13"/>
        <w:jc w:val="center"/>
      </w:pPr>
      <w:r>
        <w:drawing>
          <wp:inline distT="0" distB="0" distL="0" distR="0">
            <wp:extent cx="5667375" cy="3143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80"/>
                    <a:stretch>
                      <a:fillRect/>
                    </a:stretch>
                  </pic:blipFill>
                  <pic:spPr>
                    <a:xfrm>
                      <a:off x="0" y="0"/>
                      <a:ext cx="5667375" cy="31432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&lt;未命名&gt;(单体加院子)</w:t>
            </w:r>
          </w:p>
        </w:tc>
        <w:tc>
          <w:tcPr>
            <w:tcW w:w="1134" w:type="dxa"/>
            <w:shd w:val="clear" w:color="auto" w:fill="auto"/>
            <w:vAlign w:val="center"/>
          </w:tcPr>
          <w:p>
            <w:pPr>
              <w:jc w:val="center"/>
              <w:rPr>
                <w:lang w:val="en-US"/>
              </w:rPr>
            </w:pPr>
            <w:r>
              <w:rPr>
                <w:lang w:val="en-US"/>
              </w:rPr>
              <w:t>16</w:t>
            </w:r>
          </w:p>
        </w:tc>
        <w:tc>
          <w:tcPr>
            <w:tcW w:w="1984" w:type="dxa"/>
            <w:shd w:val="clear" w:color="auto" w:fill="auto"/>
            <w:vAlign w:val="center"/>
          </w:tcPr>
          <w:p>
            <w:pPr>
              <w:jc w:val="center"/>
              <w:rPr>
                <w:lang w:val="en-US"/>
              </w:rPr>
            </w:pPr>
            <w:r>
              <w:rPr>
                <w:lang w:val="en-US"/>
              </w:rPr>
              <w:t>11</w:t>
            </w:r>
          </w:p>
        </w:tc>
        <w:tc>
          <w:tcPr>
            <w:tcW w:w="1116" w:type="dxa"/>
            <w:shd w:val="clear" w:color="auto" w:fill="auto"/>
            <w:vAlign w:val="center"/>
          </w:tcPr>
          <w:p>
            <w:pPr>
              <w:jc w:val="center"/>
              <w:rPr>
                <w:lang w:val="en-US"/>
              </w:rPr>
            </w:pPr>
            <w:r>
              <w:rPr>
                <w:lang w:val="en-US"/>
              </w:rPr>
              <w:t>68.75</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p>
    <w:p/>
    <w:p>
      <w:pPr>
        <w:rPr>
          <w:lang w:val="en-US"/>
        </w:rPr>
      </w:pPr>
      <w:r>
        <w:rPr>
          <w:rFonts w:hint="eastAsia"/>
          <w:lang w:val="en-US"/>
        </w:rPr>
        <w:t xml:space="preserve">结论：本项目中所有建筑均满足“50%以上可开启外窗室内外表面的风压差大于0.5Pa”的要求。 </w:t>
      </w:r>
    </w:p>
    <w:p>
      <w:pPr>
        <w:pStyle w:val="4"/>
      </w:pPr>
      <w:bookmarkStart w:id="124" w:name="季节1"/>
      <w:bookmarkStart w:id="125" w:name="_Toc154519439"/>
      <w:bookmarkStart w:id="126" w:name="_Toc509844759"/>
      <w:r>
        <w:rPr>
          <w:rFonts w:hint="eastAsia"/>
        </w:rPr>
        <w:t>过渡季</w:t>
      </w:r>
      <w:bookmarkEnd w:id="124"/>
      <w:r>
        <w:rPr>
          <w:rFonts w:hint="eastAsia"/>
        </w:rPr>
        <w:t>工况</w:t>
      </w:r>
      <w:bookmarkEnd w:id="125"/>
      <w:bookmarkEnd w:id="126"/>
    </w:p>
    <w:p>
      <w:pPr>
        <w:pStyle w:val="3"/>
        <w:ind w:firstLine="420"/>
      </w:pPr>
      <w:r>
        <w:rPr>
          <w:rFonts w:hint="eastAsia"/>
          <w:lang w:val="en-US"/>
        </w:rPr>
        <w:t>本项目</w:t>
      </w:r>
      <w:bookmarkStart w:id="127" w:name="季节2"/>
      <w:r>
        <w:rPr>
          <w:rFonts w:hint="eastAsia"/>
          <w:lang w:val="en-US"/>
        </w:rPr>
        <w:t>过渡季</w:t>
      </w:r>
      <w:bookmarkEnd w:id="127"/>
      <w:r>
        <w:rPr>
          <w:rFonts w:hint="eastAsia"/>
          <w:lang w:val="en-US"/>
        </w:rPr>
        <w:t>工况的入口边界风速为</w:t>
      </w:r>
      <w:bookmarkStart w:id="128" w:name="入口边界风速"/>
      <w:r>
        <w:rPr>
          <w:rFonts w:hint="eastAsia"/>
          <w:lang w:val="en-US"/>
        </w:rPr>
        <w:t>2.60</w:t>
      </w:r>
      <w:bookmarkEnd w:id="128"/>
      <w:r>
        <w:rPr>
          <w:rFonts w:hint="eastAsia"/>
          <w:lang w:val="en-US"/>
        </w:rPr>
        <w:t>m/s，风向为</w:t>
      </w:r>
      <w:bookmarkStart w:id="129" w:name="入口边界风向"/>
      <w:r>
        <w:t>S</w:t>
      </w:r>
      <w:bookmarkEnd w:id="129"/>
      <w:r>
        <w:rPr>
          <w:rFonts w:hint="eastAsia"/>
          <w:lang w:val="en-US"/>
        </w:rPr>
        <w:t>。</w:t>
      </w:r>
    </w:p>
    <w:p>
      <w:pPr>
        <w:pStyle w:val="3"/>
        <w:ind w:firstLine="420"/>
      </w:pPr>
      <w:r>
        <w:rPr>
          <w:rFonts w:hint="eastAsia"/>
          <w:lang w:val="en-US"/>
        </w:rPr>
        <w:t>根据前述《绿色建筑评价标准》 对于夏季工况的要求，</w:t>
      </w:r>
      <w:bookmarkStart w:id="130" w:name="季节3"/>
      <w:r>
        <w:rPr>
          <w:rFonts w:hint="eastAsia"/>
          <w:lang w:val="en-US"/>
        </w:rPr>
        <w:t>过渡季</w:t>
      </w:r>
      <w:bookmarkEnd w:id="130"/>
      <w:r>
        <w:rPr>
          <w:rFonts w:hint="eastAsia"/>
          <w:lang w:val="en-US"/>
        </w:rPr>
        <w:t>典型风速和风向条件下，场地内人活动区不出现涡旋或无风区。通过该项标准指导设计确保合理的建筑布局，在</w:t>
      </w:r>
      <w:bookmarkStart w:id="131" w:name="季节4"/>
      <w:r>
        <w:rPr>
          <w:rFonts w:hint="eastAsia"/>
          <w:lang w:val="en-US"/>
        </w:rPr>
        <w:t>过渡季</w:t>
      </w:r>
      <w:bookmarkEnd w:id="131"/>
      <w:r>
        <w:rPr>
          <w:rFonts w:hint="eastAsia"/>
          <w:lang w:val="en-US"/>
        </w:rPr>
        <w:t>形成有效的巷道风，优化街区自然通风环境，避免</w:t>
      </w:r>
      <w:bookmarkStart w:id="132" w:name="季节5"/>
      <w:r>
        <w:rPr>
          <w:rFonts w:hint="eastAsia"/>
          <w:lang w:val="en-US"/>
        </w:rPr>
        <w:t>过渡季</w:t>
      </w:r>
      <w:bookmarkEnd w:id="132"/>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3" w:name="_Toc154519440"/>
      <w:bookmarkStart w:id="134" w:name="_Toc509844760"/>
      <w:r>
        <w:rPr>
          <w:rFonts w:hint="eastAsia"/>
        </w:rPr>
        <w:t>人活动区域无风区计算分析</w:t>
      </w:r>
      <w:bookmarkEnd w:id="133"/>
      <w:bookmarkEnd w:id="134"/>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35" w:name="人活动区风速分析结论"/>
      <w:bookmarkEnd w:id="135"/>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136" w:name="人行区风速云图"/>
      <w:bookmarkEnd w:id="136"/>
      <w:r>
        <w:drawing>
          <wp:inline distT="0" distB="0" distL="0" distR="0">
            <wp:extent cx="5667375" cy="2914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7"/>
                    <a:stretch>
                      <a:fillRect/>
                    </a:stretch>
                  </pic:blipFill>
                  <pic:spPr>
                    <a:xfrm>
                      <a:off x="0" y="0"/>
                      <a:ext cx="5667375" cy="29146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37" w:name="季节6"/>
      <w:r>
        <w:rPr>
          <w:rFonts w:hint="eastAsia" w:ascii="黑体" w:hAnsi="黑体" w:eastAsia="黑体"/>
          <w:sz w:val="20"/>
          <w:szCs w:val="20"/>
        </w:rPr>
        <w:t>过渡季</w:t>
      </w:r>
      <w:bookmarkEnd w:id="137"/>
      <w:r>
        <w:rPr>
          <w:rFonts w:hint="eastAsia"/>
        </w:rPr>
        <w:t xml:space="preserve"> </w:t>
      </w:r>
    </w:p>
    <w:p>
      <w:pPr>
        <w:pStyle w:val="3"/>
        <w:ind w:firstLine="420"/>
      </w:pPr>
    </w:p>
    <w:p>
      <w:pPr>
        <w:pStyle w:val="5"/>
      </w:pPr>
      <w:bookmarkStart w:id="138" w:name="_Toc154519441"/>
      <w:bookmarkStart w:id="139" w:name="_Toc509844761"/>
      <w:r>
        <w:rPr>
          <w:rFonts w:hint="eastAsia"/>
        </w:rPr>
        <w:t>人活动区域旋涡区分析</w:t>
      </w:r>
      <w:bookmarkEnd w:id="138"/>
      <w:bookmarkEnd w:id="139"/>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140" w:name="人行区风速矢量图"/>
      <w:bookmarkEnd w:id="140"/>
      <w:r>
        <w:drawing>
          <wp:inline distT="0" distB="0" distL="0" distR="0">
            <wp:extent cx="5667375" cy="33051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8"/>
                    <a:stretch>
                      <a:fillRect/>
                    </a:stretch>
                  </pic:blipFill>
                  <pic:spPr>
                    <a:xfrm>
                      <a:off x="0" y="0"/>
                      <a:ext cx="5667375" cy="33051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41" w:name="_Toc509844762"/>
      <w:bookmarkStart w:id="142" w:name="_Toc154519442"/>
      <w:r>
        <w:rPr>
          <w:rFonts w:hint="eastAsia"/>
        </w:rPr>
        <w:t>人活动区域旋涡区/无风区达标</w:t>
      </w:r>
      <w:bookmarkEnd w:id="141"/>
      <w:r>
        <w:rPr>
          <w:rFonts w:hint="eastAsia"/>
        </w:rPr>
        <w:t>结果汇总</w:t>
      </w:r>
      <w:bookmarkEnd w:id="14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43" w:name="季节8"/>
      <w:r>
        <w:rPr>
          <w:rFonts w:hint="eastAsia" w:ascii="黑体" w:hAnsi="黑体" w:eastAsia="黑体"/>
          <w:sz w:val="20"/>
          <w:szCs w:val="20"/>
        </w:rPr>
        <w:t>过渡季</w:t>
      </w:r>
      <w:bookmarkEnd w:id="143"/>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4" w:name="是否有无风区"/>
            <w:r>
              <w:rPr>
                <w:rFonts w:hint="eastAsia" w:ascii="宋体" w:hAnsi="宋体" w:cs="宋体"/>
                <w:color w:val="000000"/>
                <w:sz w:val="22"/>
                <w:szCs w:val="22"/>
                <w:lang w:val="en-US"/>
              </w:rPr>
              <w:t>否</w:t>
            </w:r>
            <w:bookmarkEnd w:id="144"/>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5" w:name="无风区达标判断"/>
            <w:r>
              <w:rPr>
                <w:rFonts w:hint="eastAsia" w:ascii="宋体" w:hAnsi="宋体" w:cs="宋体"/>
                <w:color w:val="000000"/>
                <w:sz w:val="22"/>
                <w:szCs w:val="22"/>
                <w:lang w:val="en-US"/>
              </w:rPr>
              <w:t>是</w:t>
            </w:r>
            <w:bookmarkEnd w:id="145"/>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6" w:name="是否有旋涡区"/>
            <w:r>
              <w:rPr>
                <w:rFonts w:ascii="宋体" w:hAnsi="宋体" w:cs="宋体"/>
                <w:color w:val="000000"/>
                <w:sz w:val="22"/>
                <w:szCs w:val="22"/>
                <w:lang w:val="en-US"/>
              </w:rPr>
              <w:t>否</w:t>
            </w:r>
            <w:bookmarkEnd w:id="146"/>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7" w:name="旋涡区达标判断"/>
            <w:r>
              <w:rPr>
                <w:rFonts w:ascii="宋体" w:hAnsi="宋体" w:cs="宋体"/>
                <w:color w:val="000000"/>
                <w:sz w:val="22"/>
                <w:szCs w:val="22"/>
                <w:lang w:val="en-US"/>
              </w:rPr>
              <w:t>是</w:t>
            </w:r>
            <w:bookmarkEnd w:id="147"/>
          </w:p>
        </w:tc>
      </w:tr>
    </w:tbl>
    <w:p>
      <w:pPr>
        <w:pStyle w:val="5"/>
      </w:pPr>
      <w:bookmarkStart w:id="148" w:name="_Toc504501018"/>
      <w:bookmarkStart w:id="149" w:name="_Toc509844763"/>
      <w:bookmarkStart w:id="150" w:name="_Toc154519443"/>
      <w:r>
        <w:rPr>
          <w:rFonts w:hint="eastAsia"/>
        </w:rPr>
        <w:t>外窗内外表面风压</w:t>
      </w:r>
      <w:bookmarkEnd w:id="148"/>
      <w:r>
        <w:rPr>
          <w:rFonts w:hint="eastAsia"/>
        </w:rPr>
        <w:t>差达标分析</w:t>
      </w:r>
      <w:bookmarkEnd w:id="149"/>
      <w:bookmarkEnd w:id="150"/>
    </w:p>
    <w:p>
      <w:pPr>
        <w:pStyle w:val="3"/>
        <w:ind w:firstLine="420"/>
      </w:pPr>
      <w:r>
        <w:rPr>
          <w:rFonts w:hint="eastAsia"/>
          <w:lang w:val="en-US"/>
        </w:rPr>
        <w:t>分析《绿色建筑评价标准》，</w:t>
      </w:r>
      <w:bookmarkStart w:id="151" w:name="季节9"/>
      <w:r>
        <w:rPr>
          <w:rFonts w:hint="eastAsia"/>
          <w:lang w:val="en-US"/>
        </w:rPr>
        <w:t>过渡季</w:t>
      </w:r>
      <w:bookmarkEnd w:id="151"/>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52" w:name="迎风面风压云图"/>
      <w:bookmarkEnd w:id="152"/>
      <w:r>
        <w:drawing>
          <wp:inline distT="0" distB="0" distL="0" distR="0">
            <wp:extent cx="5667375" cy="31051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9"/>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53" w:name="季节10"/>
      <w:r>
        <w:rPr>
          <w:rFonts w:hint="eastAsia" w:ascii="黑体" w:hAnsi="黑体" w:eastAsia="黑体"/>
          <w:sz w:val="20"/>
          <w:szCs w:val="20"/>
        </w:rPr>
        <w:t>过渡季</w:t>
      </w:r>
      <w:bookmarkEnd w:id="153"/>
    </w:p>
    <w:p>
      <w:pPr>
        <w:pStyle w:val="13"/>
        <w:jc w:val="center"/>
      </w:pPr>
      <w:bookmarkStart w:id="154" w:name="背风面风压云图"/>
      <w:bookmarkEnd w:id="154"/>
      <w:r>
        <w:drawing>
          <wp:inline distT="0" distB="0" distL="0" distR="0">
            <wp:extent cx="5667375" cy="3143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0"/>
                    <a:stretch>
                      <a:fillRect/>
                    </a:stretch>
                  </pic:blipFill>
                  <pic:spPr>
                    <a:xfrm>
                      <a:off x="0" y="0"/>
                      <a:ext cx="5667375" cy="31432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5" w:name="季节11"/>
      <w:r>
        <w:rPr>
          <w:rFonts w:hint="eastAsia" w:ascii="黑体" w:hAnsi="黑体" w:eastAsia="黑体"/>
          <w:sz w:val="20"/>
          <w:szCs w:val="20"/>
        </w:rPr>
        <w:t>过渡季</w:t>
      </w:r>
      <w:bookmarkEnd w:id="155"/>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5.4</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&lt;未命名&gt;(单体加院子)</w:t>
            </w:r>
          </w:p>
        </w:tc>
        <w:tc>
          <w:tcPr>
            <w:tcW w:w="1134" w:type="dxa"/>
            <w:shd w:val="clear" w:color="auto" w:fill="auto"/>
            <w:vAlign w:val="center"/>
          </w:tcPr>
          <w:p>
            <w:pPr>
              <w:jc w:val="center"/>
              <w:rPr>
                <w:lang w:val="en-US"/>
              </w:rPr>
            </w:pPr>
            <w:r>
              <w:rPr>
                <w:lang w:val="en-US"/>
              </w:rPr>
              <w:t>16</w:t>
            </w:r>
          </w:p>
        </w:tc>
        <w:tc>
          <w:tcPr>
            <w:tcW w:w="1984" w:type="dxa"/>
            <w:shd w:val="clear" w:color="auto" w:fill="auto"/>
            <w:vAlign w:val="center"/>
          </w:tcPr>
          <w:p>
            <w:pPr>
              <w:jc w:val="center"/>
              <w:rPr>
                <w:lang w:val="en-US"/>
              </w:rPr>
            </w:pPr>
            <w:r>
              <w:rPr>
                <w:lang w:val="en-US"/>
              </w:rPr>
              <w:t>11</w:t>
            </w:r>
          </w:p>
        </w:tc>
        <w:tc>
          <w:tcPr>
            <w:tcW w:w="1116" w:type="dxa"/>
            <w:shd w:val="clear" w:color="auto" w:fill="auto"/>
            <w:vAlign w:val="center"/>
          </w:tcPr>
          <w:p>
            <w:pPr>
              <w:jc w:val="center"/>
              <w:rPr>
                <w:lang w:val="en-US"/>
              </w:rPr>
            </w:pPr>
            <w:r>
              <w:rPr>
                <w:lang w:val="en-US"/>
              </w:rPr>
              <w:t>68.75</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56" w:name="建筑外窗室内外风压差达标判定"/>
      <w:bookmarkEnd w:id="156"/>
    </w:p>
    <w:p/>
    <w:p>
      <w:pPr>
        <w:rPr>
          <w:lang w:val="en-US"/>
        </w:rPr>
      </w:pPr>
      <w:bookmarkStart w:id="157" w:name="建筑室内外风压差达标判定结论"/>
      <w:r>
        <w:rPr>
          <w:rFonts w:hint="eastAsia"/>
          <w:lang w:val="en-US"/>
        </w:rPr>
        <w:t>结论：本项目中所有建筑均满足“50%以上可开启外窗室内外表面的风压差大于0.5Pa”的要求。</w:t>
      </w:r>
      <w:bookmarkEnd w:id="157"/>
      <w:r>
        <w:rPr>
          <w:rFonts w:hint="eastAsia"/>
          <w:lang w:val="en-US"/>
        </w:rPr>
        <w:t xml:space="preserve"> </w:t>
      </w:r>
    </w:p>
    <w:p>
      <w:pPr>
        <w:rPr>
          <w:lang w:val="en-US"/>
        </w:rPr>
      </w:pPr>
      <w:bookmarkStart w:id="158" w:name="其他工况"/>
      <w:bookmarkEnd w:id="158"/>
      <w:r>
        <w:rPr>
          <w:rFonts w:hint="eastAsia"/>
          <w:lang w:val="en-US"/>
        </w:rPr>
        <w:t xml:space="preserve"> </w:t>
      </w:r>
    </w:p>
    <w:p>
      <w:pPr>
        <w:pStyle w:val="4"/>
      </w:pPr>
      <w:bookmarkStart w:id="159" w:name="_Toc154519444"/>
      <w:bookmarkStart w:id="160" w:name="_Toc509844764"/>
      <w:r>
        <w:rPr>
          <w:rFonts w:hint="eastAsia"/>
        </w:rPr>
        <w:t>结论</w:t>
      </w:r>
      <w:bookmarkEnd w:id="159"/>
      <w:bookmarkEnd w:id="160"/>
    </w:p>
    <w:p>
      <w:pPr>
        <w:pStyle w:val="5"/>
      </w:pPr>
      <w:bookmarkStart w:id="161" w:name="_Toc154519445"/>
      <w:bookmarkStart w:id="162" w:name="_Toc509844765"/>
      <w:r>
        <w:rPr>
          <w:rFonts w:hint="eastAsia"/>
        </w:rPr>
        <w:t>冬季工况达标判断</w:t>
      </w:r>
      <w:bookmarkEnd w:id="161"/>
      <w:bookmarkEnd w:id="162"/>
      <w:bookmarkStart w:id="163" w:name="_Toc509844766"/>
      <w:bookmarkEnd w:id="16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4" w:name="标准要求冬季风速得分"/>
            <w:r>
              <w:rPr>
                <w:rFonts w:hint="eastAsia"/>
                <w:lang w:val="en-US"/>
              </w:rPr>
              <w:t>3</w:t>
            </w:r>
            <w:bookmarkEnd w:id="164"/>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5" w:name="冬季风速结果"/>
            <w:bookmarkEnd w:id="165"/>
            <w:bookmarkStart w:id="166" w:name="冬季风速结果2"/>
            <w:bookmarkEnd w:id="166"/>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67" w:name="冬季风速达标判定"/>
            <w:r>
              <w:rPr>
                <w:rFonts w:hint="eastAsia"/>
                <w:b/>
                <w:lang w:val="en-US"/>
              </w:rPr>
              <w:t>达标</w:t>
            </w:r>
            <w:bookmarkEnd w:id="167"/>
          </w:p>
        </w:tc>
        <w:tc>
          <w:tcPr>
            <w:tcW w:w="1416" w:type="dxa"/>
            <w:vMerge w:val="restart"/>
            <w:tcBorders>
              <w:top w:val="single" w:color="auto" w:sz="4" w:space="0"/>
            </w:tcBorders>
            <w:shd w:val="clear" w:color="auto" w:fill="auto"/>
            <w:vAlign w:val="center"/>
          </w:tcPr>
          <w:p>
            <w:pPr>
              <w:jc w:val="center"/>
              <w:rPr>
                <w:lang w:val="en-US"/>
              </w:rPr>
            </w:pPr>
            <w:bookmarkStart w:id="168" w:name="冬季风速得分"/>
            <w:r>
              <w:rPr>
                <w:rFonts w:hint="eastAsia"/>
                <w:lang w:val="en-US"/>
              </w:rPr>
              <w:t>3</w:t>
            </w:r>
            <w:bookmarkEnd w:id="168"/>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69" w:name="冬季风速放大系数结果人行区"/>
            <w:bookmarkEnd w:id="169"/>
            <w:bookmarkStart w:id="170" w:name="冬季风速放大系数结果休息区"/>
            <w:bookmarkEnd w:id="170"/>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71" w:name="标准要求冬季风压得分"/>
            <w:r>
              <w:rPr>
                <w:rFonts w:hint="eastAsia"/>
                <w:lang w:val="en-US"/>
              </w:rPr>
              <w:t>2</w:t>
            </w:r>
            <w:bookmarkEnd w:id="171"/>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72" w:name="冬季迎背风面结果"/>
            <w:r>
              <w:t>没有出现</w:t>
            </w:r>
            <w:bookmarkEnd w:id="172"/>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73" w:name="冬季迎背风面达标判定"/>
            <w:r>
              <w:rPr>
                <w:rFonts w:hint="eastAsia"/>
                <w:b/>
                <w:lang w:val="en-US"/>
              </w:rPr>
              <w:t>达标</w:t>
            </w:r>
            <w:bookmarkEnd w:id="173"/>
          </w:p>
        </w:tc>
        <w:tc>
          <w:tcPr>
            <w:tcW w:w="1416" w:type="dxa"/>
            <w:shd w:val="clear" w:color="auto" w:fill="auto"/>
            <w:vAlign w:val="center"/>
          </w:tcPr>
          <w:p>
            <w:pPr>
              <w:jc w:val="center"/>
              <w:rPr>
                <w:lang w:val="en-US"/>
              </w:rPr>
            </w:pPr>
            <w:bookmarkStart w:id="174" w:name="冬季迎背风面得分"/>
            <w:r>
              <w:rPr>
                <w:rFonts w:hint="eastAsia"/>
                <w:lang w:val="en-US"/>
              </w:rPr>
              <w:t>2</w:t>
            </w:r>
            <w:bookmarkEnd w:id="174"/>
            <w:r>
              <w:rPr>
                <w:rFonts w:hint="eastAsia"/>
                <w:lang w:val="en-US"/>
              </w:rPr>
              <w:t>分</w:t>
            </w:r>
          </w:p>
        </w:tc>
      </w:tr>
    </w:tbl>
    <w:p>
      <w:pPr>
        <w:rPr>
          <w:szCs w:val="21"/>
          <w:lang w:val="en-US"/>
        </w:rPr>
      </w:pPr>
    </w:p>
    <w:p>
      <w:pPr>
        <w:pStyle w:val="5"/>
      </w:pPr>
      <w:bookmarkStart w:id="175" w:name="_Toc509844767"/>
      <w:bookmarkEnd w:id="175"/>
      <w:bookmarkStart w:id="176" w:name="_Toc509844768"/>
      <w:bookmarkEnd w:id="176"/>
      <w:bookmarkStart w:id="177" w:name="_Toc509844769"/>
      <w:bookmarkStart w:id="178" w:name="_Toc154519446"/>
      <w:r>
        <w:rPr>
          <w:rFonts w:hint="eastAsia"/>
        </w:rPr>
        <w:t>过渡季、夏季工况达标判断</w:t>
      </w:r>
      <w:bookmarkEnd w:id="177"/>
      <w:bookmarkEnd w:id="17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9" w:name="标准要求夏季风速得分"/>
            <w:r>
              <w:rPr>
                <w:rFonts w:hint="eastAsia"/>
                <w:lang w:val="en-US"/>
              </w:rPr>
              <w:t>3</w:t>
            </w:r>
            <w:bookmarkEnd w:id="179"/>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80" w:name="夏季无风区结果人活动区文字"/>
            <w:r>
              <w:rPr>
                <w:rFonts w:hint="eastAsia"/>
                <w:lang w:val="en-US"/>
              </w:rPr>
              <w:t>人活动区</w:t>
            </w:r>
            <w:bookmarkStart w:id="181" w:name="夏季无风区结果"/>
            <w:r>
              <w:t>没有</w:t>
            </w:r>
            <w:bookmarkEnd w:id="180"/>
            <w:bookmarkEnd w:id="181"/>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82" w:name="夏季无风区达标判定"/>
            <w:r>
              <w:rPr>
                <w:rFonts w:hint="eastAsia"/>
                <w:b/>
                <w:lang w:val="en-US"/>
              </w:rPr>
              <w:t>达标</w:t>
            </w:r>
            <w:bookmarkEnd w:id="182"/>
          </w:p>
        </w:tc>
        <w:tc>
          <w:tcPr>
            <w:tcW w:w="1416" w:type="dxa"/>
            <w:vMerge w:val="restart"/>
            <w:tcBorders>
              <w:top w:val="single" w:color="auto" w:sz="4" w:space="0"/>
            </w:tcBorders>
            <w:shd w:val="clear" w:color="auto" w:fill="auto"/>
            <w:vAlign w:val="center"/>
          </w:tcPr>
          <w:p>
            <w:pPr>
              <w:jc w:val="center"/>
              <w:rPr>
                <w:lang w:val="en-US"/>
              </w:rPr>
            </w:pPr>
            <w:bookmarkStart w:id="183" w:name="夏季无风区得分"/>
            <w:r>
              <w:rPr>
                <w:rFonts w:hint="eastAsia"/>
                <w:lang w:val="en-US"/>
              </w:rPr>
              <w:t>3</w:t>
            </w:r>
            <w:bookmarkEnd w:id="183"/>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84" w:name="夏季旋涡区结果人活动区文字"/>
            <w:r>
              <w:rPr>
                <w:rFonts w:hint="eastAsia"/>
                <w:lang w:val="en-US"/>
              </w:rPr>
              <w:t>人活动区</w:t>
            </w:r>
            <w:bookmarkEnd w:id="184"/>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85" w:name="标准要求夏季风压得分"/>
            <w:r>
              <w:rPr>
                <w:rFonts w:hint="eastAsia"/>
                <w:lang w:val="en-US"/>
              </w:rPr>
              <w:t>2</w:t>
            </w:r>
            <w:bookmarkEnd w:id="185"/>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86" w:name="夏季窗内外风压差结果"/>
            <w:r>
              <w:rPr>
                <w:rFonts w:hint="eastAsia"/>
                <w:lang w:val="en-US"/>
              </w:rPr>
              <w:t>满足</w:t>
            </w:r>
            <w:bookmarkEnd w:id="186"/>
            <w:r>
              <w:rPr>
                <w:rFonts w:hint="eastAsia"/>
                <w:lang w:val="en-US"/>
              </w:rPr>
              <w:t>标准要求</w:t>
            </w:r>
          </w:p>
        </w:tc>
        <w:tc>
          <w:tcPr>
            <w:tcW w:w="1844" w:type="dxa"/>
            <w:shd w:val="clear" w:color="auto" w:fill="auto"/>
            <w:vAlign w:val="center"/>
          </w:tcPr>
          <w:p>
            <w:pPr>
              <w:jc w:val="center"/>
              <w:rPr>
                <w:b/>
                <w:lang w:val="en-US"/>
              </w:rPr>
            </w:pPr>
            <w:bookmarkStart w:id="187" w:name="夏季窗内外风压差达标判定"/>
            <w:r>
              <w:rPr>
                <w:rFonts w:hint="eastAsia"/>
                <w:b/>
                <w:lang w:val="en-US"/>
              </w:rPr>
              <w:t>达标</w:t>
            </w:r>
            <w:bookmarkEnd w:id="187"/>
          </w:p>
        </w:tc>
        <w:tc>
          <w:tcPr>
            <w:tcW w:w="1416" w:type="dxa"/>
            <w:shd w:val="clear" w:color="auto" w:fill="auto"/>
            <w:vAlign w:val="center"/>
          </w:tcPr>
          <w:p>
            <w:pPr>
              <w:jc w:val="center"/>
              <w:rPr>
                <w:lang w:val="en-US"/>
              </w:rPr>
            </w:pPr>
            <w:bookmarkStart w:id="188" w:name="夏季窗内外风压差得分"/>
            <w:r>
              <w:rPr>
                <w:rFonts w:hint="eastAsia"/>
                <w:lang w:val="en-US"/>
              </w:rPr>
              <w:t>2</w:t>
            </w:r>
            <w:bookmarkEnd w:id="188"/>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89" w:name="总得分"/>
      <w:r>
        <w:rPr>
          <w:rFonts w:hint="eastAsia"/>
          <w:lang w:val="en-US"/>
        </w:rPr>
        <w:t>10</w:t>
      </w:r>
      <w:bookmarkEnd w:id="18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F5105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1215"/>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51057"/>
    <w:rsid w:val="00F67DF1"/>
    <w:rsid w:val="00F7520A"/>
    <w:rsid w:val="00F75DD1"/>
    <w:rsid w:val="00F97363"/>
    <w:rsid w:val="00FA4B87"/>
    <w:rsid w:val="00FA58D9"/>
    <w:rsid w:val="00FB28FF"/>
    <w:rsid w:val="00FB6C39"/>
    <w:rsid w:val="00FC7756"/>
    <w:rsid w:val="00FE4CC4"/>
    <w:rsid w:val="00FE79B9"/>
    <w:rsid w:val="00FF2243"/>
    <w:rsid w:val="151722D7"/>
    <w:rsid w:val="7DD6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27</Pages>
  <Words>2150</Words>
  <Characters>12256</Characters>
  <Lines>102</Lines>
  <Paragraphs>28</Paragraphs>
  <TotalTime>0</TotalTime>
  <ScaleCrop>false</ScaleCrop>
  <LinksUpToDate>false</LinksUpToDate>
  <CharactersWithSpaces>14378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2023-12-26T13:43:00Z</dcterms:created>
  <dc:creator>Administrator</dc:creator>
  <cp:lastModifiedBy>介子生</cp:lastModifiedBy>
  <cp:lastPrinted>1900-12-31T16:00:00Z</cp:lastPrinted>
  <dcterms:modified xsi:type="dcterms:W3CDTF">2024-01-10T03:48:11Z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BA681FA5A9954B2F9E6BE34E10CD3A71_12</vt:lpwstr>
  </property>
</Properties>
</file>