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r>
              <w:rPr>
                <w:rFonts w:hint="eastAsia"/>
              </w:rPr>
              <w:t>绿贝佳居——马邱村装配式农房设计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r>
              <w:t>华北理工大学</w:t>
            </w:r>
            <w:r>
              <w:rPr>
                <w:rFonts w:hint="eastAsia"/>
                <w:lang w:val="en-US" w:eastAsia="zh-CN"/>
              </w:rPr>
              <w:t>建筑工程学院</w:t>
            </w:r>
            <w:bookmarkStart w:id="71" w:name="_GoBack"/>
            <w:bookmarkEnd w:id="7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r>
              <w:t>华北理工大学</w:t>
            </w:r>
            <w:r>
              <w:rPr>
                <w:rFonts w:hint="eastAsia"/>
                <w:lang w:val="en-US" w:eastAsia="zh-CN"/>
              </w:rPr>
              <w:t>建筑工程学院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2023年12月27日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T15256452557</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14:ligatures w14:val="standardContextual"/>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"_Toc154609662" </w:instrText>
      </w:r>
      <w:r>
        <w:fldChar w:fldCharType="separate"/>
      </w:r>
      <w:r>
        <w:rPr>
          <w:rStyle w:val="25"/>
        </w:rPr>
        <w:t>1</w:t>
      </w:r>
      <w:r>
        <w:rPr>
          <w:rFonts w:asciiTheme="minorHAnsi" w:hAnsiTheme="minorHAnsi" w:eastAsiaTheme="minorEastAsia" w:cstheme="minorBidi"/>
          <w:b w:val="0"/>
          <w:bCs w:val="0"/>
          <w:sz w:val="21"/>
          <w:szCs w:val="22"/>
          <w14:ligatures w14:val="standardContextual"/>
        </w:rPr>
        <w:tab/>
      </w:r>
      <w:r>
        <w:rPr>
          <w:rStyle w:val="25"/>
        </w:rPr>
        <w:t>建筑概况</w:t>
      </w:r>
      <w:r>
        <w:tab/>
      </w:r>
      <w:r>
        <w:fldChar w:fldCharType="begin"/>
      </w:r>
      <w:r>
        <w:instrText xml:space="preserve"> PAGEREF _Toc154609662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"_Toc154609663" </w:instrText>
      </w:r>
      <w:r>
        <w:fldChar w:fldCharType="separate"/>
      </w:r>
      <w:r>
        <w:rPr>
          <w:rStyle w:val="25"/>
        </w:rPr>
        <w:t>2</w:t>
      </w:r>
      <w:r>
        <w:rPr>
          <w:rFonts w:asciiTheme="minorHAnsi" w:hAnsiTheme="minorHAnsi" w:eastAsiaTheme="minorEastAsia" w:cstheme="minorBidi"/>
          <w:b w:val="0"/>
          <w:bCs w:val="0"/>
          <w:sz w:val="21"/>
          <w:szCs w:val="22"/>
          <w14:ligatures w14:val="standardContextual"/>
        </w:rPr>
        <w:tab/>
      </w:r>
      <w:r>
        <w:rPr>
          <w:rStyle w:val="25"/>
        </w:rPr>
        <w:t>评价依据</w:t>
      </w:r>
      <w:r>
        <w:tab/>
      </w:r>
      <w:r>
        <w:fldChar w:fldCharType="begin"/>
      </w:r>
      <w:r>
        <w:instrText xml:space="preserve"> PAGEREF _Toc154609663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"_Toc154609664" </w:instrText>
      </w:r>
      <w:r>
        <w:fldChar w:fldCharType="separate"/>
      </w:r>
      <w:r>
        <w:rPr>
          <w:rStyle w:val="25"/>
        </w:rPr>
        <w:t>3</w:t>
      </w:r>
      <w:r>
        <w:rPr>
          <w:rFonts w:asciiTheme="minorHAnsi" w:hAnsiTheme="minorHAnsi" w:eastAsiaTheme="minorEastAsia" w:cstheme="minorBidi"/>
          <w:b w:val="0"/>
          <w:bCs w:val="0"/>
          <w:sz w:val="21"/>
          <w:szCs w:val="22"/>
          <w14:ligatures w14:val="standardContextual"/>
        </w:rPr>
        <w:tab/>
      </w:r>
      <w:r>
        <w:rPr>
          <w:rStyle w:val="25"/>
        </w:rPr>
        <w:t>标准要求</w:t>
      </w:r>
      <w:r>
        <w:tab/>
      </w:r>
      <w:r>
        <w:fldChar w:fldCharType="begin"/>
      </w:r>
      <w:r>
        <w:instrText xml:space="preserve"> PAGEREF _Toc154609664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"_Toc154609665" </w:instrText>
      </w:r>
      <w:r>
        <w:fldChar w:fldCharType="separate"/>
      </w:r>
      <w:r>
        <w:rPr>
          <w:rStyle w:val="25"/>
        </w:rPr>
        <w:t>4</w:t>
      </w:r>
      <w:r>
        <w:rPr>
          <w:rFonts w:asciiTheme="minorHAnsi" w:hAnsiTheme="minorHAnsi" w:eastAsiaTheme="minorEastAsia" w:cstheme="minorBidi"/>
          <w:b w:val="0"/>
          <w:bCs w:val="0"/>
          <w:sz w:val="21"/>
          <w:szCs w:val="22"/>
          <w14:ligatures w14:val="standardContextual"/>
        </w:rPr>
        <w:tab/>
      </w:r>
      <w:r>
        <w:rPr>
          <w:rStyle w:val="25"/>
        </w:rPr>
        <w:t>隔声理论概述</w:t>
      </w:r>
      <w:r>
        <w:tab/>
      </w:r>
      <w:r>
        <w:fldChar w:fldCharType="begin"/>
      </w:r>
      <w:r>
        <w:instrText xml:space="preserve"> PAGEREF _Toc154609665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"_Toc154609666" </w:instrText>
      </w:r>
      <w:r>
        <w:fldChar w:fldCharType="separate"/>
      </w:r>
      <w:r>
        <w:rPr>
          <w:rStyle w:val="25"/>
        </w:rPr>
        <w:t>4.1</w:t>
      </w:r>
      <w:r>
        <w:rPr>
          <w:rFonts w:asciiTheme="minorHAnsi" w:hAnsiTheme="minorHAnsi" w:eastAsiaTheme="minorEastAsia" w:cstheme="minorBidi"/>
          <w:sz w:val="21"/>
          <w:szCs w:val="22"/>
          <w14:ligatures w14:val="standardContextual"/>
        </w:rPr>
        <w:tab/>
      </w:r>
      <w:r>
        <w:rPr>
          <w:rStyle w:val="25"/>
        </w:rPr>
        <w:t>原理概要</w:t>
      </w:r>
      <w:r>
        <w:tab/>
      </w:r>
      <w:r>
        <w:fldChar w:fldCharType="begin"/>
      </w:r>
      <w:r>
        <w:instrText xml:space="preserve"> PAGEREF _Toc154609666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"_Toc154609667" </w:instrText>
      </w:r>
      <w:r>
        <w:fldChar w:fldCharType="separate"/>
      </w:r>
      <w:r>
        <w:rPr>
          <w:rStyle w:val="25"/>
        </w:rPr>
        <w:t>4.2</w:t>
      </w:r>
      <w:r>
        <w:rPr>
          <w:rFonts w:asciiTheme="minorHAnsi" w:hAnsiTheme="minorHAnsi" w:eastAsiaTheme="minorEastAsia" w:cstheme="minorBidi"/>
          <w:sz w:val="21"/>
          <w:szCs w:val="22"/>
          <w14:ligatures w14:val="standardContextual"/>
        </w:rPr>
        <w:tab/>
      </w:r>
      <w:r>
        <w:rPr>
          <w:rStyle w:val="25"/>
        </w:rPr>
        <w:t>质量定律</w:t>
      </w:r>
      <w:r>
        <w:tab/>
      </w:r>
      <w:r>
        <w:fldChar w:fldCharType="begin"/>
      </w:r>
      <w:r>
        <w:instrText xml:space="preserve"> PAGEREF _Toc154609667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"_Toc154609668" </w:instrText>
      </w:r>
      <w:r>
        <w:fldChar w:fldCharType="separate"/>
      </w:r>
      <w:r>
        <w:rPr>
          <w:rStyle w:val="25"/>
        </w:rPr>
        <w:t>4.3</w:t>
      </w:r>
      <w:r>
        <w:rPr>
          <w:rFonts w:asciiTheme="minorHAnsi" w:hAnsiTheme="minorHAnsi" w:eastAsiaTheme="minorEastAsia" w:cstheme="minorBidi"/>
          <w:sz w:val="21"/>
          <w:szCs w:val="22"/>
          <w14:ligatures w14:val="standardContextual"/>
        </w:rPr>
        <w:tab/>
      </w:r>
      <w:r>
        <w:rPr>
          <w:rStyle w:val="25"/>
        </w:rPr>
        <w:t>隔声量计算经验公式</w:t>
      </w:r>
      <w:r>
        <w:tab/>
      </w:r>
      <w:r>
        <w:fldChar w:fldCharType="begin"/>
      </w:r>
      <w:r>
        <w:instrText xml:space="preserve"> PAGEREF _Toc154609668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"_Toc154609669" </w:instrText>
      </w:r>
      <w:r>
        <w:fldChar w:fldCharType="separate"/>
      </w:r>
      <w:r>
        <w:rPr>
          <w:rStyle w:val="25"/>
        </w:rPr>
        <w:t>4.4</w:t>
      </w:r>
      <w:r>
        <w:rPr>
          <w:rFonts w:asciiTheme="minorHAnsi" w:hAnsiTheme="minorHAnsi" w:eastAsiaTheme="minorEastAsia" w:cstheme="minorBidi"/>
          <w:sz w:val="21"/>
          <w:szCs w:val="22"/>
          <w14:ligatures w14:val="standardContextual"/>
        </w:rPr>
        <w:tab/>
      </w:r>
      <w:r>
        <w:rPr>
          <w:rStyle w:val="25"/>
        </w:rPr>
        <w:t>单值评价量</w:t>
      </w:r>
      <w:r>
        <w:tab/>
      </w:r>
      <w:r>
        <w:fldChar w:fldCharType="begin"/>
      </w:r>
      <w:r>
        <w:instrText xml:space="preserve"> PAGEREF _Toc154609669 \h </w:instrText>
      </w:r>
      <w:r>
        <w:fldChar w:fldCharType="separate"/>
      </w:r>
      <w:r>
        <w:t>7</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"_Toc154609670" </w:instrText>
      </w:r>
      <w:r>
        <w:fldChar w:fldCharType="separate"/>
      </w:r>
      <w:r>
        <w:rPr>
          <w:rStyle w:val="25"/>
        </w:rPr>
        <w:t>4.5</w:t>
      </w:r>
      <w:r>
        <w:rPr>
          <w:rFonts w:asciiTheme="minorHAnsi" w:hAnsiTheme="minorHAnsi" w:eastAsiaTheme="minorEastAsia" w:cstheme="minorBidi"/>
          <w:sz w:val="21"/>
          <w:szCs w:val="22"/>
          <w14:ligatures w14:val="standardContextual"/>
        </w:rPr>
        <w:tab/>
      </w:r>
      <w:r>
        <w:rPr>
          <w:rStyle w:val="25"/>
        </w:rPr>
        <w:t>频谱修正量</w:t>
      </w:r>
      <w:r>
        <w:tab/>
      </w:r>
      <w:r>
        <w:fldChar w:fldCharType="begin"/>
      </w:r>
      <w:r>
        <w:instrText xml:space="preserve"> PAGEREF _Toc154609670 \h </w:instrText>
      </w:r>
      <w:r>
        <w:fldChar w:fldCharType="separate"/>
      </w:r>
      <w:r>
        <w:t>7</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"_Toc154609671" </w:instrText>
      </w:r>
      <w:r>
        <w:fldChar w:fldCharType="separate"/>
      </w:r>
      <w:r>
        <w:rPr>
          <w:rStyle w:val="25"/>
        </w:rPr>
        <w:t>5</w:t>
      </w:r>
      <w:r>
        <w:rPr>
          <w:rFonts w:asciiTheme="minorHAnsi" w:hAnsiTheme="minorHAnsi" w:eastAsiaTheme="minorEastAsia" w:cstheme="minorBidi"/>
          <w:b w:val="0"/>
          <w:bCs w:val="0"/>
          <w:sz w:val="21"/>
          <w:szCs w:val="22"/>
          <w14:ligatures w14:val="standardContextual"/>
        </w:rPr>
        <w:tab/>
      </w:r>
      <w:r>
        <w:rPr>
          <w:rStyle w:val="25"/>
        </w:rPr>
        <w:t>构件空气声隔声性能</w:t>
      </w:r>
      <w:r>
        <w:tab/>
      </w:r>
      <w:r>
        <w:fldChar w:fldCharType="begin"/>
      </w:r>
      <w:r>
        <w:instrText xml:space="preserve"> PAGEREF _Toc154609671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"_Toc154609672" </w:instrText>
      </w:r>
      <w:r>
        <w:fldChar w:fldCharType="separate"/>
      </w:r>
      <w:r>
        <w:rPr>
          <w:rStyle w:val="25"/>
        </w:rPr>
        <w:t>5.1</w:t>
      </w:r>
      <w:r>
        <w:rPr>
          <w:rFonts w:asciiTheme="minorHAnsi" w:hAnsiTheme="minorHAnsi" w:eastAsiaTheme="minorEastAsia" w:cstheme="minorBidi"/>
          <w:sz w:val="21"/>
          <w:szCs w:val="22"/>
          <w14:ligatures w14:val="standardContextual"/>
        </w:rPr>
        <w:tab/>
      </w:r>
      <w:r>
        <w:rPr>
          <w:rStyle w:val="25"/>
        </w:rPr>
        <w:t>墙板的空气声隔声量</w:t>
      </w:r>
      <w:r>
        <w:tab/>
      </w:r>
      <w:r>
        <w:fldChar w:fldCharType="begin"/>
      </w:r>
      <w:r>
        <w:instrText xml:space="preserve"> PAGEREF _Toc154609672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"_Toc154609673" </w:instrText>
      </w:r>
      <w:r>
        <w:fldChar w:fldCharType="separate"/>
      </w:r>
      <w:r>
        <w:rPr>
          <w:rStyle w:val="25"/>
        </w:rPr>
        <w:t>5.1.1</w:t>
      </w:r>
      <w:r>
        <w:rPr>
          <w:rFonts w:asciiTheme="minorHAnsi" w:hAnsiTheme="minorHAnsi" w:eastAsiaTheme="minorEastAsia" w:cstheme="minorBidi"/>
          <w:sz w:val="21"/>
          <w:szCs w:val="22"/>
          <w14:ligatures w14:val="standardContextual"/>
        </w:rPr>
        <w:tab/>
      </w:r>
      <w:r>
        <w:rPr>
          <w:rStyle w:val="25"/>
        </w:rPr>
        <w:t>墙板构造做法</w:t>
      </w:r>
      <w:r>
        <w:tab/>
      </w:r>
      <w:r>
        <w:fldChar w:fldCharType="begin"/>
      </w:r>
      <w:r>
        <w:instrText xml:space="preserve"> PAGEREF _Toc154609673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"_Toc154609674" </w:instrText>
      </w:r>
      <w:r>
        <w:fldChar w:fldCharType="separate"/>
      </w:r>
      <w:r>
        <w:rPr>
          <w:rStyle w:val="25"/>
        </w:rPr>
        <w:t>5.1.2</w:t>
      </w:r>
      <w:r>
        <w:rPr>
          <w:rFonts w:asciiTheme="minorHAnsi" w:hAnsiTheme="minorHAnsi" w:eastAsiaTheme="minorEastAsia" w:cstheme="minorBidi"/>
          <w:sz w:val="21"/>
          <w:szCs w:val="22"/>
          <w14:ligatures w14:val="standardContextual"/>
        </w:rPr>
        <w:tab/>
      </w:r>
      <w:r>
        <w:rPr>
          <w:rStyle w:val="25"/>
        </w:rPr>
        <w:t>墙板空气声隔声性能</w:t>
      </w:r>
      <w:r>
        <w:tab/>
      </w:r>
      <w:r>
        <w:fldChar w:fldCharType="begin"/>
      </w:r>
      <w:r>
        <w:instrText xml:space="preserve"> PAGEREF _Toc154609674 \h </w:instrText>
      </w:r>
      <w:r>
        <w:fldChar w:fldCharType="separate"/>
      </w:r>
      <w:r>
        <w:t>9</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"_Toc154609675" </w:instrText>
      </w:r>
      <w:r>
        <w:fldChar w:fldCharType="separate"/>
      </w:r>
      <w:r>
        <w:rPr>
          <w:rStyle w:val="25"/>
        </w:rPr>
        <w:t>5.2</w:t>
      </w:r>
      <w:r>
        <w:rPr>
          <w:rFonts w:asciiTheme="minorHAnsi" w:hAnsiTheme="minorHAnsi" w:eastAsiaTheme="minorEastAsia" w:cstheme="minorBidi"/>
          <w:sz w:val="21"/>
          <w:szCs w:val="22"/>
          <w14:ligatures w14:val="standardContextual"/>
        </w:rPr>
        <w:tab/>
      </w:r>
      <w:r>
        <w:rPr>
          <w:rStyle w:val="25"/>
        </w:rPr>
        <w:t>门窗的空气声隔声量</w:t>
      </w:r>
      <w:r>
        <w:tab/>
      </w:r>
      <w:r>
        <w:fldChar w:fldCharType="begin"/>
      </w:r>
      <w:r>
        <w:instrText xml:space="preserve"> PAGEREF _Toc154609675 \h </w:instrText>
      </w:r>
      <w:r>
        <w:fldChar w:fldCharType="separate"/>
      </w:r>
      <w:r>
        <w:t>11</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"_Toc154609676" </w:instrText>
      </w:r>
      <w:r>
        <w:fldChar w:fldCharType="separate"/>
      </w:r>
      <w:r>
        <w:rPr>
          <w:rStyle w:val="25"/>
        </w:rPr>
        <w:t>6</w:t>
      </w:r>
      <w:r>
        <w:rPr>
          <w:rFonts w:asciiTheme="minorHAnsi" w:hAnsiTheme="minorHAnsi" w:eastAsiaTheme="minorEastAsia" w:cstheme="minorBidi"/>
          <w:b w:val="0"/>
          <w:bCs w:val="0"/>
          <w:sz w:val="21"/>
          <w:szCs w:val="22"/>
          <w14:ligatures w14:val="standardContextual"/>
        </w:rPr>
        <w:tab/>
      </w:r>
      <w:r>
        <w:rPr>
          <w:rStyle w:val="25"/>
        </w:rPr>
        <w:t>楼板撞击声隔声性能</w:t>
      </w:r>
      <w:r>
        <w:tab/>
      </w:r>
      <w:r>
        <w:fldChar w:fldCharType="begin"/>
      </w:r>
      <w:r>
        <w:instrText xml:space="preserve"> PAGEREF _Toc154609676 \h </w:instrText>
      </w:r>
      <w:r>
        <w:fldChar w:fldCharType="separate"/>
      </w:r>
      <w:r>
        <w:t>11</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"_Toc154609677" </w:instrText>
      </w:r>
      <w:r>
        <w:fldChar w:fldCharType="separate"/>
      </w:r>
      <w:r>
        <w:rPr>
          <w:rStyle w:val="25"/>
        </w:rPr>
        <w:t>7</w:t>
      </w:r>
      <w:r>
        <w:rPr>
          <w:rFonts w:asciiTheme="minorHAnsi" w:hAnsiTheme="minorHAnsi" w:eastAsiaTheme="minorEastAsia" w:cstheme="minorBidi"/>
          <w:b w:val="0"/>
          <w:bCs w:val="0"/>
          <w:sz w:val="21"/>
          <w:szCs w:val="22"/>
          <w14:ligatures w14:val="standardContextual"/>
        </w:rPr>
        <w:tab/>
      </w:r>
      <w:r>
        <w:rPr>
          <w:rStyle w:val="25"/>
        </w:rPr>
        <w:t>星级技术要求</w:t>
      </w:r>
      <w:r>
        <w:tab/>
      </w:r>
      <w:r>
        <w:fldChar w:fldCharType="begin"/>
      </w:r>
      <w:r>
        <w:instrText xml:space="preserve"> PAGEREF _Toc154609677 \h </w:instrText>
      </w:r>
      <w:r>
        <w:fldChar w:fldCharType="separate"/>
      </w:r>
      <w:r>
        <w:t>12</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"_Toc154609678" </w:instrText>
      </w:r>
      <w:r>
        <w:fldChar w:fldCharType="separate"/>
      </w:r>
      <w:r>
        <w:rPr>
          <w:rStyle w:val="25"/>
        </w:rPr>
        <w:t>7.1</w:t>
      </w:r>
      <w:r>
        <w:rPr>
          <w:rFonts w:asciiTheme="minorHAnsi" w:hAnsiTheme="minorHAnsi" w:eastAsiaTheme="minorEastAsia" w:cstheme="minorBidi"/>
          <w:sz w:val="21"/>
          <w:szCs w:val="22"/>
          <w14:ligatures w14:val="standardContextual"/>
        </w:rPr>
        <w:tab/>
      </w:r>
      <w:r>
        <w:rPr>
          <w:rStyle w:val="25"/>
        </w:rPr>
        <w:t>外墙-室外与卧室之间</w:t>
      </w:r>
      <w:r>
        <w:tab/>
      </w:r>
      <w:r>
        <w:fldChar w:fldCharType="begin"/>
      </w:r>
      <w:r>
        <w:instrText xml:space="preserve"> PAGEREF _Toc154609678 \h </w:instrText>
      </w:r>
      <w:r>
        <w:fldChar w:fldCharType="separate"/>
      </w:r>
      <w:r>
        <w:t>12</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"_Toc154609679" </w:instrText>
      </w:r>
      <w:r>
        <w:fldChar w:fldCharType="separate"/>
      </w:r>
      <w:r>
        <w:rPr>
          <w:rStyle w:val="25"/>
        </w:rPr>
        <w:t>7.2</w:t>
      </w:r>
      <w:r>
        <w:rPr>
          <w:rFonts w:asciiTheme="minorHAnsi" w:hAnsiTheme="minorHAnsi" w:eastAsiaTheme="minorEastAsia" w:cstheme="minorBidi"/>
          <w:sz w:val="21"/>
          <w:szCs w:val="22"/>
          <w14:ligatures w14:val="standardContextual"/>
        </w:rPr>
        <w:tab/>
      </w:r>
      <w:r>
        <w:rPr>
          <w:rStyle w:val="25"/>
        </w:rPr>
        <w:t>分户墙-两侧卧室之间</w:t>
      </w:r>
      <w:r>
        <w:tab/>
      </w:r>
      <w:r>
        <w:fldChar w:fldCharType="begin"/>
      </w:r>
      <w:r>
        <w:instrText xml:space="preserve"> PAGEREF _Toc154609679 \h </w:instrText>
      </w:r>
      <w:r>
        <w:fldChar w:fldCharType="separate"/>
      </w:r>
      <w:r>
        <w:t>12</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"_Toc154609680" </w:instrText>
      </w:r>
      <w:r>
        <w:fldChar w:fldCharType="separate"/>
      </w:r>
      <w:r>
        <w:rPr>
          <w:rStyle w:val="25"/>
        </w:rPr>
        <w:t>8</w:t>
      </w:r>
      <w:r>
        <w:rPr>
          <w:rFonts w:asciiTheme="minorHAnsi" w:hAnsiTheme="minorHAnsi" w:eastAsiaTheme="minorEastAsia" w:cstheme="minorBidi"/>
          <w:b w:val="0"/>
          <w:bCs w:val="0"/>
          <w:sz w:val="21"/>
          <w:szCs w:val="22"/>
          <w14:ligatures w14:val="standardContextual"/>
        </w:rPr>
        <w:tab/>
      </w:r>
      <w:r>
        <w:rPr>
          <w:rStyle w:val="25"/>
        </w:rPr>
        <w:t>结论</w:t>
      </w:r>
      <w:r>
        <w:tab/>
      </w:r>
      <w:r>
        <w:fldChar w:fldCharType="begin"/>
      </w:r>
      <w:r>
        <w:instrText xml:space="preserve"> PAGEREF _Toc154609680 \h </w:instrText>
      </w:r>
      <w:r>
        <w:fldChar w:fldCharType="separate"/>
      </w:r>
      <w:r>
        <w:t>13</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154609662"/>
      <w:r>
        <w:rPr>
          <w:rFonts w:hint="eastAsia"/>
        </w:rPr>
        <w:t>建筑概况</w:t>
      </w:r>
      <w:bookmarkEnd w:id="11"/>
    </w:p>
    <w:p>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sz w:val="24"/>
                <w:vertAlign w:val="superscript"/>
                <w:lang w:val="en-US"/>
              </w:rPr>
              <w:t>2</w:t>
            </w:r>
            <w:r>
              <w:rPr>
                <w:lang w:val="en-US"/>
              </w:rPr>
              <w:t>)</w:t>
            </w:r>
          </w:p>
        </w:tc>
        <w:tc>
          <w:tcPr>
            <w:tcW w:w="6231" w:type="dxa"/>
          </w:tcPr>
          <w:p>
            <w:pPr>
              <w:pStyle w:val="3"/>
            </w:pPr>
            <w:r>
              <w:rPr>
                <w:rFonts w:hint="eastAsia"/>
              </w:rPr>
              <w:t>地上</w:t>
            </w:r>
            <w:bookmarkStart w:id="13" w:name="地上建筑面积"/>
            <w:r>
              <w:rPr>
                <w:rFonts w:hint="eastAsia"/>
              </w:rPr>
              <w:t>252</w:t>
            </w:r>
            <w:bookmarkEnd w:id="13"/>
            <w:r>
              <w:rPr>
                <w:rFonts w:hint="eastAsia"/>
              </w:rPr>
              <w:t xml:space="preserve">    地下</w:t>
            </w:r>
            <w:bookmarkStart w:id="14" w:name="地下建筑面积"/>
            <w:r>
              <w:rPr>
                <w:rFonts w:hint="eastAsia"/>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rPr>
                <w:rFonts w:hint="eastAsia"/>
              </w:rPr>
              <w:t>2</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pPr>
            <w:r>
              <w:rPr>
                <w:rFonts w:hint="eastAsia"/>
              </w:rPr>
              <w:t>地上</w:t>
            </w:r>
            <w:bookmarkStart w:id="17" w:name="地上建筑高度"/>
            <w:r>
              <w:rPr>
                <w:rFonts w:hint="eastAsia"/>
              </w:rPr>
              <w:t>7.1</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p>
        </w:tc>
        <w:tc>
          <w:tcPr>
            <w:tcW w:w="6231"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154609663"/>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《建筑设计资料集（2）第二版》</w:t>
      </w:r>
    </w:p>
    <w:p>
      <w:pPr>
        <w:pStyle w:val="2"/>
        <w:ind w:left="669" w:hanging="669"/>
      </w:pPr>
      <w:bookmarkStart w:id="23" w:name="_Toc154609664"/>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1．室内噪声级应满足现行国家标准《民用建筑隔声设计规范》GB 50118 中的低限要求；</w:t>
      </w:r>
    </w:p>
    <w:p>
      <w:pPr>
        <w:pStyle w:val="3"/>
        <w:ind w:left="720" w:leftChars="400"/>
      </w:pPr>
      <w:r>
        <w:rPr>
          <w:rFonts w:hint="eastAsia"/>
        </w:rPr>
        <w:t>2．外墙、隔墙、楼板和门窗的隔声性能应满足现行国家标准《民用建筑隔声设计规范》GB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pPr>
        <w:pStyle w:val="3"/>
        <w:numPr>
          <w:ilvl w:val="0"/>
          <w:numId w:val="4"/>
        </w:numPr>
        <w:rPr>
          <w:bCs/>
        </w:rPr>
      </w:pPr>
      <w:r>
        <w:rPr>
          <w:rFonts w:hint="eastAsia"/>
          <w:bCs/>
        </w:rPr>
        <w:t>星级技术要求：</w:t>
      </w:r>
    </w:p>
    <w:p>
      <w:pPr>
        <w:pStyle w:val="3"/>
        <w:ind w:left="360" w:leftChars="200" w:firstLine="420" w:firstLineChars="200"/>
        <w:rPr>
          <w:lang w:val="en-US"/>
        </w:rPr>
      </w:pPr>
      <w:bookmarkStart w:id="24"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pPr>
        <w:widowControl w:val="0"/>
        <w:contextualSpacing/>
        <w:jc w:val="center"/>
        <w:rPr>
          <w:kern w:val="2"/>
          <w:szCs w:val="21"/>
          <w:lang w:val="en-US"/>
        </w:rPr>
      </w:pPr>
      <w:r>
        <w:rPr>
          <w:rFonts w:hint="eastAsia"/>
          <w:kern w:val="2"/>
          <w:szCs w:val="21"/>
          <w:lang w:val="en-US"/>
        </w:rPr>
        <w:t>表3.1</w:t>
      </w:r>
      <w:r>
        <w:rPr>
          <w:kern w:val="2"/>
          <w:szCs w:val="21"/>
          <w:lang w:val="en-US"/>
        </w:rPr>
        <w:t xml:space="preserve"> </w:t>
      </w:r>
      <w:r>
        <w:rPr>
          <w:rFonts w:hint="eastAsia"/>
          <w:kern w:val="2"/>
          <w:szCs w:val="21"/>
          <w:lang w:val="en-US"/>
        </w:rPr>
        <w:t>住宅建筑隔声性能星级要求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835"/>
        <w:gridCol w:w="2247"/>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1838"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隔声性能</w:t>
            </w:r>
          </w:p>
        </w:tc>
        <w:tc>
          <w:tcPr>
            <w:tcW w:w="2835"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构件</w:t>
            </w:r>
          </w:p>
        </w:tc>
        <w:tc>
          <w:tcPr>
            <w:tcW w:w="2247"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二星级要求</w:t>
            </w:r>
          </w:p>
        </w:tc>
        <w:tc>
          <w:tcPr>
            <w:tcW w:w="2097"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三星级要求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838" w:type="dxa"/>
            <w:vMerge w:val="restart"/>
            <w:shd w:val="clear" w:color="auto" w:fill="D8D8D8" w:themeFill="background1" w:themeFillShade="D9"/>
            <w:vAlign w:val="center"/>
          </w:tcPr>
          <w:p>
            <w:pPr>
              <w:spacing w:before="25" w:after="25"/>
              <w:jc w:val="center"/>
              <w:rPr>
                <w:rFonts w:ascii="宋体" w:hAnsi="宋体"/>
                <w:sz w:val="20"/>
              </w:rPr>
            </w:pPr>
            <w:r>
              <w:rPr>
                <w:rFonts w:hint="eastAsia" w:ascii="宋体" w:hAnsi="宋体"/>
                <w:sz w:val="20"/>
              </w:rPr>
              <w:t>空气声</w:t>
            </w:r>
          </w:p>
        </w:tc>
        <w:tc>
          <w:tcPr>
            <w:tcW w:w="2835" w:type="dxa"/>
            <w:vAlign w:val="center"/>
          </w:tcPr>
          <w:p>
            <w:pPr>
              <w:spacing w:before="25" w:after="25"/>
              <w:jc w:val="center"/>
              <w:rPr>
                <w:rFonts w:ascii="宋体" w:hAnsi="宋体"/>
                <w:sz w:val="20"/>
              </w:rPr>
            </w:pPr>
            <w:r>
              <w:rPr>
                <w:rFonts w:hint="eastAsia" w:ascii="宋体" w:hAnsi="宋体"/>
                <w:sz w:val="20"/>
              </w:rPr>
              <w:t>室外与卧室之间</w:t>
            </w:r>
          </w:p>
        </w:tc>
        <w:tc>
          <w:tcPr>
            <w:tcW w:w="2247" w:type="dxa"/>
            <w:vAlign w:val="center"/>
          </w:tcPr>
          <w:p>
            <w:pPr>
              <w:spacing w:before="25" w:after="25"/>
              <w:jc w:val="center"/>
              <w:rPr>
                <w:sz w:val="20"/>
              </w:rPr>
            </w:pPr>
            <w:r>
              <w:rPr>
                <w:position w:val="-12"/>
                <w:szCs w:val="24"/>
              </w:rPr>
              <w:object>
                <v:shape id="_x0000_i1025" o:spt="75" type="#_x0000_t75" style="height:18.75pt;width:30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sz w:val="20"/>
              </w:rPr>
              <w:t>+ C</w:t>
            </w:r>
            <w:r>
              <w:rPr>
                <w:sz w:val="20"/>
                <w:vertAlign w:val="subscript"/>
              </w:rPr>
              <w:t>tr</w:t>
            </w:r>
            <w:r>
              <w:rPr>
                <w:sz w:val="20"/>
              </w:rPr>
              <w:t xml:space="preserve"> ≥35 </w:t>
            </w:r>
            <w:r>
              <w:rPr>
                <w:rFonts w:hint="eastAsia"/>
                <w:sz w:val="20"/>
              </w:rPr>
              <w:t>d</w:t>
            </w:r>
            <w:r>
              <w:rPr>
                <w:sz w:val="20"/>
              </w:rPr>
              <w:t>B</w:t>
            </w:r>
          </w:p>
        </w:tc>
        <w:tc>
          <w:tcPr>
            <w:tcW w:w="2097" w:type="dxa"/>
            <w:vAlign w:val="center"/>
          </w:tcPr>
          <w:p>
            <w:pPr>
              <w:spacing w:before="25" w:after="25"/>
              <w:jc w:val="center"/>
              <w:rPr>
                <w:sz w:val="20"/>
              </w:rPr>
            </w:pPr>
            <w:r>
              <w:rPr>
                <w:position w:val="-12"/>
                <w:szCs w:val="24"/>
              </w:rPr>
              <w:object>
                <v:shape id="_x0000_i1026" o:spt="75" type="#_x0000_t75" style="height:18.75pt;width:30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10">
                  <o:LockedField>false</o:LockedField>
                </o:OLEObject>
              </w:object>
            </w:r>
            <w:r>
              <w:rPr>
                <w:sz w:val="20"/>
              </w:rPr>
              <w:t>+ C</w:t>
            </w:r>
            <w:r>
              <w:rPr>
                <w:sz w:val="20"/>
                <w:vertAlign w:val="subscript"/>
              </w:rPr>
              <w:t>tr</w:t>
            </w:r>
            <w:r>
              <w:rPr>
                <w:sz w:val="20"/>
              </w:rPr>
              <w:t xml:space="preserve"> ≥40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shd w:val="clear" w:color="auto" w:fill="D8D8D8" w:themeFill="background1" w:themeFillShade="D9"/>
            <w:vAlign w:val="center"/>
          </w:tcPr>
          <w:p>
            <w:pPr>
              <w:spacing w:before="25" w:after="25"/>
              <w:jc w:val="center"/>
              <w:rPr>
                <w:rFonts w:ascii="宋体" w:hAnsi="宋体"/>
                <w:sz w:val="20"/>
              </w:rPr>
            </w:pPr>
          </w:p>
        </w:tc>
        <w:tc>
          <w:tcPr>
            <w:tcW w:w="2835" w:type="dxa"/>
            <w:vAlign w:val="center"/>
          </w:tcPr>
          <w:p>
            <w:pPr>
              <w:spacing w:before="25" w:after="25"/>
              <w:jc w:val="center"/>
              <w:rPr>
                <w:rFonts w:ascii="宋体" w:hAnsi="宋体"/>
                <w:sz w:val="20"/>
              </w:rPr>
            </w:pPr>
            <w:r>
              <w:rPr>
                <w:rFonts w:hint="eastAsia" w:ascii="宋体" w:hAnsi="宋体"/>
                <w:sz w:val="20"/>
              </w:rPr>
              <w:t>分户墙（楼板）两侧卧室之间</w:t>
            </w:r>
          </w:p>
        </w:tc>
        <w:tc>
          <w:tcPr>
            <w:tcW w:w="2247" w:type="dxa"/>
            <w:vAlign w:val="center"/>
          </w:tcPr>
          <w:p>
            <w:pPr>
              <w:spacing w:before="25" w:after="25"/>
              <w:jc w:val="center"/>
              <w:rPr>
                <w:sz w:val="20"/>
              </w:rPr>
            </w:pPr>
            <w:r>
              <w:rPr>
                <w:position w:val="-12"/>
                <w:szCs w:val="24"/>
              </w:rPr>
              <w:object>
                <v:shape id="_x0000_i1027" o:spt="75" type="#_x0000_t75" style="height:18.75pt;width:30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11">
                  <o:LockedField>false</o:LockedField>
                </o:OLEObject>
              </w:object>
            </w:r>
            <w:r>
              <w:rPr>
                <w:sz w:val="20"/>
              </w:rPr>
              <w:t xml:space="preserve">+C ≥47.5 </w:t>
            </w:r>
            <w:r>
              <w:rPr>
                <w:rFonts w:hint="eastAsia"/>
                <w:sz w:val="20"/>
              </w:rPr>
              <w:t>d</w:t>
            </w:r>
            <w:r>
              <w:rPr>
                <w:sz w:val="20"/>
              </w:rPr>
              <w:t>B</w:t>
            </w:r>
          </w:p>
        </w:tc>
        <w:tc>
          <w:tcPr>
            <w:tcW w:w="2097" w:type="dxa"/>
            <w:vAlign w:val="center"/>
          </w:tcPr>
          <w:p>
            <w:pPr>
              <w:spacing w:before="25" w:after="25"/>
              <w:jc w:val="center"/>
              <w:rPr>
                <w:sz w:val="20"/>
              </w:rPr>
            </w:pPr>
            <w:r>
              <w:rPr>
                <w:position w:val="-12"/>
                <w:szCs w:val="24"/>
              </w:rPr>
              <w:object>
                <v:shape id="_x0000_i1028" o:spt="75" type="#_x0000_t75" style="height:18.75pt;width:30pt;" o:ole="t" filled="f" o:preferrelative="t" stroked="f" coordsize="21600,21600">
                  <v:path/>
                  <v:fill on="f" focussize="0,0"/>
                  <v:stroke on="f" joinstyle="miter"/>
                  <v:imagedata r:id="rId9" o:title=""/>
                  <o:lock v:ext="edit" aspectratio="t"/>
                  <w10:wrap type="none"/>
                  <w10:anchorlock/>
                </v:shape>
                <o:OLEObject Type="Embed" ProgID="Equation.3" ShapeID="_x0000_i1028" DrawAspect="Content" ObjectID="_1468075728" r:id="rId12">
                  <o:LockedField>false</o:LockedField>
                </o:OLEObject>
              </w:object>
            </w:r>
            <w:r>
              <w:rPr>
                <w:sz w:val="20"/>
              </w:rPr>
              <w:t xml:space="preserve">+C ≥50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vAlign w:val="center"/>
          </w:tcPr>
          <w:p>
            <w:pPr>
              <w:spacing w:before="25" w:after="25"/>
              <w:jc w:val="center"/>
              <w:rPr>
                <w:rFonts w:ascii="宋体" w:hAnsi="宋体"/>
                <w:sz w:val="20"/>
              </w:rPr>
            </w:pPr>
            <w:r>
              <w:rPr>
                <w:rFonts w:hint="eastAsia" w:ascii="宋体" w:hAnsi="宋体"/>
                <w:sz w:val="20"/>
              </w:rPr>
              <w:t>撞击声</w:t>
            </w:r>
          </w:p>
        </w:tc>
        <w:tc>
          <w:tcPr>
            <w:tcW w:w="2835" w:type="dxa"/>
            <w:vAlign w:val="center"/>
          </w:tcPr>
          <w:p>
            <w:pPr>
              <w:spacing w:before="25" w:after="25"/>
              <w:jc w:val="center"/>
              <w:rPr>
                <w:rFonts w:ascii="宋体" w:hAnsi="宋体"/>
                <w:sz w:val="20"/>
              </w:rPr>
            </w:pPr>
            <w:r>
              <w:rPr>
                <w:rFonts w:hint="eastAsia" w:ascii="宋体" w:hAnsi="宋体"/>
                <w:sz w:val="20"/>
              </w:rPr>
              <w:t>卧室楼板</w:t>
            </w:r>
          </w:p>
        </w:tc>
        <w:tc>
          <w:tcPr>
            <w:tcW w:w="2247" w:type="dxa"/>
            <w:vAlign w:val="center"/>
          </w:tcPr>
          <w:p>
            <w:pPr>
              <w:spacing w:before="25" w:after="25"/>
              <w:jc w:val="center"/>
              <w:rPr>
                <w:sz w:val="20"/>
              </w:rPr>
            </w:pPr>
            <w:r>
              <w:rPr>
                <w:position w:val="-12"/>
                <w:szCs w:val="24"/>
              </w:rPr>
              <w:object>
                <v:shape id="_x0000_i1029" o:spt="75" type="#_x0000_t75" style="height:16.5pt;width:30pt;" o:ole="t" filled="f" o:preferrelative="t" stroked="f" coordsize="21600,21600">
                  <v:path/>
                  <v:fill on="f" focussize="0,0"/>
                  <v:stroke on="f" joinstyle="miter"/>
                  <v:imagedata r:id="rId14" o:title=""/>
                  <o:lock v:ext="edit" aspectratio="t"/>
                  <w10:wrap type="none"/>
                  <w10:anchorlock/>
                </v:shape>
                <o:OLEObject Type="Embed" ProgID="Equation.3" ShapeID="_x0000_i1029" DrawAspect="Content" ObjectID="_1468075729" r:id="rId13">
                  <o:LockedField>false</o:LockedField>
                </o:OLEObject>
              </w:object>
            </w:r>
            <w:r>
              <w:rPr>
                <w:sz w:val="20"/>
              </w:rPr>
              <w:t xml:space="preserve"> ≤70 </w:t>
            </w:r>
            <w:r>
              <w:rPr>
                <w:rFonts w:hint="eastAsia"/>
                <w:sz w:val="20"/>
              </w:rPr>
              <w:t>d</w:t>
            </w:r>
            <w:r>
              <w:rPr>
                <w:sz w:val="20"/>
              </w:rPr>
              <w:t>B</w:t>
            </w:r>
          </w:p>
        </w:tc>
        <w:tc>
          <w:tcPr>
            <w:tcW w:w="2097" w:type="dxa"/>
            <w:vAlign w:val="center"/>
          </w:tcPr>
          <w:p>
            <w:pPr>
              <w:spacing w:before="25" w:after="25"/>
              <w:jc w:val="center"/>
              <w:rPr>
                <w:sz w:val="20"/>
              </w:rPr>
            </w:pPr>
            <w:r>
              <w:rPr>
                <w:position w:val="-12"/>
                <w:szCs w:val="24"/>
              </w:rPr>
              <w:object>
                <v:shape id="_x0000_i1030" o:spt="75" type="#_x0000_t75" style="height:16.5pt;width:30pt;" o:ole="t" filled="f" o:preferrelative="t" stroked="f" coordsize="21600,21600">
                  <v:path/>
                  <v:fill on="f" focussize="0,0"/>
                  <v:stroke on="f" joinstyle="miter"/>
                  <v:imagedata r:id="rId14" o:title=""/>
                  <o:lock v:ext="edit" aspectratio="t"/>
                  <w10:wrap type="none"/>
                  <w10:anchorlock/>
                </v:shape>
                <o:OLEObject Type="Embed" ProgID="Equation.3" ShapeID="_x0000_i1030" DrawAspect="Content" ObjectID="_1468075730" r:id="rId15">
                  <o:LockedField>false</o:LockedField>
                </o:OLEObject>
              </w:object>
            </w:r>
            <w:r>
              <w:rPr>
                <w:sz w:val="20"/>
                <w:vertAlign w:val="subscript"/>
              </w:rPr>
              <w:t xml:space="preserve"> </w:t>
            </w:r>
            <w:r>
              <w:rPr>
                <w:sz w:val="20"/>
              </w:rPr>
              <w:t xml:space="preserve">≤65 </w:t>
            </w:r>
            <w:r>
              <w:rPr>
                <w:rFonts w:hint="eastAsia"/>
                <w:sz w:val="20"/>
              </w:rPr>
              <w:t>d</w:t>
            </w:r>
            <w:r>
              <w:rPr>
                <w:sz w:val="20"/>
              </w:rPr>
              <w:t>B</w:t>
            </w:r>
          </w:p>
        </w:tc>
      </w:tr>
    </w:tbl>
    <w:p>
      <w:pPr>
        <w:pStyle w:val="3"/>
        <w:ind w:left="360" w:leftChars="200" w:firstLine="420" w:firstLineChars="200"/>
        <w:rPr>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pPr>
        <w:pStyle w:val="2"/>
        <w:ind w:left="669" w:hanging="669"/>
        <w:rPr>
          <w:kern w:val="2"/>
        </w:rPr>
      </w:pPr>
      <w:bookmarkStart w:id="25" w:name="_Toc154609665"/>
      <w:r>
        <w:rPr>
          <w:rFonts w:hint="eastAsia"/>
          <w:kern w:val="2"/>
        </w:rPr>
        <w:t>隔声理论概述</w:t>
      </w:r>
      <w:bookmarkEnd w:id="25"/>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154609666"/>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31" o:spt="75" type="#_x0000_t75" style="height:30.75pt;width:54pt;" o:ole="t" filled="f" o:preferrelative="t" stroked="f" coordsize="21600,21600">
            <v:path/>
            <v:fill on="f" focussize="0,0"/>
            <v:stroke on="f" joinstyle="miter"/>
            <v:imagedata r:id="rId18" o:title=""/>
            <o:lock v:ext="edit" aspectratio="t"/>
            <w10:wrap type="none"/>
            <w10:anchorlock/>
          </v:shape>
          <o:OLEObject Type="Embed" ProgID="Equation.3" ShapeID="_x0000_i1031" DrawAspect="Content" ObjectID="_1468075731" r:id="rId17">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800668"/>
      <w:bookmarkStart w:id="28" w:name="_Toc154609667"/>
      <w:bookmarkStart w:id="29" w:name="_Toc503275877"/>
      <w:bookmarkStart w:id="30" w:name="_Toc503800603"/>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32" o:spt="75" type="#_x0000_t75" style="height:38.25pt;width:107.25pt;" o:ole="t" filled="f" o:preferrelative="t" stroked="f" coordsize="21600,21600">
            <v:path/>
            <v:fill on="f" focussize="0,0"/>
            <v:stroke on="f" joinstyle="miter"/>
            <v:imagedata r:id="rId21" o:title=""/>
            <o:lock v:ext="edit" aspectratio="t"/>
            <w10:wrap type="none"/>
            <w10:anchorlock/>
          </v:shape>
          <o:OLEObject Type="Embed" ProgID="Equation.3" ShapeID="_x0000_i1032" DrawAspect="Content" ObjectID="_1468075732" r:id="rId20">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154609668"/>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20" w:firstLineChars="200"/>
        <w:jc w:val="cente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5"/>
                    <a:stretch>
                      <a:fillRect/>
                    </a:stretch>
                  </pic:blipFill>
                  <pic:spPr>
                    <a:xfrm>
                      <a:off x="0" y="0"/>
                      <a:ext cx="3431722" cy="526650"/>
                    </a:xfrm>
                    <a:prstGeom prst="rect">
                      <a:avLst/>
                    </a:prstGeom>
                  </pic:spPr>
                </pic:pic>
              </a:graphicData>
            </a:graphic>
          </wp:inline>
        </w:drawing>
      </w:r>
    </w:p>
    <w:p>
      <w:pPr>
        <w:pStyle w:val="3"/>
        <w:ind w:firstLine="420" w:firstLineChars="200"/>
        <w:jc w:val="cente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pPr>
        <w:jc w:val="cente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154609669"/>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7"/>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8"/>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33" o:spt="75" type="#_x0000_t75" style="height:16.5pt;width:16.5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34" o:spt="75" type="#_x0000_t75" style="height:16.5pt;width:11.25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35" o:spt="75" type="#_x0000_t75" style="height:14.25pt;width:11.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5"/>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36"/>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6" o:spt="75" type="#_x0000_t75" style="height:16.5pt;width:18.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7">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7" o:spt="75" type="#_x0000_t75" style="height:16.5pt;width:12pt;" o:ole="t" filled="f" o:preferrelative="t" stroked="f" coordsize="21600,21600">
            <v:path/>
            <v:fill on="f" focussize="0,0"/>
            <v:stroke on="f" joinstyle="miter"/>
            <v:imagedata r:id="rId34" o:title=""/>
            <o:lock v:ext="edit" aspectratio="t"/>
            <w10:wrap type="none"/>
            <w10:anchorlock/>
          </v:shape>
          <o:OLEObject Type="Embed" ProgID="Equation.DSMT4" ShapeID="_x0000_i1037" DrawAspect="Content" ObjectID="_1468075737" r:id="rId38">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3" w:name="_Toc154609670"/>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9"/>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pStyle w:val="2"/>
        <w:ind w:left="669" w:hanging="669"/>
      </w:pPr>
      <w:bookmarkStart w:id="34" w:name="_Toc154609671"/>
      <w:r>
        <w:rPr>
          <w:rFonts w:hint="eastAsia"/>
        </w:rPr>
        <w:t>构件空气声隔声性能</w:t>
      </w:r>
      <w:bookmarkEnd w:id="34"/>
    </w:p>
    <w:p>
      <w:pPr>
        <w:pStyle w:val="4"/>
      </w:pPr>
      <w:bookmarkStart w:id="35" w:name="_Toc154609672"/>
      <w:r>
        <w:rPr>
          <w:rFonts w:hint="eastAsia"/>
        </w:rPr>
        <w:t>墙板的空气声隔声量</w:t>
      </w:r>
      <w:bookmarkEnd w:id="35"/>
    </w:p>
    <w:p>
      <w:pPr>
        <w:pStyle w:val="5"/>
      </w:pPr>
      <w:bookmarkStart w:id="36" w:name="_Toc154609673"/>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3538"/>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r>
              <w:t>构件</w:t>
            </w:r>
          </w:p>
        </w:tc>
        <w:tc>
          <w:tcPr>
            <w:tcW w:w="3537"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外墙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挤塑聚苯板(ρ=25-32)</w:t>
            </w:r>
          </w:p>
        </w:tc>
        <w:tc>
          <w:tcPr>
            <w:tcW w:w="990" w:type="dxa"/>
            <w:vAlign w:val="center"/>
          </w:tcPr>
          <w:p>
            <w:pPr>
              <w:jc w:val="center"/>
            </w:pPr>
            <w:r>
              <w:t>20</w:t>
            </w:r>
          </w:p>
        </w:tc>
        <w:tc>
          <w:tcPr>
            <w:tcW w:w="990" w:type="dxa"/>
            <w:vAlign w:val="center"/>
          </w:tcPr>
          <w:p>
            <w:pPr>
              <w:jc w:val="center"/>
            </w:pPr>
            <w:r>
              <w:t>29</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200</w:t>
            </w:r>
          </w:p>
        </w:tc>
        <w:tc>
          <w:tcPr>
            <w:tcW w:w="990" w:type="dxa"/>
            <w:vAlign w:val="center"/>
          </w:tcPr>
          <w:p>
            <w:pPr>
              <w:jc w:val="center"/>
            </w:pPr>
            <w:r>
              <w:t>2500</w:t>
            </w:r>
          </w:p>
        </w:tc>
        <w:tc>
          <w:tcPr>
            <w:tcW w:w="990" w:type="dxa"/>
            <w:vAlign w:val="center"/>
          </w:tcPr>
          <w:p>
            <w:pPr>
              <w:jc w:val="center"/>
            </w:pPr>
            <w:r>
              <w:t>500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隔墙1</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混凝土多孔砖(190六孔砖）</w:t>
            </w:r>
          </w:p>
        </w:tc>
        <w:tc>
          <w:tcPr>
            <w:tcW w:w="990" w:type="dxa"/>
            <w:vAlign w:val="center"/>
          </w:tcPr>
          <w:p>
            <w:pPr>
              <w:jc w:val="center"/>
            </w:pPr>
            <w:r>
              <w:t>190</w:t>
            </w:r>
          </w:p>
        </w:tc>
        <w:tc>
          <w:tcPr>
            <w:tcW w:w="990" w:type="dxa"/>
            <w:vAlign w:val="center"/>
          </w:tcPr>
          <w:p>
            <w:pPr>
              <w:jc w:val="center"/>
            </w:pPr>
            <w:r>
              <w:t>1450</w:t>
            </w:r>
          </w:p>
        </w:tc>
        <w:tc>
          <w:tcPr>
            <w:tcW w:w="990" w:type="dxa"/>
            <w:vAlign w:val="center"/>
          </w:tcPr>
          <w:p>
            <w:pPr>
              <w:jc w:val="center"/>
            </w:pPr>
            <w:r>
              <w:t>276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隔墙2</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混凝土多孔砖(190六孔砖）</w:t>
            </w:r>
          </w:p>
        </w:tc>
        <w:tc>
          <w:tcPr>
            <w:tcW w:w="990" w:type="dxa"/>
            <w:vAlign w:val="center"/>
          </w:tcPr>
          <w:p>
            <w:pPr>
              <w:jc w:val="center"/>
            </w:pPr>
            <w:r>
              <w:t>190</w:t>
            </w:r>
          </w:p>
        </w:tc>
        <w:tc>
          <w:tcPr>
            <w:tcW w:w="990" w:type="dxa"/>
            <w:vAlign w:val="center"/>
          </w:tcPr>
          <w:p>
            <w:pPr>
              <w:jc w:val="center"/>
            </w:pPr>
            <w:r>
              <w:t>1450</w:t>
            </w:r>
          </w:p>
        </w:tc>
        <w:tc>
          <w:tcPr>
            <w:tcW w:w="990" w:type="dxa"/>
            <w:vAlign w:val="center"/>
          </w:tcPr>
          <w:p>
            <w:pPr>
              <w:jc w:val="center"/>
            </w:pPr>
            <w:r>
              <w:t>276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屋顶</w:t>
            </w:r>
          </w:p>
        </w:tc>
        <w:tc>
          <w:tcPr>
            <w:tcW w:w="3537" w:type="dxa"/>
            <w:vAlign w:val="center"/>
          </w:tcPr>
          <w:p>
            <w:r>
              <w:t>碎石、卵石混凝土(ρ=2300)</w:t>
            </w:r>
          </w:p>
        </w:tc>
        <w:tc>
          <w:tcPr>
            <w:tcW w:w="990" w:type="dxa"/>
            <w:vAlign w:val="center"/>
          </w:tcPr>
          <w:p>
            <w:pPr>
              <w:jc w:val="center"/>
            </w:pPr>
            <w:r>
              <w:t>40</w:t>
            </w:r>
          </w:p>
        </w:tc>
        <w:tc>
          <w:tcPr>
            <w:tcW w:w="990" w:type="dxa"/>
            <w:vAlign w:val="center"/>
          </w:tcPr>
          <w:p>
            <w:pPr>
              <w:jc w:val="center"/>
            </w:pPr>
            <w:r>
              <w:t>2300</w:t>
            </w:r>
          </w:p>
        </w:tc>
        <w:tc>
          <w:tcPr>
            <w:tcW w:w="990" w:type="dxa"/>
            <w:vAlign w:val="center"/>
          </w:tcPr>
          <w:p>
            <w:pPr>
              <w:jc w:val="center"/>
            </w:pPr>
            <w:r>
              <w:t>92</w:t>
            </w:r>
          </w:p>
        </w:tc>
        <w:tc>
          <w:tcPr>
            <w:tcW w:w="1126" w:type="dxa"/>
            <w:vMerge w:val="restart"/>
            <w:vAlign w:val="center"/>
          </w:tcPr>
          <w:p>
            <w:pPr>
              <w:jc w:val="center"/>
            </w:pPr>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挤塑聚苯板(ρ=25-32)</w:t>
            </w:r>
          </w:p>
        </w:tc>
        <w:tc>
          <w:tcPr>
            <w:tcW w:w="990" w:type="dxa"/>
            <w:vAlign w:val="center"/>
          </w:tcPr>
          <w:p>
            <w:pPr>
              <w:jc w:val="center"/>
            </w:pPr>
            <w:r>
              <w:t>20</w:t>
            </w:r>
          </w:p>
        </w:tc>
        <w:tc>
          <w:tcPr>
            <w:tcW w:w="990" w:type="dxa"/>
            <w:vAlign w:val="center"/>
          </w:tcPr>
          <w:p>
            <w:pPr>
              <w:jc w:val="center"/>
            </w:pPr>
            <w:r>
              <w:t>29</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加气混凝土、泡沫混凝土(ρ=700)</w:t>
            </w:r>
          </w:p>
        </w:tc>
        <w:tc>
          <w:tcPr>
            <w:tcW w:w="990" w:type="dxa"/>
            <w:vAlign w:val="center"/>
          </w:tcPr>
          <w:p>
            <w:pPr>
              <w:jc w:val="center"/>
            </w:pPr>
            <w:r>
              <w:t>80</w:t>
            </w:r>
          </w:p>
        </w:tc>
        <w:tc>
          <w:tcPr>
            <w:tcW w:w="990" w:type="dxa"/>
            <w:vAlign w:val="center"/>
          </w:tcPr>
          <w:p>
            <w:pPr>
              <w:jc w:val="center"/>
            </w:pPr>
            <w:r>
              <w:t>700</w:t>
            </w:r>
          </w:p>
        </w:tc>
        <w:tc>
          <w:tcPr>
            <w:tcW w:w="990" w:type="dxa"/>
            <w:vAlign w:val="center"/>
          </w:tcPr>
          <w:p>
            <w:pPr>
              <w:jc w:val="center"/>
            </w:pPr>
            <w:r>
              <w:t>56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挑空楼板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挤塑聚苯板(ρ=25-32)</w:t>
            </w:r>
          </w:p>
        </w:tc>
        <w:tc>
          <w:tcPr>
            <w:tcW w:w="990" w:type="dxa"/>
            <w:vAlign w:val="center"/>
          </w:tcPr>
          <w:p>
            <w:pPr>
              <w:jc w:val="center"/>
            </w:pPr>
            <w:r>
              <w:t>20</w:t>
            </w:r>
          </w:p>
        </w:tc>
        <w:tc>
          <w:tcPr>
            <w:tcW w:w="990" w:type="dxa"/>
            <w:vAlign w:val="center"/>
          </w:tcPr>
          <w:p>
            <w:pPr>
              <w:jc w:val="center"/>
            </w:pPr>
            <w:r>
              <w:t>29</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154609674"/>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p>
    <w:p>
      <w:pPr>
        <w:pStyle w:val="3"/>
      </w:pPr>
      <m:oMathPara>
        <m:oMath>
          <m:r>
            <m:rPr/>
            <w:rPr>
              <w:rFonts w:ascii="Cambria Math" w:hAnsi="Cambria Math"/>
            </w:rPr>
            <m:t>R=</m:t>
          </m:r>
          <w:bookmarkStart w:id="39" w:name="公式A1"/>
          <m:r>
            <m:rPr>
              <m:sty m:val="p"/>
            </m:rPr>
            <m:t>23</m:t>
          </m:r>
          <w:bookmarkEnd w:id="39"/>
          <m:r>
            <m:rPr/>
            <w:rPr>
              <w:rFonts w:ascii="Cambria Math" w:hAnsi="Cambria Math"/>
            </w:rPr>
            <m:t>lgm+</m:t>
          </m:r>
          <w:bookmarkStart w:id="40" w:name="公式B1"/>
          <m:r>
            <m:rPr>
              <m:sty m:val="p"/>
            </m:rPr>
            <m:t>11</m:t>
          </m:r>
          <w:bookmarkEnd w:id="40"/>
          <m:r>
            <m:rPr/>
            <w:rPr>
              <w:rFonts w:ascii="Cambria Math" w:hAnsi="Cambria Math"/>
            </w:rPr>
            <m:t>lgf</m:t>
          </m:r>
          <w:bookmarkStart w:id="41" w:name="公式C1"/>
          <m:r>
            <m:rPr>
              <m:sty m:val="p"/>
            </m:rPr>
            <m:t>−41</m:t>
          </m:r>
          <w:bookmarkEnd w:id="41"/>
          <m:r>
            <m:rPr/>
            <w:rPr>
              <w:rFonts w:ascii="Cambria Math" w:hAnsi="Cambria Math"/>
            </w:rPr>
            <m:t xml:space="preserve">         (m≥200kg/</m:t>
          </m:r>
          <m:r>
            <m:rPr/>
            <w:rPr>
              <w:rFonts w:hint="eastAsia" w:ascii="Cambria Math" w:hAnsi="Cambria Math"/>
            </w:rPr>
            <m:t>㎡）</m:t>
          </m:r>
        </m:oMath>
      </m:oMathPara>
    </w:p>
    <w:p>
      <w:pPr>
        <w:pStyle w:val="3"/>
        <w:rPr>
          <w:color w:val="FF0000"/>
        </w:rPr>
      </w:pPr>
      <m:oMathPara>
        <m:oMath>
          <m:r>
            <m:rPr/>
            <w:rPr>
              <w:rFonts w:ascii="Cambria Math" w:hAnsi="Cambria Math"/>
            </w:rPr>
            <m:t>R=</m:t>
          </m:r>
          <w:bookmarkStart w:id="42" w:name="公式A2"/>
          <m:r>
            <m:rPr>
              <m:sty m:val="p"/>
            </m:rPr>
            <m:t>13</m:t>
          </m:r>
          <w:bookmarkEnd w:id="42"/>
          <m:r>
            <m:rPr/>
            <w:rPr>
              <w:rFonts w:ascii="Cambria Math" w:hAnsi="Cambria Math"/>
            </w:rPr>
            <m:t>lgm+</m:t>
          </m:r>
          <w:bookmarkStart w:id="43" w:name="公式B2"/>
          <m:r>
            <m:rPr>
              <m:sty m:val="p"/>
            </m:rPr>
            <m:t>11</m:t>
          </m:r>
          <w:bookmarkEnd w:id="43"/>
          <m:r>
            <m:rPr/>
            <w:rPr>
              <w:rFonts w:ascii="Cambria Math" w:hAnsi="Cambria Math"/>
            </w:rPr>
            <m:t>lgf</m:t>
          </m:r>
          <w:bookmarkStart w:id="44" w:name="公式C2"/>
          <m:r>
            <m:rPr>
              <m:sty m:val="p"/>
            </m:rPr>
            <m:t>−18</m:t>
          </m:r>
          <w:bookmarkEnd w:id="44"/>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r>
              <w:t>构件</w:t>
            </w:r>
          </w:p>
        </w:tc>
        <w:tc>
          <w:tcPr>
            <w:tcW w:w="7183"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起居室外墙</w:t>
            </w:r>
          </w:p>
        </w:tc>
        <w:tc>
          <w:tcPr>
            <w:tcW w:w="1528" w:type="dxa"/>
            <w:shd w:val="clear" w:color="auto" w:fill="E6E6E6"/>
            <w:vAlign w:val="center"/>
          </w:tcPr>
          <w:p>
            <w:r>
              <w:t>构造做法</w:t>
            </w:r>
          </w:p>
        </w:tc>
        <w:tc>
          <w:tcPr>
            <w:tcW w:w="5655" w:type="dxa"/>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47.0</w:t>
            </w:r>
          </w:p>
        </w:tc>
        <w:tc>
          <w:tcPr>
            <w:tcW w:w="1131" w:type="dxa"/>
            <w:vAlign w:val="center"/>
          </w:tcPr>
          <w:p>
            <w:r>
              <w:t>59.0</w:t>
            </w:r>
          </w:p>
        </w:tc>
        <w:tc>
          <w:tcPr>
            <w:tcW w:w="1131" w:type="dxa"/>
            <w:vAlign w:val="center"/>
          </w:tcPr>
          <w:p>
            <w:r>
              <w:t>73.0</w:t>
            </w:r>
          </w:p>
        </w:tc>
        <w:tc>
          <w:tcPr>
            <w:tcW w:w="1131" w:type="dxa"/>
            <w:vAlign w:val="center"/>
          </w:tcPr>
          <w:p>
            <w:r>
              <w:t>82.0</w:t>
            </w:r>
          </w:p>
        </w:tc>
        <w:tc>
          <w:tcPr>
            <w:tcW w:w="1131" w:type="dxa"/>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6.0</w:t>
            </w:r>
          </w:p>
        </w:tc>
        <w:tc>
          <w:tcPr>
            <w:tcW w:w="1131" w:type="dxa"/>
            <w:vAlign w:val="center"/>
          </w:tcPr>
          <w:p>
            <w:r>
              <w:t>3.0</w:t>
            </w:r>
          </w:p>
        </w:tc>
        <w:tc>
          <w:tcPr>
            <w:tcW w:w="1131" w:type="dxa"/>
            <w:vAlign w:val="center"/>
          </w:tcPr>
          <w:p>
            <w:r>
              <w:t>0.0</w:t>
            </w:r>
          </w:p>
        </w:tc>
        <w:tc>
          <w:tcPr>
            <w:tcW w:w="1131" w:type="dxa"/>
            <w:vAlign w:val="center"/>
          </w:tcPr>
          <w:p>
            <w:r>
              <w:t>0.0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分户墙</w:t>
            </w:r>
          </w:p>
        </w:tc>
        <w:tc>
          <w:tcPr>
            <w:tcW w:w="1528" w:type="dxa"/>
            <w:shd w:val="clear" w:color="auto" w:fill="E6E6E6"/>
            <w:vAlign w:val="center"/>
          </w:tcPr>
          <w:p>
            <w:r>
              <w:t>构造做法</w:t>
            </w:r>
          </w:p>
        </w:tc>
        <w:tc>
          <w:tcPr>
            <w:tcW w:w="5655" w:type="dxa"/>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砖墙370厚，空气层200厚，砖墙490厚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51.0</w:t>
            </w:r>
          </w:p>
        </w:tc>
        <w:tc>
          <w:tcPr>
            <w:tcW w:w="1131" w:type="dxa"/>
            <w:vAlign w:val="center"/>
          </w:tcPr>
          <w:p>
            <w:r>
              <w:t>61.0</w:t>
            </w:r>
          </w:p>
        </w:tc>
        <w:tc>
          <w:tcPr>
            <w:tcW w:w="1131" w:type="dxa"/>
            <w:vAlign w:val="center"/>
          </w:tcPr>
          <w:p>
            <w:r>
              <w:t>69.0</w:t>
            </w:r>
          </w:p>
        </w:tc>
        <w:tc>
          <w:tcPr>
            <w:tcW w:w="1131" w:type="dxa"/>
            <w:vAlign w:val="center"/>
          </w:tcPr>
          <w:p>
            <w:r>
              <w:t>81.0</w:t>
            </w:r>
          </w:p>
        </w:tc>
        <w:tc>
          <w:tcPr>
            <w:tcW w:w="1131" w:type="dxa"/>
            <w:vAlign w:val="center"/>
          </w:tcPr>
          <w:p>
            <w:r>
              <w:t>95.0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4.0</w:t>
            </w:r>
          </w:p>
        </w:tc>
        <w:tc>
          <w:tcPr>
            <w:tcW w:w="1131" w:type="dxa"/>
            <w:vAlign w:val="center"/>
          </w:tcPr>
          <w:p>
            <w:r>
              <w:t>3.0</w:t>
            </w:r>
          </w:p>
        </w:tc>
        <w:tc>
          <w:tcPr>
            <w:tcW w:w="1131" w:type="dxa"/>
            <w:vAlign w:val="center"/>
          </w:tcPr>
          <w:p>
            <w:r>
              <w:t>2.0</w:t>
            </w:r>
          </w:p>
        </w:tc>
        <w:tc>
          <w:tcPr>
            <w:tcW w:w="1131" w:type="dxa"/>
            <w:vAlign w:val="center"/>
          </w:tcPr>
          <w:p>
            <w:r>
              <w:t>0.0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卧室墙</w:t>
            </w:r>
          </w:p>
        </w:tc>
        <w:tc>
          <w:tcPr>
            <w:tcW w:w="1528" w:type="dxa"/>
            <w:shd w:val="clear" w:color="auto" w:fill="E6E6E6"/>
            <w:vAlign w:val="center"/>
          </w:tcPr>
          <w:p>
            <w:r>
              <w:t>构造做法</w:t>
            </w:r>
          </w:p>
        </w:tc>
        <w:tc>
          <w:tcPr>
            <w:tcW w:w="5655" w:type="dxa"/>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双层砖墙各370厚（基础分开），空气层230厚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61.0</w:t>
            </w:r>
          </w:p>
        </w:tc>
        <w:tc>
          <w:tcPr>
            <w:tcW w:w="1131" w:type="dxa"/>
            <w:vAlign w:val="center"/>
          </w:tcPr>
          <w:p>
            <w:r>
              <w:t>79.0</w:t>
            </w:r>
          </w:p>
        </w:tc>
        <w:tc>
          <w:tcPr>
            <w:tcW w:w="1131" w:type="dxa"/>
            <w:vAlign w:val="center"/>
          </w:tcPr>
          <w:p>
            <w:r>
              <w:t>80.0</w:t>
            </w:r>
          </w:p>
        </w:tc>
        <w:tc>
          <w:tcPr>
            <w:tcW w:w="1131" w:type="dxa"/>
            <w:vAlign w:val="center"/>
          </w:tcPr>
          <w:p>
            <w:r>
              <w:t>89.0</w:t>
            </w:r>
          </w:p>
        </w:tc>
        <w:tc>
          <w:tcPr>
            <w:tcW w:w="1131" w:type="dxa"/>
            <w:vAlign w:val="center"/>
          </w:tcPr>
          <w:p>
            <w:r>
              <w:t>89.0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6.0</w:t>
            </w:r>
          </w:p>
        </w:tc>
        <w:tc>
          <w:tcPr>
            <w:tcW w:w="1131" w:type="dxa"/>
            <w:vAlign w:val="center"/>
          </w:tcPr>
          <w:p>
            <w:r>
              <w:t>0.0</w:t>
            </w:r>
          </w:p>
        </w:tc>
        <w:tc>
          <w:tcPr>
            <w:tcW w:w="1131" w:type="dxa"/>
            <w:vAlign w:val="center"/>
          </w:tcPr>
          <w:p>
            <w:r>
              <w:t>3.0</w:t>
            </w:r>
          </w:p>
        </w:tc>
        <w:tc>
          <w:tcPr>
            <w:tcW w:w="1131" w:type="dxa"/>
            <w:vAlign w:val="center"/>
          </w:tcPr>
          <w:p>
            <w:r>
              <w:t>0.0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卧室外墙</w:t>
            </w:r>
          </w:p>
        </w:tc>
        <w:tc>
          <w:tcPr>
            <w:tcW w:w="1528" w:type="dxa"/>
            <w:shd w:val="clear" w:color="auto" w:fill="E6E6E6"/>
            <w:vAlign w:val="center"/>
          </w:tcPr>
          <w:p>
            <w:r>
              <w:t>构造做法</w:t>
            </w:r>
          </w:p>
        </w:tc>
        <w:tc>
          <w:tcPr>
            <w:tcW w:w="5655" w:type="dxa"/>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47.0</w:t>
            </w:r>
          </w:p>
        </w:tc>
        <w:tc>
          <w:tcPr>
            <w:tcW w:w="1131" w:type="dxa"/>
            <w:vAlign w:val="center"/>
          </w:tcPr>
          <w:p>
            <w:r>
              <w:t>59.0</w:t>
            </w:r>
          </w:p>
        </w:tc>
        <w:tc>
          <w:tcPr>
            <w:tcW w:w="1131" w:type="dxa"/>
            <w:vAlign w:val="center"/>
          </w:tcPr>
          <w:p>
            <w:r>
              <w:t>73.0</w:t>
            </w:r>
          </w:p>
        </w:tc>
        <w:tc>
          <w:tcPr>
            <w:tcW w:w="1131" w:type="dxa"/>
            <w:vAlign w:val="center"/>
          </w:tcPr>
          <w:p>
            <w:r>
              <w:t>82.0</w:t>
            </w:r>
          </w:p>
        </w:tc>
        <w:tc>
          <w:tcPr>
            <w:tcW w:w="1131" w:type="dxa"/>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6.0</w:t>
            </w:r>
          </w:p>
        </w:tc>
        <w:tc>
          <w:tcPr>
            <w:tcW w:w="1131" w:type="dxa"/>
            <w:vAlign w:val="center"/>
          </w:tcPr>
          <w:p>
            <w:r>
              <w:t>3.0</w:t>
            </w:r>
          </w:p>
        </w:tc>
        <w:tc>
          <w:tcPr>
            <w:tcW w:w="1131" w:type="dxa"/>
            <w:vAlign w:val="center"/>
          </w:tcPr>
          <w:p>
            <w:r>
              <w:t>0.0</w:t>
            </w:r>
          </w:p>
        </w:tc>
        <w:tc>
          <w:tcPr>
            <w:tcW w:w="1131" w:type="dxa"/>
            <w:vAlign w:val="center"/>
          </w:tcPr>
          <w:p>
            <w:r>
              <w:t>0.0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分户楼板</w:t>
            </w:r>
          </w:p>
        </w:tc>
        <w:tc>
          <w:tcPr>
            <w:tcW w:w="1528" w:type="dxa"/>
            <w:shd w:val="clear" w:color="auto" w:fill="E6E6E6"/>
            <w:vAlign w:val="center"/>
          </w:tcPr>
          <w:p>
            <w:r>
              <w:t>构造做法</w:t>
            </w:r>
          </w:p>
        </w:tc>
        <w:tc>
          <w:tcPr>
            <w:tcW w:w="5655" w:type="dxa"/>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120厚反肋形板+25厚软木丝板+20厚毛地板+油毡一层+22厚企口木板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71.5</w:t>
            </w:r>
          </w:p>
        </w:tc>
        <w:tc>
          <w:tcPr>
            <w:tcW w:w="1131" w:type="dxa"/>
            <w:vAlign w:val="center"/>
          </w:tcPr>
          <w:p>
            <w:r>
              <w:t>72.5</w:t>
            </w:r>
          </w:p>
        </w:tc>
        <w:tc>
          <w:tcPr>
            <w:tcW w:w="1131" w:type="dxa"/>
            <w:vAlign w:val="center"/>
          </w:tcPr>
          <w:p>
            <w:r>
              <w:t>69.0</w:t>
            </w:r>
          </w:p>
        </w:tc>
        <w:tc>
          <w:tcPr>
            <w:tcW w:w="1131" w:type="dxa"/>
            <w:vAlign w:val="center"/>
          </w:tcPr>
          <w:p>
            <w:r>
              <w:t>65.0</w:t>
            </w:r>
          </w:p>
        </w:tc>
        <w:tc>
          <w:tcPr>
            <w:tcW w:w="1131" w:type="dxa"/>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0.0</w:t>
            </w:r>
          </w:p>
        </w:tc>
        <w:tc>
          <w:tcPr>
            <w:tcW w:w="1131" w:type="dxa"/>
            <w:vAlign w:val="center"/>
          </w:tcPr>
          <w:p>
            <w:r>
              <w:t>0.0</w:t>
            </w:r>
          </w:p>
        </w:tc>
        <w:tc>
          <w:tcPr>
            <w:tcW w:w="1131"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3"/>
        <w:rPr>
          <w:lang w:val="en-US"/>
        </w:rPr>
      </w:pPr>
    </w:p>
    <w:p>
      <w:pPr>
        <w:pStyle w:val="4"/>
      </w:pPr>
      <w:bookmarkStart w:id="46" w:name="_Toc154609675"/>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r>
              <w:t>构件</w:t>
            </w:r>
          </w:p>
        </w:tc>
        <w:tc>
          <w:tcPr>
            <w:tcW w:w="7183"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住宅建筑中其他外窗</w:t>
            </w:r>
          </w:p>
        </w:tc>
        <w:tc>
          <w:tcPr>
            <w:tcW w:w="1528" w:type="dxa"/>
            <w:vAlign w:val="center"/>
          </w:tcPr>
          <w:p>
            <w:r>
              <w:t>构造名称</w:t>
            </w:r>
          </w:p>
        </w:tc>
        <w:tc>
          <w:tcPr>
            <w:tcW w:w="5655" w:type="dxa"/>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参照构造</w:t>
            </w:r>
          </w:p>
        </w:tc>
        <w:tc>
          <w:tcPr>
            <w:tcW w:w="5655" w:type="dxa"/>
            <w:gridSpan w:val="5"/>
            <w:vAlign w:val="center"/>
          </w:tcPr>
          <w:p>
            <w:r>
              <w:t>双层玻璃窗</w:t>
            </w:r>
            <w:r>
              <w:br w:type="textWrapping"/>
            </w:r>
            <w:r>
              <w:t>6+100A+6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隔声量来源</w:t>
            </w:r>
          </w:p>
        </w:tc>
        <w:tc>
          <w:tcPr>
            <w:tcW w:w="565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分频隔声量</w:t>
            </w:r>
          </w:p>
        </w:tc>
        <w:tc>
          <w:tcPr>
            <w:tcW w:w="1131" w:type="dxa"/>
            <w:vAlign w:val="center"/>
          </w:tcPr>
          <w:p>
            <w:r>
              <w:t>32.0</w:t>
            </w:r>
          </w:p>
        </w:tc>
        <w:tc>
          <w:tcPr>
            <w:tcW w:w="1131" w:type="dxa"/>
            <w:vAlign w:val="center"/>
          </w:tcPr>
          <w:p>
            <w:r>
              <w:t>38.0</w:t>
            </w:r>
          </w:p>
        </w:tc>
        <w:tc>
          <w:tcPr>
            <w:tcW w:w="1131" w:type="dxa"/>
            <w:vAlign w:val="center"/>
          </w:tcPr>
          <w:p>
            <w:r>
              <w:t>40.0</w:t>
            </w:r>
          </w:p>
        </w:tc>
        <w:tc>
          <w:tcPr>
            <w:tcW w:w="1131" w:type="dxa"/>
            <w:vAlign w:val="center"/>
          </w:tcPr>
          <w:p>
            <w:r>
              <w:t>45.0</w:t>
            </w:r>
          </w:p>
        </w:tc>
        <w:tc>
          <w:tcPr>
            <w:tcW w:w="1131" w:type="dxa"/>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5.0</w:t>
            </w:r>
          </w:p>
        </w:tc>
        <w:tc>
          <w:tcPr>
            <w:tcW w:w="1131" w:type="dxa"/>
            <w:vAlign w:val="center"/>
          </w:tcPr>
          <w:p>
            <w:r>
              <w:t>3.0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计权隔声量</w:t>
            </w:r>
          </w:p>
        </w:tc>
        <w:tc>
          <w:tcPr>
            <w:tcW w:w="5655" w:type="dxa"/>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频谱修正量</w:t>
            </w:r>
          </w:p>
        </w:tc>
        <w:tc>
          <w:tcPr>
            <w:tcW w:w="5655" w:type="dxa"/>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隔声性能</w:t>
            </w:r>
          </w:p>
        </w:tc>
        <w:tc>
          <w:tcPr>
            <w:tcW w:w="5655" w:type="dxa"/>
            <w:gridSpan w:val="5"/>
            <w:vAlign w:val="center"/>
          </w:tcPr>
          <w:p>
            <w: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7" w:name="门窗空气声隔声量"/>
      <w:bookmarkEnd w:id="47"/>
    </w:p>
    <w:p>
      <w:pPr>
        <w:pStyle w:val="2"/>
        <w:ind w:left="669" w:hanging="669"/>
      </w:pPr>
      <w:bookmarkStart w:id="48" w:name="_Toc154609676"/>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46"/>
        <w:gridCol w:w="1812"/>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shd w:val="clear" w:color="auto" w:fill="E6E6E6"/>
            <w:vAlign w:val="center"/>
          </w:tcPr>
          <w:p>
            <w:pPr>
              <w:jc w:val="center"/>
            </w:pPr>
            <w:r>
              <w:t>构件</w:t>
            </w:r>
          </w:p>
        </w:tc>
        <w:tc>
          <w:tcPr>
            <w:tcW w:w="7186" w:type="dxa"/>
            <w:gridSpan w:val="6"/>
            <w:shd w:val="clear" w:color="auto" w:fill="E6E6E6"/>
            <w:vAlign w:val="center"/>
          </w:tcPr>
          <w:p>
            <w:pPr>
              <w:jc w:val="center"/>
            </w:pPr>
            <w: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restart"/>
            <w:shd w:val="clear" w:color="auto" w:fill="E6E6E6"/>
            <w:vAlign w:val="center"/>
          </w:tcPr>
          <w:p>
            <w:r>
              <w:t>起居室的分户楼板</w:t>
            </w:r>
          </w:p>
        </w:tc>
        <w:tc>
          <w:tcPr>
            <w:tcW w:w="1811" w:type="dxa"/>
            <w:shd w:val="clear" w:color="auto" w:fill="E6E6E6"/>
            <w:vAlign w:val="center"/>
          </w:tcPr>
          <w:p>
            <w:r>
              <w:t>构造做法</w:t>
            </w:r>
          </w:p>
        </w:tc>
        <w:tc>
          <w:tcPr>
            <w:tcW w:w="5375" w:type="dxa"/>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参照构造做法</w:t>
            </w:r>
          </w:p>
        </w:tc>
        <w:tc>
          <w:tcPr>
            <w:tcW w:w="5375" w:type="dxa"/>
            <w:gridSpan w:val="5"/>
            <w:vAlign w:val="center"/>
          </w:tcPr>
          <w:p>
            <w:r>
              <w:t>120厚反肋形板+25厚软木丝板+20厚毛地板+油毡一层+22厚企口木板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倍频程中心频率</w:t>
            </w:r>
          </w:p>
        </w:tc>
        <w:tc>
          <w:tcPr>
            <w:tcW w:w="1075" w:type="dxa"/>
            <w:shd w:val="clear" w:color="auto" w:fill="E6E6E6"/>
            <w:vAlign w:val="center"/>
          </w:tcPr>
          <w:p>
            <w:r>
              <w:t>125Hz</w:t>
            </w:r>
          </w:p>
        </w:tc>
        <w:tc>
          <w:tcPr>
            <w:tcW w:w="1075" w:type="dxa"/>
            <w:shd w:val="clear" w:color="auto" w:fill="E6E6E6"/>
            <w:vAlign w:val="center"/>
          </w:tcPr>
          <w:p>
            <w:r>
              <w:t>250Hz</w:t>
            </w:r>
          </w:p>
        </w:tc>
        <w:tc>
          <w:tcPr>
            <w:tcW w:w="1075" w:type="dxa"/>
            <w:shd w:val="clear" w:color="auto" w:fill="E6E6E6"/>
            <w:vAlign w:val="center"/>
          </w:tcPr>
          <w:p>
            <w:r>
              <w:t>500Hz</w:t>
            </w:r>
          </w:p>
        </w:tc>
        <w:tc>
          <w:tcPr>
            <w:tcW w:w="1075" w:type="dxa"/>
            <w:shd w:val="clear" w:color="auto" w:fill="E6E6E6"/>
            <w:vAlign w:val="center"/>
          </w:tcPr>
          <w:p>
            <w:r>
              <w:t>1000Hz</w:t>
            </w:r>
          </w:p>
        </w:tc>
        <w:tc>
          <w:tcPr>
            <w:tcW w:w="1075" w:type="dxa"/>
            <w:shd w:val="clear" w:color="auto" w:fill="E6E6E6"/>
            <w:vAlign w:val="center"/>
          </w:tcPr>
          <w:p>
            <w: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分频隔声量</w:t>
            </w:r>
          </w:p>
        </w:tc>
        <w:tc>
          <w:tcPr>
            <w:tcW w:w="1075" w:type="dxa"/>
            <w:vAlign w:val="center"/>
          </w:tcPr>
          <w:p>
            <w:r>
              <w:t>71.5</w:t>
            </w:r>
          </w:p>
        </w:tc>
        <w:tc>
          <w:tcPr>
            <w:tcW w:w="1075" w:type="dxa"/>
            <w:vAlign w:val="center"/>
          </w:tcPr>
          <w:p>
            <w:r>
              <w:t>72.5</w:t>
            </w:r>
          </w:p>
        </w:tc>
        <w:tc>
          <w:tcPr>
            <w:tcW w:w="1075" w:type="dxa"/>
            <w:vAlign w:val="center"/>
          </w:tcPr>
          <w:p>
            <w:r>
              <w:t>69.0</w:t>
            </w:r>
          </w:p>
        </w:tc>
        <w:tc>
          <w:tcPr>
            <w:tcW w:w="1075" w:type="dxa"/>
            <w:vAlign w:val="center"/>
          </w:tcPr>
          <w:p>
            <w:r>
              <w:t>65.0</w:t>
            </w:r>
          </w:p>
        </w:tc>
        <w:tc>
          <w:tcPr>
            <w:tcW w:w="1075" w:type="dxa"/>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不利偏差</w:t>
            </w:r>
          </w:p>
        </w:tc>
        <w:tc>
          <w:tcPr>
            <w:tcW w:w="1075" w:type="dxa"/>
            <w:vAlign w:val="center"/>
          </w:tcPr>
          <w:p>
            <w:r>
              <w:t>2.5</w:t>
            </w:r>
          </w:p>
        </w:tc>
        <w:tc>
          <w:tcPr>
            <w:tcW w:w="1075" w:type="dxa"/>
            <w:vAlign w:val="center"/>
          </w:tcPr>
          <w:p>
            <w:r>
              <w:t>3.5</w:t>
            </w:r>
          </w:p>
        </w:tc>
        <w:tc>
          <w:tcPr>
            <w:tcW w:w="1075" w:type="dxa"/>
            <w:vAlign w:val="center"/>
          </w:tcPr>
          <w:p>
            <w:r>
              <w:t>2.0</w:t>
            </w:r>
          </w:p>
        </w:tc>
        <w:tc>
          <w:tcPr>
            <w:tcW w:w="1075" w:type="dxa"/>
            <w:vAlign w:val="center"/>
          </w:tcPr>
          <w:p>
            <w:r>
              <w:t>1.0</w:t>
            </w:r>
          </w:p>
        </w:tc>
        <w:tc>
          <w:tcPr>
            <w:tcW w:w="1075"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数据来源</w:t>
            </w:r>
          </w:p>
        </w:tc>
        <w:tc>
          <w:tcPr>
            <w:tcW w:w="5375" w:type="dxa"/>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计权规范化撞击声压级</w:t>
            </w:r>
          </w:p>
        </w:tc>
        <w:tc>
          <w:tcPr>
            <w:tcW w:w="5375" w:type="dxa"/>
            <w:gridSpan w:val="5"/>
            <w:vAlign w:val="center"/>
          </w:tcPr>
          <w:p>
            <w:r>
              <w:t>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标准限值</w:t>
            </w:r>
          </w:p>
        </w:tc>
        <w:tc>
          <w:tcPr>
            <w:tcW w:w="5375" w:type="dxa"/>
            <w:gridSpan w:val="5"/>
            <w:vAlign w:val="center"/>
          </w:tcPr>
          <w:p>
            <w: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结论</w:t>
            </w:r>
          </w:p>
        </w:tc>
        <w:tc>
          <w:tcPr>
            <w:tcW w:w="5375" w:type="dxa"/>
            <w:gridSpan w:val="5"/>
            <w:vAlign w:val="center"/>
          </w:tcPr>
          <w:p>
            <w:r>
              <w:t>满足高要求</w:t>
            </w:r>
          </w:p>
        </w:tc>
      </w:tr>
    </w:tbl>
    <w:p>
      <w:pPr>
        <w:rPr>
          <w:lang w:val="en-US"/>
        </w:rPr>
      </w:pPr>
      <w:bookmarkStart w:id="49" w:name="撞击声隔声"/>
      <w:bookmarkEnd w:id="49"/>
    </w:p>
    <w:bookmarkEnd w:id="24"/>
    <w:p>
      <w:pPr>
        <w:pStyle w:val="2"/>
        <w:ind w:left="669" w:hanging="669"/>
        <w:rPr>
          <w:kern w:val="2"/>
        </w:rPr>
      </w:pPr>
      <w:bookmarkStart w:id="50" w:name="_Toc154609677"/>
      <w:r>
        <w:rPr>
          <w:rFonts w:hint="eastAsia"/>
          <w:kern w:val="2"/>
        </w:rPr>
        <w:t>星级技术要求</w:t>
      </w:r>
      <w:bookmarkEnd w:id="50"/>
    </w:p>
    <w:p>
      <w:pPr>
        <w:pStyle w:val="4"/>
      </w:pPr>
      <w:bookmarkStart w:id="51" w:name="_Toc154609678"/>
      <w:r>
        <w:rPr>
          <w:rFonts w:hint="eastAsia"/>
        </w:rPr>
        <w:t>外墙-室外与卧室之间</w:t>
      </w:r>
      <w:bookmarkEnd w:id="51"/>
    </w:p>
    <w:p>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pPr>
        <w:pStyle w:val="3"/>
        <w:ind w:firstLine="2100" w:firstLineChars="1000"/>
        <w:rPr>
          <w:lang w:val="en-US"/>
        </w:rPr>
      </w:pPr>
      <w:r>
        <w:rPr>
          <w:lang w:val="en-US"/>
        </w:rPr>
        <w:drawing>
          <wp:inline distT="0" distB="0" distL="0" distR="0">
            <wp:extent cx="2413635" cy="445770"/>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40"/>
                    <a:stretch>
                      <a:fillRect/>
                    </a:stretch>
                  </pic:blipFill>
                  <pic:spPr>
                    <a:xfrm>
                      <a:off x="0" y="0"/>
                      <a:ext cx="2538705" cy="469156"/>
                    </a:xfrm>
                    <a:prstGeom prst="rect">
                      <a:avLst/>
                    </a:prstGeom>
                  </pic:spPr>
                </pic:pic>
              </a:graphicData>
            </a:graphic>
          </wp:inline>
        </w:drawing>
      </w:r>
    </w:p>
    <w:p>
      <w:pPr>
        <w:pStyle w:val="3"/>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pPr>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≥35 dB  </w:t>
      </w:r>
      <w:r>
        <w:rPr>
          <w:rFonts w:hint="eastAsia"/>
          <w:lang w:val="en-US"/>
        </w:rPr>
        <w:t>三星级</w:t>
      </w:r>
      <w:r>
        <w:rPr>
          <w:lang w:val="en-US"/>
        </w:rPr>
        <w:t>≥40 dB）</w:t>
      </w:r>
    </w:p>
    <w:p>
      <w:pPr>
        <w:pStyle w:val="3"/>
        <w:jc w:val="center"/>
        <w:rPr>
          <w:lang w:val="en-US"/>
        </w:rPr>
      </w:pPr>
      <w:bookmarkStart w:id="52" w:name="组合墙星级评价表"/>
      <w:bookmarkEnd w:id="52"/>
    </w:p>
    <w:p>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pPr>
        <w:pStyle w:val="4"/>
      </w:pPr>
      <w:bookmarkStart w:id="53" w:name="_Toc154609679"/>
      <w:r>
        <w:rPr>
          <w:rFonts w:hint="eastAsia"/>
        </w:rPr>
        <w:t>分户墙</w:t>
      </w:r>
      <w:r>
        <w:t>-</w:t>
      </w:r>
      <w:r>
        <w:rPr>
          <w:rFonts w:hint="eastAsia"/>
        </w:rPr>
        <w:t>两侧卧室之间</w:t>
      </w:r>
      <w:bookmarkEnd w:id="53"/>
    </w:p>
    <w:p>
      <w:pPr>
        <w:pStyle w:val="3"/>
        <w:ind w:firstLine="420"/>
      </w:pPr>
      <w:r>
        <w:t>分户墙两侧卧室之间的空气声隔声性能</w:t>
      </w:r>
      <w:r>
        <w:rPr>
          <w:rFonts w:hint="eastAsia"/>
        </w:rPr>
        <w:t>如下表所示：</w:t>
      </w:r>
    </w:p>
    <w:p>
      <w:pPr>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≥47.5 dB  </w:t>
      </w:r>
      <w:r>
        <w:rPr>
          <w:rFonts w:hint="eastAsia"/>
          <w:lang w:val="en-US"/>
        </w:rPr>
        <w:t>三星级</w:t>
      </w:r>
      <w:r>
        <w:rPr>
          <w:lang w:val="en-US"/>
        </w:rPr>
        <w:t>≥50 dB）</w:t>
      </w:r>
    </w:p>
    <w:p>
      <w:pPr>
        <w:pStyle w:val="3"/>
        <w:ind w:firstLine="420"/>
        <w:jc w:val="center"/>
        <w:rPr>
          <w:lang w:val="en-US"/>
        </w:rPr>
      </w:pPr>
      <w:bookmarkStart w:id="54" w:name="分户墙星级评价表"/>
      <w:bookmarkEnd w:id="54"/>
    </w:p>
    <w:p>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注：此处若无表格，代表本项目中不存在两户卧室相邻的情况，无需对此项进行评价。</w:t>
      </w:r>
    </w:p>
    <w:p>
      <w:pPr>
        <w:pStyle w:val="2"/>
        <w:ind w:left="669" w:hanging="669"/>
        <w:rPr>
          <w:kern w:val="2"/>
        </w:rPr>
      </w:pPr>
      <w:bookmarkStart w:id="55" w:name="_Toc154609680"/>
      <w:r>
        <w:rPr>
          <w:rFonts w:hint="eastAsia"/>
          <w:kern w:val="2"/>
        </w:rPr>
        <w:t>结论</w:t>
      </w:r>
      <w:bookmarkEnd w:id="55"/>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3"/>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pPr>
              <w:jc w:val="center"/>
            </w:pPr>
            <w:r>
              <w:t>构件</w:t>
            </w:r>
          </w:p>
        </w:tc>
        <w:tc>
          <w:tcPr>
            <w:tcW w:w="2377" w:type="dxa"/>
            <w:shd w:val="clear" w:color="auto" w:fill="E6E6E6"/>
            <w:vAlign w:val="center"/>
          </w:tcPr>
          <w:p>
            <w:pPr>
              <w:jc w:val="center"/>
            </w:pPr>
            <w:r>
              <w:t>单值评价量+频谱修正量</w:t>
            </w:r>
          </w:p>
        </w:tc>
        <w:tc>
          <w:tcPr>
            <w:tcW w:w="2037" w:type="dxa"/>
            <w:shd w:val="clear" w:color="auto" w:fill="E6E6E6"/>
            <w:vAlign w:val="center"/>
          </w:tcPr>
          <w:p>
            <w:pPr>
              <w:jc w:val="center"/>
            </w:pPr>
            <w:r>
              <w:t>标准限值</w:t>
            </w:r>
          </w:p>
        </w:tc>
        <w:tc>
          <w:tcPr>
            <w:tcW w:w="147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起居室外墙</w:t>
            </w:r>
          </w:p>
        </w:tc>
        <w:tc>
          <w:tcPr>
            <w:tcW w:w="2377" w:type="dxa"/>
            <w:vAlign w:val="center"/>
          </w:tcPr>
          <w:p>
            <w:r>
              <w:rPr>
                <w:b/>
              </w:rPr>
              <w:t>60</w:t>
            </w:r>
          </w:p>
        </w:tc>
        <w:tc>
          <w:tcPr>
            <w:tcW w:w="2037" w:type="dxa"/>
            <w:vAlign w:val="center"/>
          </w:tcPr>
          <w:p>
            <w:r>
              <w:t>低限:≥45,高要求:≥50</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分户墙</w:t>
            </w:r>
          </w:p>
        </w:tc>
        <w:tc>
          <w:tcPr>
            <w:tcW w:w="2377" w:type="dxa"/>
            <w:vAlign w:val="center"/>
          </w:tcPr>
          <w:p>
            <w:r>
              <w:rPr>
                <w:b/>
              </w:rPr>
              <w:t>69</w:t>
            </w:r>
          </w:p>
        </w:tc>
        <w:tc>
          <w:tcPr>
            <w:tcW w:w="2037" w:type="dxa"/>
            <w:vAlign w:val="center"/>
          </w:tcPr>
          <w:p>
            <w:r>
              <w:t>低限:&gt;45,高要求:&gt;50</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卧室墙</w:t>
            </w:r>
          </w:p>
        </w:tc>
        <w:tc>
          <w:tcPr>
            <w:tcW w:w="2377" w:type="dxa"/>
            <w:vAlign w:val="center"/>
          </w:tcPr>
          <w:p>
            <w:r>
              <w:rPr>
                <w:b/>
              </w:rPr>
              <w:t>80</w:t>
            </w:r>
          </w:p>
        </w:tc>
        <w:tc>
          <w:tcPr>
            <w:tcW w:w="2037" w:type="dxa"/>
            <w:vAlign w:val="center"/>
          </w:tcPr>
          <w:p>
            <w:r>
              <w:t>低限:≥35</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卧室外墙</w:t>
            </w:r>
          </w:p>
        </w:tc>
        <w:tc>
          <w:tcPr>
            <w:tcW w:w="2377" w:type="dxa"/>
            <w:vAlign w:val="center"/>
          </w:tcPr>
          <w:p>
            <w:r>
              <w:rPr>
                <w:b/>
              </w:rPr>
              <w:t>60</w:t>
            </w:r>
          </w:p>
        </w:tc>
        <w:tc>
          <w:tcPr>
            <w:tcW w:w="2037" w:type="dxa"/>
            <w:vAlign w:val="center"/>
          </w:tcPr>
          <w:p>
            <w:r>
              <w:t>低限:≥45,高要求:≥50</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分户楼板</w:t>
            </w:r>
          </w:p>
        </w:tc>
        <w:tc>
          <w:tcPr>
            <w:tcW w:w="2377" w:type="dxa"/>
            <w:vAlign w:val="center"/>
          </w:tcPr>
          <w:p>
            <w:r>
              <w:rPr>
                <w:b/>
              </w:rPr>
              <w:t>54</w:t>
            </w:r>
          </w:p>
        </w:tc>
        <w:tc>
          <w:tcPr>
            <w:tcW w:w="2037" w:type="dxa"/>
            <w:vAlign w:val="center"/>
          </w:tcPr>
          <w:p>
            <w:r>
              <w:t>低限:&gt;45,高要求:&gt;50</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住宅建筑中其他外窗</w:t>
            </w:r>
          </w:p>
        </w:tc>
        <w:tc>
          <w:tcPr>
            <w:tcW w:w="2377" w:type="dxa"/>
            <w:vAlign w:val="center"/>
          </w:tcPr>
          <w:p>
            <w:r>
              <w:rPr>
                <w:b/>
              </w:rPr>
              <w:t>41</w:t>
            </w:r>
          </w:p>
        </w:tc>
        <w:tc>
          <w:tcPr>
            <w:tcW w:w="2037" w:type="dxa"/>
            <w:vAlign w:val="center"/>
          </w:tcPr>
          <w:p>
            <w:r>
              <w:t>低限:≥25,高要求:≥30</w:t>
            </w:r>
          </w:p>
        </w:tc>
        <w:tc>
          <w:tcPr>
            <w:tcW w:w="1471" w:type="dxa"/>
            <w:vAlign w:val="center"/>
          </w:tcPr>
          <w:p>
            <w:r>
              <w:rPr>
                <w:b/>
              </w:rPr>
              <w:t>满足高要求</w:t>
            </w:r>
          </w:p>
        </w:tc>
      </w:tr>
    </w:tbl>
    <w:p>
      <w:bookmarkStart w:id="56" w:name="构件隔声性能统计"/>
      <w:bookmarkEnd w:id="56"/>
    </w:p>
    <w:p>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3"/>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pPr>
              <w:jc w:val="center"/>
            </w:pPr>
            <w:r>
              <w:t>构件</w:t>
            </w:r>
          </w:p>
        </w:tc>
        <w:tc>
          <w:tcPr>
            <w:tcW w:w="2377" w:type="dxa"/>
            <w:shd w:val="clear" w:color="auto" w:fill="E6E6E6"/>
            <w:vAlign w:val="center"/>
          </w:tcPr>
          <w:p>
            <w:pPr>
              <w:jc w:val="center"/>
            </w:pPr>
            <w:r>
              <w:t>计权规范化撞击声压级</w:t>
            </w:r>
          </w:p>
        </w:tc>
        <w:tc>
          <w:tcPr>
            <w:tcW w:w="2037" w:type="dxa"/>
            <w:shd w:val="clear" w:color="auto" w:fill="E6E6E6"/>
            <w:vAlign w:val="center"/>
          </w:tcPr>
          <w:p>
            <w:pPr>
              <w:jc w:val="center"/>
            </w:pPr>
            <w:r>
              <w:t>标准限值</w:t>
            </w:r>
          </w:p>
        </w:tc>
        <w:tc>
          <w:tcPr>
            <w:tcW w:w="147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起居室的分户楼板</w:t>
            </w:r>
          </w:p>
        </w:tc>
        <w:tc>
          <w:tcPr>
            <w:tcW w:w="2377" w:type="dxa"/>
            <w:vAlign w:val="center"/>
          </w:tcPr>
          <w:p>
            <w:r>
              <w:rPr>
                <w:b/>
              </w:rPr>
              <w:t>62</w:t>
            </w:r>
          </w:p>
        </w:tc>
        <w:tc>
          <w:tcPr>
            <w:tcW w:w="2037" w:type="dxa"/>
            <w:vAlign w:val="center"/>
          </w:tcPr>
          <w:p>
            <w:r>
              <w:t>低限:&lt;75,高要求:&lt;65</w:t>
            </w:r>
          </w:p>
        </w:tc>
        <w:tc>
          <w:tcPr>
            <w:tcW w:w="1471" w:type="dxa"/>
            <w:vAlign w:val="center"/>
          </w:tcPr>
          <w:p>
            <w:r>
              <w:rPr>
                <w:b/>
              </w:rPr>
              <w:t>满足高要求</w:t>
            </w:r>
          </w:p>
        </w:tc>
      </w:tr>
    </w:tbl>
    <w:p>
      <w:bookmarkStart w:id="57" w:name="撞击声隔声性能统计"/>
      <w:bookmarkEnd w:id="57"/>
    </w:p>
    <w:p>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构件</w:t>
            </w:r>
          </w:p>
        </w:tc>
        <w:tc>
          <w:tcPr>
            <w:tcW w:w="2547" w:type="dxa"/>
            <w:shd w:val="clear" w:color="auto" w:fill="E6E6E6"/>
          </w:tcPr>
          <w:p>
            <w:pPr>
              <w:jc w:val="center"/>
            </w:pPr>
            <w:r>
              <w:t>单值评价量+频谱修正量</w:t>
            </w:r>
          </w:p>
        </w:tc>
        <w:tc>
          <w:tcPr>
            <w:tcW w:w="2689"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r>
              <w:rPr>
                <w:rFonts w:hint="eastAsia"/>
              </w:rPr>
              <w:t>室外与卧室之间</w:t>
            </w:r>
          </w:p>
        </w:tc>
        <w:tc>
          <w:tcPr>
            <w:tcW w:w="2547" w:type="dxa"/>
            <w:vAlign w:val="center"/>
          </w:tcPr>
          <w:p>
            <w:pPr>
              <w:rPr>
                <w:b/>
              </w:rPr>
            </w:pPr>
            <w:bookmarkStart w:id="58" w:name="组合墙星级评价隔声量"/>
            <w:r>
              <w:rPr>
                <w:b/>
              </w:rPr>
              <w:t>-</w:t>
            </w:r>
            <w:bookmarkEnd w:id="58"/>
          </w:p>
        </w:tc>
        <w:tc>
          <w:tcPr>
            <w:tcW w:w="2689" w:type="dxa"/>
            <w:vAlign w:val="center"/>
          </w:tcPr>
          <w:p>
            <w:r>
              <w:rPr>
                <w:rFonts w:hint="eastAsia"/>
              </w:rPr>
              <w:t>二星级</w:t>
            </w:r>
            <w:r>
              <w:t xml:space="preserve">≥35  </w:t>
            </w:r>
            <w:r>
              <w:rPr>
                <w:rFonts w:hint="eastAsia"/>
              </w:rPr>
              <w:t>三星级</w:t>
            </w:r>
            <w:r>
              <w:t>≥40</w:t>
            </w:r>
          </w:p>
        </w:tc>
        <w:tc>
          <w:tcPr>
            <w:tcW w:w="1709" w:type="dxa"/>
            <w:vAlign w:val="center"/>
          </w:tcPr>
          <w:p>
            <w:pPr>
              <w:jc w:val="center"/>
              <w:rPr>
                <w:b/>
                <w:highlight w:val="yellow"/>
                <w:lang w:val="en-US"/>
              </w:rPr>
            </w:pPr>
            <w:bookmarkStart w:id="59" w:name="组合墙星级评价结论"/>
            <w:r>
              <w:rPr>
                <w:b/>
              </w:rPr>
              <w:t>-</w:t>
            </w:r>
            <w:bookmarkEnd w:id="59"/>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r>
              <w:rPr>
                <w:rFonts w:hint="eastAsia"/>
              </w:rPr>
              <w:t>分户墙两侧卧室之间</w:t>
            </w:r>
          </w:p>
        </w:tc>
        <w:tc>
          <w:tcPr>
            <w:tcW w:w="2547" w:type="dxa"/>
            <w:vAlign w:val="center"/>
          </w:tcPr>
          <w:p>
            <w:pPr>
              <w:rPr>
                <w:b/>
              </w:rPr>
            </w:pPr>
            <w:bookmarkStart w:id="60" w:name="分户墙星级评价隔声量"/>
            <w:r>
              <w:rPr>
                <w:b/>
              </w:rPr>
              <w:t>-</w:t>
            </w:r>
            <w:bookmarkEnd w:id="60"/>
          </w:p>
        </w:tc>
        <w:tc>
          <w:tcPr>
            <w:tcW w:w="2689" w:type="dxa"/>
            <w:vAlign w:val="center"/>
          </w:tcPr>
          <w:p>
            <w:r>
              <w:rPr>
                <w:rFonts w:hint="eastAsia"/>
              </w:rPr>
              <w:t>二星级</w:t>
            </w:r>
            <w:r>
              <w:t xml:space="preserve">≥47.5  </w:t>
            </w:r>
            <w:r>
              <w:rPr>
                <w:rFonts w:hint="eastAsia"/>
              </w:rPr>
              <w:t>三星级</w:t>
            </w:r>
            <w:r>
              <w:t>≥50</w:t>
            </w:r>
          </w:p>
        </w:tc>
        <w:tc>
          <w:tcPr>
            <w:tcW w:w="1709" w:type="dxa"/>
            <w:vAlign w:val="center"/>
          </w:tcPr>
          <w:p>
            <w:pPr>
              <w:jc w:val="center"/>
              <w:rPr>
                <w:b/>
                <w:highlight w:val="yellow"/>
                <w:lang w:val="en-US"/>
              </w:rPr>
            </w:pPr>
            <w:bookmarkStart w:id="61" w:name="分户墙星级评价结论"/>
            <w:r>
              <w:rPr>
                <w:b/>
              </w:rPr>
              <w:t>-</w:t>
            </w:r>
            <w:bookmarkEnd w:id="61"/>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r>
              <w:t>构件</w:t>
            </w:r>
          </w:p>
        </w:tc>
        <w:tc>
          <w:tcPr>
            <w:tcW w:w="2547" w:type="dxa"/>
            <w:shd w:val="clear" w:color="auto" w:fill="E7E6E6" w:themeFill="background2"/>
          </w:tcPr>
          <w:p>
            <w:pPr>
              <w:jc w:val="center"/>
              <w:rPr>
                <w:b/>
              </w:rPr>
            </w:pPr>
            <w:r>
              <w:t>计权规范化撞击声压级</w:t>
            </w:r>
          </w:p>
        </w:tc>
        <w:tc>
          <w:tcPr>
            <w:tcW w:w="2689" w:type="dxa"/>
            <w:shd w:val="clear" w:color="auto" w:fill="E7E6E6" w:themeFill="background2"/>
            <w:vAlign w:val="center"/>
          </w:tcPr>
          <w:p>
            <w:pPr>
              <w:jc w:val="center"/>
            </w:pPr>
            <w:r>
              <w:t>标准限值</w:t>
            </w:r>
          </w:p>
        </w:tc>
        <w:tc>
          <w:tcPr>
            <w:tcW w:w="1709" w:type="dxa"/>
            <w:shd w:val="clear" w:color="auto" w:fill="E7E6E6" w:themeFill="background2"/>
            <w:vAlign w:val="center"/>
          </w:tcPr>
          <w:p>
            <w:pPr>
              <w:jc w:val="center"/>
              <w:rPr>
                <w:kern w:val="2"/>
                <w:szCs w:val="21"/>
                <w:highlight w:val="yellow"/>
                <w:lang w:val="en-US"/>
              </w:rP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r>
              <w:t>卧室的分户楼板</w:t>
            </w:r>
          </w:p>
        </w:tc>
        <w:tc>
          <w:tcPr>
            <w:tcW w:w="2547" w:type="dxa"/>
            <w:vAlign w:val="center"/>
          </w:tcPr>
          <w:p>
            <w:pPr>
              <w:rPr>
                <w:b/>
              </w:rPr>
            </w:pPr>
            <w:bookmarkStart w:id="62" w:name="分户楼板星级评价撞击声压级"/>
            <w:r>
              <w:rPr>
                <w:b/>
              </w:rPr>
              <w:t>-</w:t>
            </w:r>
            <w:bookmarkEnd w:id="62"/>
          </w:p>
        </w:tc>
        <w:tc>
          <w:tcPr>
            <w:tcW w:w="2689" w:type="dxa"/>
            <w:vAlign w:val="center"/>
          </w:tcPr>
          <w:p>
            <w:r>
              <w:rPr>
                <w:rFonts w:hint="eastAsia"/>
              </w:rPr>
              <w:t>二星级</w:t>
            </w:r>
            <w:r>
              <w:t xml:space="preserve">&lt;70  </w:t>
            </w:r>
            <w:r>
              <w:rPr>
                <w:rFonts w:hint="eastAsia"/>
              </w:rPr>
              <w:t>三星级</w:t>
            </w:r>
            <w:r>
              <w:t>&lt;65</w:t>
            </w:r>
          </w:p>
        </w:tc>
        <w:tc>
          <w:tcPr>
            <w:tcW w:w="1709" w:type="dxa"/>
            <w:vAlign w:val="center"/>
          </w:tcPr>
          <w:p>
            <w:pPr>
              <w:jc w:val="center"/>
              <w:rPr>
                <w:b/>
                <w:highlight w:val="yellow"/>
                <w:lang w:val="en-US"/>
              </w:rPr>
            </w:pPr>
            <w:bookmarkStart w:id="63" w:name="分户楼板星级评价结论"/>
            <w:r>
              <w:rPr>
                <w:b/>
              </w:rPr>
              <w:t>-</w:t>
            </w:r>
            <w:bookmarkEnd w:id="63"/>
          </w:p>
        </w:tc>
      </w:tr>
    </w:tbl>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pStyle w:val="3"/>
        <w:rPr>
          <w:rFonts w:ascii="宋体" w:hAnsi="宋体"/>
        </w:rPr>
      </w:pPr>
    </w:p>
    <w:p>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pPr>
              <w:contextualSpacing/>
              <w:jc w:val="center"/>
              <w:rPr>
                <w:bCs/>
              </w:rPr>
            </w:pPr>
            <w:r>
              <w:rPr>
                <w:bCs/>
              </w:rPr>
              <w:t>检查项</w:t>
            </w:r>
          </w:p>
        </w:tc>
        <w:tc>
          <w:tcPr>
            <w:tcW w:w="5812" w:type="dxa"/>
            <w:shd w:val="clear" w:color="auto" w:fill="E6E6E6"/>
          </w:tcPr>
          <w:p>
            <w:pPr>
              <w:contextualSpacing/>
              <w:jc w:val="center"/>
              <w:rPr>
                <w:bCs/>
              </w:rPr>
            </w:pPr>
            <w:r>
              <w:rPr>
                <w:rFonts w:hint="eastAsia"/>
                <w:bCs/>
              </w:rPr>
              <w:t>评价</w:t>
            </w:r>
            <w:r>
              <w:rPr>
                <w:bCs/>
              </w:rPr>
              <w:t>依据</w:t>
            </w:r>
          </w:p>
        </w:tc>
        <w:tc>
          <w:tcPr>
            <w:tcW w:w="1523" w:type="dxa"/>
            <w:shd w:val="clear" w:color="auto" w:fill="E6E6E6"/>
            <w:vAlign w:val="center"/>
          </w:tcPr>
          <w:p>
            <w:pPr>
              <w:contextualSpacing/>
              <w:jc w:val="center"/>
              <w:rPr>
                <w:bCs/>
              </w:rPr>
            </w:pPr>
            <w:r>
              <w:rPr>
                <w:bCs/>
              </w:rPr>
              <w:t>结论</w:t>
            </w:r>
          </w:p>
        </w:tc>
        <w:tc>
          <w:tcPr>
            <w:tcW w:w="737" w:type="dxa"/>
            <w:shd w:val="clear" w:color="auto" w:fill="E6E6E6"/>
            <w:vAlign w:val="center"/>
          </w:tcPr>
          <w:p>
            <w:pPr>
              <w:contextualSpacing/>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pPr>
              <w:pStyle w:val="3"/>
              <w:jc w:val="center"/>
              <w:rPr>
                <w:sz w:val="18"/>
                <w:szCs w:val="18"/>
              </w:rPr>
            </w:pPr>
            <w:r>
              <w:rPr>
                <w:rFonts w:hint="eastAsia"/>
                <w:sz w:val="18"/>
                <w:szCs w:val="18"/>
              </w:rPr>
              <w:t>空气声隔声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523" w:type="dxa"/>
            <w:vAlign w:val="center"/>
          </w:tcPr>
          <w:p>
            <w:pPr>
              <w:jc w:val="center"/>
              <w:rPr>
                <w:b/>
                <w:lang w:val="en-US"/>
              </w:rPr>
            </w:pPr>
            <w:bookmarkStart w:id="64" w:name="空气声控制项结论"/>
            <w:r>
              <w:rPr>
                <w:rFonts w:hint="eastAsia"/>
                <w:b/>
                <w:lang w:val="en-US"/>
              </w:rPr>
              <w:t>满足</w:t>
            </w:r>
            <w:bookmarkEnd w:id="64"/>
          </w:p>
        </w:tc>
        <w:tc>
          <w:tcPr>
            <w:tcW w:w="737" w:type="dxa"/>
            <w:vAlign w:val="center"/>
          </w:tcPr>
          <w:p>
            <w:pPr>
              <w:jc w:val="center"/>
              <w:rPr>
                <w:b/>
                <w:lang w:val="en-US"/>
              </w:rPr>
            </w:pP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523" w:type="dxa"/>
            <w:vAlign w:val="center"/>
          </w:tcPr>
          <w:p>
            <w:pPr>
              <w:jc w:val="center"/>
              <w:rPr>
                <w:b/>
                <w:lang w:val="en-US"/>
              </w:rPr>
            </w:pPr>
            <w:bookmarkStart w:id="65" w:name="空气声评分项结论"/>
            <w:r>
              <w:rPr>
                <w:rFonts w:hint="eastAsia"/>
                <w:b/>
                <w:lang w:val="en-US"/>
              </w:rPr>
              <w:t>满足高要求</w:t>
            </w:r>
            <w:bookmarkEnd w:id="65"/>
          </w:p>
        </w:tc>
        <w:tc>
          <w:tcPr>
            <w:tcW w:w="737" w:type="dxa"/>
            <w:vAlign w:val="center"/>
          </w:tcPr>
          <w:p>
            <w:pPr>
              <w:jc w:val="center"/>
              <w:rPr>
                <w:b/>
                <w:lang w:val="en-US"/>
              </w:rPr>
            </w:pPr>
            <w:bookmarkStart w:id="66" w:name="空气声得分"/>
            <w:r>
              <w:rPr>
                <w:rFonts w:hint="eastAsia"/>
                <w:b/>
                <w:lang w:val="en-US"/>
              </w:rPr>
              <w:t>5</w:t>
            </w:r>
            <w:bookmarkEnd w:id="66"/>
            <w:r>
              <w:rPr>
                <w:rFonts w:hint="eastAsia"/>
                <w:b/>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pPr>
              <w:pStyle w:val="3"/>
              <w:jc w:val="center"/>
              <w:rPr>
                <w:sz w:val="18"/>
                <w:szCs w:val="18"/>
              </w:rPr>
            </w:pPr>
            <w:r>
              <w:rPr>
                <w:rFonts w:hint="eastAsia"/>
                <w:sz w:val="18"/>
                <w:szCs w:val="18"/>
              </w:rPr>
              <w:t>撞击声隔声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523" w:type="dxa"/>
            <w:vAlign w:val="center"/>
          </w:tcPr>
          <w:p>
            <w:pPr>
              <w:jc w:val="center"/>
              <w:rPr>
                <w:b/>
                <w:lang w:val="en-US"/>
              </w:rPr>
            </w:pPr>
            <w:bookmarkStart w:id="67" w:name="撞击声控制项结论"/>
            <w:r>
              <w:rPr>
                <w:rFonts w:hint="eastAsia"/>
                <w:b/>
                <w:lang w:val="en-US"/>
              </w:rPr>
              <w:t>满足</w:t>
            </w:r>
            <w:bookmarkEnd w:id="67"/>
          </w:p>
        </w:tc>
        <w:tc>
          <w:tcPr>
            <w:tcW w:w="737" w:type="dxa"/>
            <w:vAlign w:val="center"/>
          </w:tcPr>
          <w:p>
            <w:pPr>
              <w:jc w:val="center"/>
              <w:rPr>
                <w:b/>
                <w:lang w:val="en-US"/>
              </w:rPr>
            </w:pPr>
            <w:r>
              <w:rPr>
                <w:rFonts w:hint="eastAsia"/>
                <w:b/>
                <w:lang w:val="en-US"/>
              </w:rPr>
              <w:t>-</w:t>
            </w: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523" w:type="dxa"/>
            <w:vAlign w:val="center"/>
          </w:tcPr>
          <w:p>
            <w:pPr>
              <w:jc w:val="center"/>
              <w:rPr>
                <w:b/>
                <w:lang w:val="en-US"/>
              </w:rPr>
            </w:pPr>
            <w:bookmarkStart w:id="68" w:name="撞击声评分项结论"/>
            <w:r>
              <w:rPr>
                <w:rFonts w:hint="eastAsia"/>
                <w:b/>
                <w:lang w:val="en-US"/>
              </w:rPr>
              <w:t>满足高要求</w:t>
            </w:r>
            <w:bookmarkEnd w:id="68"/>
          </w:p>
        </w:tc>
        <w:tc>
          <w:tcPr>
            <w:tcW w:w="737" w:type="dxa"/>
            <w:vAlign w:val="center"/>
          </w:tcPr>
          <w:p>
            <w:pPr>
              <w:jc w:val="center"/>
              <w:rPr>
                <w:b/>
                <w:lang w:val="en-US"/>
              </w:rPr>
            </w:pPr>
            <w:bookmarkStart w:id="69" w:name="撞击声得分"/>
            <w:r>
              <w:rPr>
                <w:rFonts w:hint="eastAsia"/>
                <w:b/>
                <w:lang w:val="en-US"/>
              </w:rPr>
              <w:t>5</w:t>
            </w:r>
            <w:bookmarkEnd w:id="69"/>
            <w:r>
              <w:rPr>
                <w:rFonts w:hint="eastAsia"/>
                <w:b/>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pPr>
              <w:pStyle w:val="3"/>
              <w:jc w:val="center"/>
              <w:rPr>
                <w:sz w:val="18"/>
                <w:szCs w:val="18"/>
              </w:rPr>
            </w:pPr>
            <w:r>
              <w:rPr>
                <w:rFonts w:hint="eastAsia"/>
                <w:sz w:val="18"/>
                <w:szCs w:val="18"/>
              </w:rPr>
              <w:t>住宅建筑</w:t>
            </w:r>
          </w:p>
          <w:p>
            <w:pPr>
              <w:pStyle w:val="3"/>
              <w:jc w:val="center"/>
              <w:rPr>
                <w:sz w:val="18"/>
                <w:szCs w:val="18"/>
              </w:rPr>
            </w:pPr>
            <w:r>
              <w:rPr>
                <w:rFonts w:hint="eastAsia"/>
                <w:sz w:val="18"/>
                <w:szCs w:val="18"/>
              </w:rPr>
              <w:t>隔声性能</w:t>
            </w:r>
          </w:p>
        </w:tc>
        <w:tc>
          <w:tcPr>
            <w:tcW w:w="5812" w:type="dxa"/>
          </w:tcPr>
          <w:p>
            <w:pPr>
              <w:pStyle w:val="3"/>
              <w:rPr>
                <w:sz w:val="18"/>
                <w:szCs w:val="18"/>
              </w:rPr>
            </w:pPr>
            <w:r>
              <w:rPr>
                <w:rFonts w:hint="eastAsia"/>
                <w:sz w:val="18"/>
                <w:szCs w:val="18"/>
              </w:rPr>
              <w:t>3.2.8</w:t>
            </w:r>
            <w:r>
              <w:rPr>
                <w:sz w:val="18"/>
                <w:szCs w:val="18"/>
              </w:rPr>
              <w:t xml:space="preserve">  室外与卧室之间、分户墙（楼板）两侧卧室之间的空气声隔声性能以及卧室楼板的撞击声隔声性能达到低限标准限值和高要求标准限值的平均值，</w:t>
            </w:r>
            <w:r>
              <w:rPr>
                <w:rFonts w:hint="eastAsia"/>
                <w:sz w:val="18"/>
                <w:szCs w:val="18"/>
              </w:rPr>
              <w:t>满足二星级要求；</w:t>
            </w:r>
            <w:r>
              <w:rPr>
                <w:sz w:val="18"/>
                <w:szCs w:val="18"/>
              </w:rPr>
              <w:t>达到高要求标准限值，</w:t>
            </w:r>
            <w:r>
              <w:rPr>
                <w:rFonts w:hint="eastAsia"/>
                <w:sz w:val="18"/>
                <w:szCs w:val="18"/>
              </w:rPr>
              <w:t>满足三星级要求。</w:t>
            </w:r>
          </w:p>
        </w:tc>
        <w:tc>
          <w:tcPr>
            <w:tcW w:w="1523" w:type="dxa"/>
            <w:vAlign w:val="center"/>
          </w:tcPr>
          <w:p>
            <w:pPr>
              <w:jc w:val="center"/>
              <w:rPr>
                <w:b/>
                <w:lang w:val="en-US"/>
              </w:rPr>
            </w:pPr>
            <w:bookmarkStart w:id="70" w:name="星级评价总结论"/>
            <w:r>
              <w:rPr>
                <w:rFonts w:hint="eastAsia"/>
                <w:b/>
                <w:lang w:val="en-US"/>
              </w:rPr>
              <w:t>-</w:t>
            </w:r>
            <w:r>
              <w:rPr>
                <w:b/>
                <w:lang w:val="en-US"/>
              </w:rPr>
              <w:t>-</w:t>
            </w:r>
            <w:bookmarkEnd w:id="70"/>
          </w:p>
        </w:tc>
        <w:tc>
          <w:tcPr>
            <w:tcW w:w="737" w:type="dxa"/>
            <w:vAlign w:val="center"/>
          </w:tcPr>
          <w:p>
            <w:pPr>
              <w:jc w:val="center"/>
              <w:rPr>
                <w:b/>
                <w:lang w:val="en-US"/>
              </w:rPr>
            </w:pPr>
            <w:r>
              <w:rPr>
                <w:rFonts w:hint="eastAsia"/>
                <w:b/>
                <w:lang w:val="en-US"/>
              </w:rPr>
              <w:t>-</w:t>
            </w:r>
            <w:r>
              <w:rPr>
                <w:b/>
                <w:lang w:val="en-US"/>
              </w:rPr>
              <w:t>-</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正文">
    <w:altName w:val="AMGD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panose1 w:val="02000500000000000000"/>
    <w:charset w:val="86"/>
    <w:family w:val="auto"/>
    <w:pitch w:val="default"/>
    <w:sig w:usb0="00000001" w:usb1="08010000" w:usb2="0000000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10</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yMzYyMjE4OGEyYmU0NGU4OWM3NGNlZDgzMmNmZWUifQ=="/>
  </w:docVars>
  <w:rsids>
    <w:rsidRoot w:val="00E11913"/>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4485F"/>
    <w:rsid w:val="00145801"/>
    <w:rsid w:val="00147425"/>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97EC4"/>
    <w:rsid w:val="001A075E"/>
    <w:rsid w:val="001A2D92"/>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4241"/>
    <w:rsid w:val="001F5D53"/>
    <w:rsid w:val="001F70D7"/>
    <w:rsid w:val="00203A7D"/>
    <w:rsid w:val="0020615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8DD"/>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62EFE"/>
    <w:rsid w:val="00466A5B"/>
    <w:rsid w:val="004714BC"/>
    <w:rsid w:val="0047173D"/>
    <w:rsid w:val="00472D22"/>
    <w:rsid w:val="0047643A"/>
    <w:rsid w:val="00480791"/>
    <w:rsid w:val="004813EC"/>
    <w:rsid w:val="00483102"/>
    <w:rsid w:val="0048390D"/>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55BC"/>
    <w:rsid w:val="00655668"/>
    <w:rsid w:val="00661CCE"/>
    <w:rsid w:val="0066436D"/>
    <w:rsid w:val="00666193"/>
    <w:rsid w:val="006672B3"/>
    <w:rsid w:val="00672BBD"/>
    <w:rsid w:val="0067327D"/>
    <w:rsid w:val="0067427F"/>
    <w:rsid w:val="00676C36"/>
    <w:rsid w:val="00676CC1"/>
    <w:rsid w:val="0068126C"/>
    <w:rsid w:val="00685360"/>
    <w:rsid w:val="00686246"/>
    <w:rsid w:val="00687D18"/>
    <w:rsid w:val="00687FD0"/>
    <w:rsid w:val="006905C6"/>
    <w:rsid w:val="006907C9"/>
    <w:rsid w:val="00692C06"/>
    <w:rsid w:val="00694FCA"/>
    <w:rsid w:val="00696C27"/>
    <w:rsid w:val="006A2250"/>
    <w:rsid w:val="006A29EB"/>
    <w:rsid w:val="006C0B8D"/>
    <w:rsid w:val="006C20E1"/>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5720"/>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63DA"/>
    <w:rsid w:val="00A6082E"/>
    <w:rsid w:val="00A67B9B"/>
    <w:rsid w:val="00A709B2"/>
    <w:rsid w:val="00A739AB"/>
    <w:rsid w:val="00A767C3"/>
    <w:rsid w:val="00A80168"/>
    <w:rsid w:val="00A805BE"/>
    <w:rsid w:val="00A81143"/>
    <w:rsid w:val="00A84B59"/>
    <w:rsid w:val="00A85A69"/>
    <w:rsid w:val="00A864F0"/>
    <w:rsid w:val="00A95D8E"/>
    <w:rsid w:val="00A97C4E"/>
    <w:rsid w:val="00AA47FE"/>
    <w:rsid w:val="00AA4FD5"/>
    <w:rsid w:val="00AA684C"/>
    <w:rsid w:val="00AA6CBF"/>
    <w:rsid w:val="00AB0923"/>
    <w:rsid w:val="00AB3F74"/>
    <w:rsid w:val="00AB5765"/>
    <w:rsid w:val="00AB57F1"/>
    <w:rsid w:val="00AB6486"/>
    <w:rsid w:val="00AB65E2"/>
    <w:rsid w:val="00AB6D13"/>
    <w:rsid w:val="00AC306D"/>
    <w:rsid w:val="00AC3A43"/>
    <w:rsid w:val="00AC3B3E"/>
    <w:rsid w:val="00AC42A9"/>
    <w:rsid w:val="00AC45A2"/>
    <w:rsid w:val="00AC69BD"/>
    <w:rsid w:val="00AC7840"/>
    <w:rsid w:val="00AC78FF"/>
    <w:rsid w:val="00AD75CC"/>
    <w:rsid w:val="00AE11C2"/>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6792"/>
    <w:rsid w:val="00B57E67"/>
    <w:rsid w:val="00B60841"/>
    <w:rsid w:val="00B61333"/>
    <w:rsid w:val="00B63B82"/>
    <w:rsid w:val="00B64D5B"/>
    <w:rsid w:val="00B677A3"/>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BE7910"/>
    <w:rsid w:val="00C0242F"/>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7778"/>
    <w:rsid w:val="00C7287B"/>
    <w:rsid w:val="00C732DD"/>
    <w:rsid w:val="00C740F7"/>
    <w:rsid w:val="00C762AC"/>
    <w:rsid w:val="00C77B6E"/>
    <w:rsid w:val="00C80797"/>
    <w:rsid w:val="00C81A2A"/>
    <w:rsid w:val="00C83F86"/>
    <w:rsid w:val="00C854E3"/>
    <w:rsid w:val="00C85F43"/>
    <w:rsid w:val="00C8664A"/>
    <w:rsid w:val="00C91672"/>
    <w:rsid w:val="00C92E02"/>
    <w:rsid w:val="00C94F50"/>
    <w:rsid w:val="00C97E25"/>
    <w:rsid w:val="00CA08E8"/>
    <w:rsid w:val="00CA0C2D"/>
    <w:rsid w:val="00CA17F8"/>
    <w:rsid w:val="00CA1ECA"/>
    <w:rsid w:val="00CA210D"/>
    <w:rsid w:val="00CA3A30"/>
    <w:rsid w:val="00CA44C3"/>
    <w:rsid w:val="00CA5EAC"/>
    <w:rsid w:val="00CA7745"/>
    <w:rsid w:val="00CB43E3"/>
    <w:rsid w:val="00CB54F3"/>
    <w:rsid w:val="00CB5E85"/>
    <w:rsid w:val="00CC032C"/>
    <w:rsid w:val="00CC1E6E"/>
    <w:rsid w:val="00CC2131"/>
    <w:rsid w:val="00CC5F46"/>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89B"/>
    <w:rsid w:val="00DF2A3C"/>
    <w:rsid w:val="00DF470C"/>
    <w:rsid w:val="00DF7CE3"/>
    <w:rsid w:val="00E0178D"/>
    <w:rsid w:val="00E037BA"/>
    <w:rsid w:val="00E07A48"/>
    <w:rsid w:val="00E07C4C"/>
    <w:rsid w:val="00E110F8"/>
    <w:rsid w:val="00E11582"/>
    <w:rsid w:val="00E11913"/>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5581E"/>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90421"/>
    <w:rsid w:val="00F91153"/>
    <w:rsid w:val="00F93F4D"/>
    <w:rsid w:val="00F94452"/>
    <w:rsid w:val="00F96ED8"/>
    <w:rsid w:val="00FA116E"/>
    <w:rsid w:val="00FA489B"/>
    <w:rsid w:val="00FA4B87"/>
    <w:rsid w:val="00FA6522"/>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2243"/>
    <w:rsid w:val="00FF235F"/>
    <w:rsid w:val="62C42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link w:val="35"/>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autoRedefine/>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autoRedefine/>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qFormat/>
    <w:uiPriority w:val="0"/>
    <w:pPr>
      <w:tabs>
        <w:tab w:val="center" w:pos="4153"/>
        <w:tab w:val="right" w:pos="8306"/>
      </w:tabs>
    </w:pPr>
  </w:style>
  <w:style w:type="paragraph" w:styleId="17">
    <w:name w:val="header"/>
    <w:basedOn w:val="1"/>
    <w:autoRedefine/>
    <w:qFormat/>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qFormat/>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autoRedefine/>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autoRedefine/>
    <w:uiPriority w:val="0"/>
    <w:rPr>
      <w:rFonts w:ascii="微软雅黑" w:hAnsi="微软雅黑" w:eastAsia="微软雅黑" w:cs="微软雅黑"/>
      <w:b/>
      <w:bCs/>
      <w:kern w:val="32"/>
      <w:sz w:val="28"/>
      <w:szCs w:val="28"/>
    </w:rPr>
  </w:style>
  <w:style w:type="character" w:customStyle="1" w:styleId="32">
    <w:name w:val="副标题 字符"/>
    <w:basedOn w:val="23"/>
    <w:link w:val="19"/>
    <w:autoRedefine/>
    <w:uiPriority w:val="11"/>
    <w:rPr>
      <w:rFonts w:asciiTheme="majorHAnsi" w:hAnsiTheme="majorHAnsi" w:eastAsiaTheme="majorEastAsia" w:cstheme="majorBidi"/>
      <w:i/>
      <w:iCs/>
      <w:spacing w:val="13"/>
      <w:sz w:val="24"/>
      <w:szCs w:val="24"/>
      <w:lang w:val="en-GB"/>
    </w:rPr>
  </w:style>
  <w:style w:type="paragraph" w:customStyle="1" w:styleId="33">
    <w:name w:val="Default"/>
    <w:autoRedefine/>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autoRedefine/>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3" Type="http://schemas.openxmlformats.org/officeDocument/2006/relationships/fontTable" Target="fontTable.xml"/><Relationship Id="rId42" Type="http://schemas.openxmlformats.org/officeDocument/2006/relationships/customXml" Target="../customXml/item1.xml"/><Relationship Id="rId41" Type="http://schemas.openxmlformats.org/officeDocument/2006/relationships/numbering" Target="numbering.xml"/><Relationship Id="rId40" Type="http://schemas.openxmlformats.org/officeDocument/2006/relationships/image" Target="media/image22.png"/><Relationship Id="rId4" Type="http://schemas.openxmlformats.org/officeDocument/2006/relationships/footer" Target="footer1.xml"/><Relationship Id="rId39" Type="http://schemas.openxmlformats.org/officeDocument/2006/relationships/image" Target="media/image21.png"/><Relationship Id="rId38" Type="http://schemas.openxmlformats.org/officeDocument/2006/relationships/oleObject" Target="embeddings/oleObject13.bin"/><Relationship Id="rId37" Type="http://schemas.openxmlformats.org/officeDocument/2006/relationships/oleObject" Target="embeddings/oleObject12.bin"/><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wmf"/><Relationship Id="rId33" Type="http://schemas.openxmlformats.org/officeDocument/2006/relationships/oleObject" Target="embeddings/oleObject11.bin"/><Relationship Id="rId32" Type="http://schemas.openxmlformats.org/officeDocument/2006/relationships/image" Target="media/image17.wmf"/><Relationship Id="rId31" Type="http://schemas.openxmlformats.org/officeDocument/2006/relationships/oleObject" Target="embeddings/oleObject10.bin"/><Relationship Id="rId30" Type="http://schemas.openxmlformats.org/officeDocument/2006/relationships/image" Target="media/image16.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wmf"/><Relationship Id="rId17" Type="http://schemas.openxmlformats.org/officeDocument/2006/relationships/oleObject" Target="embeddings/oleObject7.bin"/><Relationship Id="rId16" Type="http://schemas.openxmlformats.org/officeDocument/2006/relationships/image" Target="media/image5.png"/><Relationship Id="rId15" Type="http://schemas.openxmlformats.org/officeDocument/2006/relationships/oleObject" Target="embeddings/oleObject6.bin"/><Relationship Id="rId14" Type="http://schemas.openxmlformats.org/officeDocument/2006/relationships/image" Target="media/image4.wmf"/><Relationship Id="rId13" Type="http://schemas.openxmlformats.org/officeDocument/2006/relationships/oleObject" Target="embeddings/oleObject5.bin"/><Relationship Id="rId12" Type="http://schemas.openxmlformats.org/officeDocument/2006/relationships/oleObject" Target="embeddings/oleObject4.bin"/><Relationship Id="rId11" Type="http://schemas.openxmlformats.org/officeDocument/2006/relationships/oleObject" Target="embeddings/oleObject3.bin"/><Relationship Id="rId10" Type="http://schemas.openxmlformats.org/officeDocument/2006/relationships/oleObject" Target="embeddings/oleObject2.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946AF-BEC3-4313-AA75-F07E2C66C6BE}">
  <ds:schemaRefs/>
</ds:datastoreItem>
</file>

<file path=docProps/app.xml><?xml version="1.0" encoding="utf-8"?>
<Properties xmlns="http://schemas.openxmlformats.org/officeDocument/2006/extended-properties" xmlns:vt="http://schemas.openxmlformats.org/officeDocument/2006/docPropsVTypes">
  <Template>tmp3.dotx</Template>
  <Company>ths</Company>
  <Pages>14</Pages>
  <Words>1577</Words>
  <Characters>8992</Characters>
  <Lines>74</Lines>
  <Paragraphs>21</Paragraphs>
  <TotalTime>0</TotalTime>
  <ScaleCrop>false</ScaleCrop>
  <LinksUpToDate>false</LinksUpToDate>
  <CharactersWithSpaces>10548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2023-12-27T14:47:00Z</dcterms:created>
  <dc:creator>Administrator</dc:creator>
  <cp:lastModifiedBy>介子生</cp:lastModifiedBy>
  <cp:lastPrinted>1900-12-31T16:00:00Z</cp:lastPrinted>
  <dcterms:modified xsi:type="dcterms:W3CDTF">2024-01-10T03:51:31Z</dcterms:modified>
  <dc:title>建筑构件隔声设计报告书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37D38040F46141C1BF03B5AC852C740B_12</vt:lpwstr>
  </property>
</Properties>
</file>