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为达到</w:t>
            </w:r>
            <w:r>
              <w:rPr>
                <w:rFonts w:ascii="宋体" w:hAnsi="宋体" w:eastAsia="宋体" w:cs="宋体"/>
                <w:sz w:val="24"/>
                <w:szCs w:val="24"/>
              </w:rPr>
              <w:t>要求氨、甲醛、苯、总挥发性有机物、氡等污染物浓度低于现行国家标 准《室内空气质量标准 GB/T 18883 规定限值 10%或 20%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对于室内空气污染物的浓度采取以下措施。</w:t>
            </w:r>
            <w:r>
              <w:rPr>
                <w:rFonts w:ascii="宋体" w:hAnsi="宋体" w:eastAsia="宋体" w:cs="宋体"/>
                <w:sz w:val="24"/>
                <w:szCs w:val="24"/>
              </w:rPr>
              <w:t>①增强建筑围护结构气密性能，降低室外颗粒物向室内的穿透。 ②对于厨房等颗粒物散发源空间设置可关闭的门。③对具有集中通风空调系统的 建筑，应对通风系统及空气净化装置进行合理设计和选型，并使室内具有一定的 正压。对于无集中通风空调的建筑，可采用空气净化器或户式新风系统控制室内 颗粒物浓度。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067F62D1"/>
    <w:rsid w:val="083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autoRedefine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6</TotalTime>
  <ScaleCrop>false</ScaleCrop>
  <LinksUpToDate>false</LinksUpToDate>
  <CharactersWithSpaces>1061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刘家乐</cp:lastModifiedBy>
  <dcterms:modified xsi:type="dcterms:W3CDTF">2024-03-11T10:42:27Z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86D6A1EBFC314C58B3A7CB24A2A3590E_13</vt:lpwstr>
  </property>
</Properties>
</file>