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对于卫生间、厨房。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地面、吊顶、墙面和结局设备及管线等通过设计集成、工厂生产，在工地主 要采用干式工法装配。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</w:t>
            </w:r>
            <w:r>
              <w:rPr>
                <w:rFonts w:ascii="宋体" w:hAnsi="宋体" w:eastAsia="宋体" w:cs="宋体"/>
                <w:sz w:val="24"/>
                <w:szCs w:val="24"/>
              </w:rPr>
              <w:t>《装配式建筑评价标准》GB/T51129-2017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0C2C57"/>
    <w:rsid w:val="00074A38"/>
    <w:rsid w:val="000C2C57"/>
    <w:rsid w:val="000F688D"/>
    <w:rsid w:val="00105028"/>
    <w:rsid w:val="001619C6"/>
    <w:rsid w:val="00AC5435"/>
    <w:rsid w:val="296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71DFC236CC324B34BE94F5D30D88FB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刘家乐</cp:lastModifiedBy>
  <dcterms:modified xsi:type="dcterms:W3CDTF">2024-03-11T11:20:06Z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88C3ED912AB0469F81C75F5E4E4C3F59_13</vt:lpwstr>
  </property>
</Properties>
</file>