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ascii="宋体" w:hAnsi="宋体" w:eastAsia="宋体" w:cs="宋体"/>
                <w:sz w:val="21"/>
                <w:szCs w:val="21"/>
              </w:rPr>
              <w:t>匠木回春——基于绿建技术与传统工艺结合的民宿设计</w:t>
            </w:r>
            <w:bookmarkStart w:id="192" w:name="_GoBack"/>
            <w:bookmarkEnd w:id="19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2024年03月17日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20231016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S</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_Toc161 </w:instrText>
      </w:r>
      <w:r>
        <w:rPr>
          <w:rFonts w:ascii="宋体" w:hAnsi="宋体"/>
          <w:bCs w:val="0"/>
          <w:caps/>
        </w:rPr>
        <w:fldChar w:fldCharType="separate"/>
      </w:r>
      <w:r>
        <w:rPr>
          <w:rFonts w:hint="eastAsia"/>
        </w:rPr>
        <w:t>1 项目概况</w:t>
      </w:r>
      <w:r>
        <w:tab/>
      </w:r>
      <w:r>
        <w:fldChar w:fldCharType="begin"/>
      </w:r>
      <w:r>
        <w:instrText xml:space="preserve"> PAGEREF _Toc161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_Toc3239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_Toc3239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_Toc12568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_Toc12568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_Toc17899 </w:instrText>
      </w:r>
      <w:r>
        <w:fldChar w:fldCharType="separate"/>
      </w:r>
      <w:r>
        <w:rPr>
          <w:rFonts w:hint="eastAsia"/>
        </w:rPr>
        <w:t>2 计算</w:t>
      </w:r>
      <w:r>
        <w:t>依据</w:t>
      </w:r>
      <w:r>
        <w:tab/>
      </w:r>
      <w:r>
        <w:fldChar w:fldCharType="begin"/>
      </w:r>
      <w:r>
        <w:instrText xml:space="preserve"> PAGEREF _Toc17899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_Toc11757 </w:instrText>
      </w:r>
      <w:r>
        <w:fldChar w:fldCharType="separate"/>
      </w:r>
      <w:r>
        <w:rPr>
          <w:rFonts w:hint="eastAsia"/>
        </w:rPr>
        <w:t>3 参考</w:t>
      </w:r>
      <w:r>
        <w:t>标准</w:t>
      </w:r>
      <w:r>
        <w:tab/>
      </w:r>
      <w:r>
        <w:fldChar w:fldCharType="begin"/>
      </w:r>
      <w:r>
        <w:instrText xml:space="preserve"> PAGEREF _Toc11757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_Toc15266 </w:instrText>
      </w:r>
      <w:r>
        <w:fldChar w:fldCharType="separate"/>
      </w:r>
      <w:r>
        <w:rPr>
          <w:rFonts w:hint="eastAsia"/>
        </w:rPr>
        <w:t>4 计算原理</w:t>
      </w:r>
      <w:r>
        <w:tab/>
      </w:r>
      <w:r>
        <w:fldChar w:fldCharType="begin"/>
      </w:r>
      <w:r>
        <w:instrText xml:space="preserve"> PAGEREF _Toc15266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_Toc21958 </w:instrText>
      </w:r>
      <w:r>
        <w:fldChar w:fldCharType="separate"/>
      </w:r>
      <w:r>
        <w:rPr>
          <w:rFonts w:hint="eastAsia"/>
          <w:lang w:val="en-GB"/>
        </w:rPr>
        <w:t xml:space="preserve">4.1 </w:t>
      </w:r>
      <w:r>
        <w:rPr>
          <w:rFonts w:hint="eastAsia"/>
        </w:rPr>
        <w:t>风场计算域</w:t>
      </w:r>
      <w:r>
        <w:tab/>
      </w:r>
      <w:r>
        <w:fldChar w:fldCharType="begin"/>
      </w:r>
      <w:r>
        <w:instrText xml:space="preserve"> PAGEREF _Toc21958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_Toc16454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_Toc16454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_Toc3567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_Toc3567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_Toc5546 </w:instrText>
      </w:r>
      <w:r>
        <w:fldChar w:fldCharType="separate"/>
      </w:r>
      <w:r>
        <w:rPr>
          <w:rFonts w:hint="eastAsia"/>
          <w:lang w:val="en-GB"/>
        </w:rPr>
        <w:t xml:space="preserve">4.2 </w:t>
      </w:r>
      <w:r>
        <w:rPr>
          <w:rFonts w:hint="eastAsia"/>
        </w:rPr>
        <w:t>网格划分</w:t>
      </w:r>
      <w:r>
        <w:tab/>
      </w:r>
      <w:r>
        <w:fldChar w:fldCharType="begin"/>
      </w:r>
      <w:r>
        <w:instrText xml:space="preserve"> PAGEREF _Toc5546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_Toc9154 </w:instrText>
      </w:r>
      <w:r>
        <w:fldChar w:fldCharType="separate"/>
      </w:r>
      <w:r>
        <w:rPr>
          <w:rFonts w:hint="eastAsia"/>
          <w:lang w:val="en-GB"/>
        </w:rPr>
        <w:t xml:space="preserve">4.3 </w:t>
      </w:r>
      <w:r>
        <w:rPr>
          <w:rFonts w:hint="eastAsia"/>
        </w:rPr>
        <w:t>边界条件</w:t>
      </w:r>
      <w:r>
        <w:tab/>
      </w:r>
      <w:r>
        <w:fldChar w:fldCharType="begin"/>
      </w:r>
      <w:r>
        <w:instrText xml:space="preserve"> PAGEREF _Toc9154 \h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_Toc25419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_Toc25419 \h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_Toc6706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_Toc6706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_Toc15405 </w:instrText>
      </w:r>
      <w:r>
        <w:fldChar w:fldCharType="separate"/>
      </w:r>
      <w:r>
        <w:rPr>
          <w:rFonts w:hint="eastAsia"/>
          <w:lang w:val="en-GB"/>
        </w:rPr>
        <w:t xml:space="preserve">4.4 </w:t>
      </w:r>
      <w:r>
        <w:rPr>
          <w:rFonts w:hint="eastAsia"/>
        </w:rPr>
        <w:t>湍流模型</w:t>
      </w:r>
      <w:r>
        <w:tab/>
      </w:r>
      <w:r>
        <w:fldChar w:fldCharType="begin"/>
      </w:r>
      <w:r>
        <w:instrText xml:space="preserve"> PAGEREF _Toc15405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_Toc19611 </w:instrText>
      </w:r>
      <w:r>
        <w:fldChar w:fldCharType="separate"/>
      </w:r>
      <w:r>
        <w:rPr>
          <w:rFonts w:hint="eastAsia"/>
          <w:lang w:val="en-GB"/>
        </w:rPr>
        <w:t xml:space="preserve">4.5 </w:t>
      </w:r>
      <w:r>
        <w:rPr>
          <w:rFonts w:hint="eastAsia"/>
        </w:rPr>
        <w:t>求解计算</w:t>
      </w:r>
      <w:r>
        <w:tab/>
      </w:r>
      <w:r>
        <w:fldChar w:fldCharType="begin"/>
      </w:r>
      <w:r>
        <w:instrText xml:space="preserve"> PAGEREF _Toc19611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_Toc6367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_Toc6367 \h </w:instrText>
      </w:r>
      <w:r>
        <w:fldChar w:fldCharType="separate"/>
      </w:r>
      <w:r>
        <w:t>12</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_Toc3668 </w:instrText>
      </w:r>
      <w:r>
        <w:fldChar w:fldCharType="separate"/>
      </w:r>
      <w:r>
        <w:rPr>
          <w:rFonts w:hint="eastAsia"/>
        </w:rPr>
        <w:t>5 结果</w:t>
      </w:r>
      <w:r>
        <w:t>分析</w:t>
      </w:r>
      <w:r>
        <w:tab/>
      </w:r>
      <w:r>
        <w:fldChar w:fldCharType="begin"/>
      </w:r>
      <w:r>
        <w:instrText xml:space="preserve"> PAGEREF _Toc3668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_Toc6558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_Toc6558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_Toc4266 </w:instrText>
      </w:r>
      <w:r>
        <w:fldChar w:fldCharType="separate"/>
      </w:r>
      <w:r>
        <w:rPr>
          <w:rFonts w:hint="eastAsia"/>
          <w:lang w:val="en-GB"/>
        </w:rPr>
        <w:t xml:space="preserve">5.2 </w:t>
      </w:r>
      <w:r>
        <w:rPr>
          <w:rFonts w:hint="eastAsia"/>
        </w:rPr>
        <w:t>冬季工况</w:t>
      </w:r>
      <w:r>
        <w:tab/>
      </w:r>
      <w:r>
        <w:fldChar w:fldCharType="begin"/>
      </w:r>
      <w:r>
        <w:instrText xml:space="preserve"> PAGEREF _Toc4266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_Toc22970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_Toc22970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_Toc18720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_Toc18720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_Toc23452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_Toc23452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_Toc201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_Toc201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_Toc16210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_Toc16210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_Toc28089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_Toc28089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_Toc2030 </w:instrText>
      </w:r>
      <w:r>
        <w:fldChar w:fldCharType="separate"/>
      </w:r>
      <w:r>
        <w:rPr>
          <w:rFonts w:hint="eastAsia"/>
          <w:lang w:val="en-GB"/>
        </w:rPr>
        <w:t xml:space="preserve">5.3 </w:t>
      </w:r>
      <w:r>
        <w:rPr>
          <w:rFonts w:hint="eastAsia"/>
        </w:rPr>
        <w:t>夏季工况</w:t>
      </w:r>
      <w:r>
        <w:tab/>
      </w:r>
      <w:r>
        <w:fldChar w:fldCharType="begin"/>
      </w:r>
      <w:r>
        <w:instrText xml:space="preserve"> PAGEREF _Toc2030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_Toc24259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_Toc24259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_Toc26841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_Toc26841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_Toc25091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_Toc25091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_Toc9909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_Toc9909 \h </w:instrText>
      </w:r>
      <w:r>
        <w:fldChar w:fldCharType="separate"/>
      </w:r>
      <w:r>
        <w:t>22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_Toc9407 </w:instrText>
      </w:r>
      <w:r>
        <w:fldChar w:fldCharType="separate"/>
      </w:r>
      <w:r>
        <w:rPr>
          <w:rFonts w:hint="eastAsia"/>
          <w:lang w:val="en-GB"/>
        </w:rPr>
        <w:t xml:space="preserve">5.4 </w:t>
      </w:r>
      <w:r>
        <w:rPr>
          <w:rFonts w:hint="eastAsia"/>
        </w:rPr>
        <w:t>结论</w:t>
      </w:r>
      <w:r>
        <w:tab/>
      </w:r>
      <w:r>
        <w:fldChar w:fldCharType="begin"/>
      </w:r>
      <w:r>
        <w:instrText xml:space="preserve"> PAGEREF _Toc9407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_Toc28717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_Toc28717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_Toc32625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_Toc32625 \h </w:instrText>
      </w:r>
      <w:r>
        <w:fldChar w:fldCharType="separate"/>
      </w:r>
      <w:r>
        <w:t>24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_Toc30310 </w:instrText>
      </w:r>
      <w:r>
        <w:fldChar w:fldCharType="separate"/>
      </w:r>
      <w:r>
        <w:rPr>
          <w:rFonts w:hint="eastAsia"/>
          <w:lang w:val="en-GB"/>
        </w:rPr>
        <w:t xml:space="preserve">5.5 </w:t>
      </w:r>
      <w:r>
        <w:rPr>
          <w:rFonts w:hint="eastAsia"/>
        </w:rPr>
        <w:t>附录</w:t>
      </w:r>
      <w:r>
        <w:tab/>
      </w:r>
      <w:r>
        <w:fldChar w:fldCharType="begin"/>
      </w:r>
      <w:r>
        <w:instrText xml:space="preserve"> PAGEREF _Toc30310 \h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_Toc30452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_Toc30452 \h </w:instrText>
      </w:r>
      <w:r>
        <w:fldChar w:fldCharType="separate"/>
      </w:r>
      <w:r>
        <w:t>24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452108759"/>
      <w:bookmarkStart w:id="12" w:name="_Toc161"/>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3239"/>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7" w:name="_Toc452108761"/>
      <w:bookmarkStart w:id="18" w:name="_Toc1256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452108762"/>
      <w:bookmarkStart w:id="21" w:name="TitleFormat"/>
      <w:bookmarkStart w:id="22" w:name="_Toc17899"/>
      <w:r>
        <w:rPr>
          <w:rFonts w:hint="eastAsia"/>
        </w:rPr>
        <w:t>计算</w:t>
      </w:r>
      <w:r>
        <w:t>依据</w:t>
      </w:r>
      <w:bookmarkEnd w:id="20"/>
      <w:bookmarkEnd w:id="21"/>
      <w:bookmarkEnd w:id="22"/>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452108763"/>
      <w:bookmarkStart w:id="25" w:name="_Toc11757"/>
      <w:r>
        <w:rPr>
          <w:rFonts w:hint="eastAsia"/>
        </w:rPr>
        <w:t>参考</w:t>
      </w:r>
      <w:r>
        <w:t>标准</w:t>
      </w:r>
      <w:bookmarkEnd w:id="24"/>
      <w:bookmarkEnd w:id="25"/>
    </w:p>
    <w:p>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15266"/>
      <w:r>
        <w:rPr>
          <w:rFonts w:hint="eastAsia"/>
        </w:rPr>
        <w:t>计算原理</w:t>
      </w:r>
      <w:bookmarkEnd w:id="27"/>
      <w:bookmarkEnd w:id="28"/>
      <w:bookmarkEnd w:id="34"/>
    </w:p>
    <w:p>
      <w:pPr>
        <w:pStyle w:val="4"/>
        <w:numPr>
          <w:ilvl w:val="1"/>
          <w:numId w:val="3"/>
        </w:numPr>
      </w:pPr>
      <w:bookmarkStart w:id="35" w:name="_Toc509844740"/>
      <w:bookmarkStart w:id="36" w:name="_Toc21958"/>
      <w:bookmarkStart w:id="37" w:name="_Toc451698937"/>
      <w:bookmarkStart w:id="38" w:name="_Toc452108765"/>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季节1"/>
      <w:bookmarkStart w:id="40" w:name="_Toc16454"/>
      <w:r>
        <w:rPr>
          <w:rFonts w:hint="eastAsia"/>
        </w:rPr>
        <w:t>冬季</w:t>
      </w:r>
      <w:bookmarkEnd w:id="39"/>
      <w:r>
        <w:rPr>
          <w:rFonts w:hint="eastAsia"/>
        </w:rPr>
        <w:t>工况风场计算域</w:t>
      </w:r>
      <w:bookmarkEnd w:id="4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71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75</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93</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pPr>
        <w:pStyle w:val="5"/>
        <w:numPr>
          <w:ilvl w:val="2"/>
          <w:numId w:val="3"/>
        </w:numPr>
      </w:pPr>
      <w:bookmarkStart w:id="47" w:name="_Toc3567"/>
      <w:r>
        <w:rPr>
          <w:rFonts w:hint="eastAsia"/>
        </w:rPr>
        <w:t>夏季工况风场计算域</w:t>
      </w:r>
      <w:bookmarkEnd w:id="4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84</w:t>
            </w:r>
          </w:p>
        </w:tc>
      </w:tr>
    </w:tbl>
    <w:p>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8" w:name="计算域"/>
      <w:bookmarkEnd w:id="48"/>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9" w:name="_Toc5546"/>
      <w:bookmarkStart w:id="50" w:name="_Toc509844741"/>
      <w:r>
        <w:rPr>
          <w:rFonts w:hint="eastAsia"/>
        </w:rPr>
        <w:t>网格划分</w:t>
      </w:r>
      <w:bookmarkEnd w:id="49"/>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r>
        <w:rPr>
          <w:rFonts w:hint="eastAsia"/>
        </w:rPr>
        <w:t>1）一般网格：指除靠近地面和建筑以外的网格，通常不需要特别加密处理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firstLine="210" w:firstLineChars="100"/>
      </w:pPr>
      <w:r>
        <w:rPr>
          <w:rFonts w:hint="eastAsia"/>
        </w:rPr>
        <w:t>以下为本项目的网格划分信息，上述网格方案对网格的控制分别体现在相应的网格参数中：</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bookmarkStart w:id="52" w:name="冬季网格总数"/>
            <w:r>
              <w:t>12002</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分弧精度"/>
            <w:r>
              <w:t>0.24</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最大网格尺寸"/>
            <w:r>
              <w:t>16.0</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最小网格尺寸"/>
            <w:r>
              <w:t>4.0</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建筑表面细分层厚度"/>
            <w:r>
              <w:t>4.0</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远场网格尺寸"/>
            <w:r>
              <w:t>8.0</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近场网格尺寸"/>
            <w:r>
              <w:t>4.0</w:t>
            </w:r>
            <w:bookmarkEnd w:id="58"/>
          </w:p>
        </w:tc>
      </w:tr>
    </w:tbl>
    <w:p>
      <w:pPr>
        <w:rPr>
          <w:szCs w:val="21"/>
          <w:lang w:val="en-US"/>
        </w:rPr>
      </w:pPr>
    </w:p>
    <w:p>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11706</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bookmarkEnd w:id="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bookmarkEnd w:id="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bookmarkEnd w:id="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bookmarkEnd w:id="10"/>
          </w:p>
        </w:tc>
      </w:tr>
    </w:tbl>
    <w:p>
      <w:pPr>
        <w:rPr>
          <w:szCs w:val="21"/>
          <w:lang w:val="en-US"/>
        </w:rPr>
      </w:pPr>
    </w:p>
    <w:p>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pPr>
        <w:pStyle w:val="3"/>
        <w:ind w:firstLine="0" w:firstLineChars="0"/>
        <w:rPr>
          <w:rFonts w:ascii="黑体" w:hAnsi="黑体" w:eastAsia="黑体"/>
          <w:szCs w:val="20"/>
          <w:lang w:val="en-US"/>
        </w:rPr>
      </w:pPr>
    </w:p>
    <w:p>
      <w:pPr>
        <w:pStyle w:val="4"/>
        <w:numPr>
          <w:ilvl w:val="1"/>
          <w:numId w:val="3"/>
        </w:numPr>
      </w:pPr>
      <w:bookmarkStart w:id="62" w:name="_Toc509844742"/>
      <w:bookmarkStart w:id="63" w:name="_Toc9154"/>
      <w:r>
        <w:rPr>
          <w:rFonts w:hint="eastAsia"/>
        </w:rPr>
        <w:t>边界条件</w:t>
      </w:r>
      <w:bookmarkEnd w:id="62"/>
      <w:bookmarkEnd w:id="63"/>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4" w:name="_Toc509844743"/>
      <w:bookmarkStart w:id="65" w:name="_Toc25419"/>
      <w:r>
        <w:rPr>
          <w:rFonts w:hint="eastAsia"/>
        </w:rPr>
        <w:t>入口与出口边界条件</w:t>
      </w:r>
      <w:bookmarkEnd w:id="64"/>
      <w:bookmarkEnd w:id="65"/>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7" w:name="_Toc509844744"/>
      <w:bookmarkStart w:id="68" w:name="_Toc6706"/>
      <w:r>
        <w:rPr>
          <w:rFonts w:hint="eastAsia"/>
        </w:rPr>
        <w:t>壁面边界条件</w:t>
      </w:r>
      <w:bookmarkEnd w:id="67"/>
      <w:bookmarkEnd w:id="68"/>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9" w:name="_Toc15405"/>
      <w:r>
        <w:rPr>
          <w:rFonts w:hint="eastAsia"/>
        </w:rPr>
        <w:t>湍流模型</w:t>
      </w:r>
      <w:bookmarkEnd w:id="37"/>
      <w:bookmarkEnd w:id="38"/>
      <w:bookmarkEnd w:id="69"/>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0" w:name="_Toc19611"/>
      <w:bookmarkStart w:id="71" w:name="_Toc451698939"/>
      <w:bookmarkStart w:id="72" w:name="_Toc452108767"/>
      <w:r>
        <w:rPr>
          <w:rFonts w:hint="eastAsia"/>
        </w:rPr>
        <w:t>求解计算</w:t>
      </w:r>
      <w:bookmarkEnd w:id="70"/>
      <w:bookmarkEnd w:id="71"/>
      <w:bookmarkEnd w:id="72"/>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pPr>
        <w:pStyle w:val="4"/>
      </w:pPr>
      <w:bookmarkStart w:id="75" w:name="_Toc509844747"/>
      <w:bookmarkStart w:id="76" w:name="_Toc6367"/>
      <w:r>
        <w:rPr>
          <w:rFonts w:hint="eastAsia"/>
        </w:rPr>
        <w:t>风速放大系数计算</w:t>
      </w:r>
      <w:bookmarkEnd w:id="75"/>
      <w:bookmarkEnd w:id="76"/>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8" w:name="_Toc452108768"/>
      <w:bookmarkStart w:id="79" w:name="_Toc3668"/>
      <w:r>
        <w:rPr>
          <w:rFonts w:hint="eastAsia"/>
        </w:rPr>
        <w:t>结果</w:t>
      </w:r>
      <w:r>
        <w:t>分析</w:t>
      </w:r>
      <w:bookmarkEnd w:id="78"/>
      <w:bookmarkEnd w:id="79"/>
    </w:p>
    <w:p>
      <w:pPr>
        <w:pStyle w:val="4"/>
        <w:rPr>
          <w:szCs w:val="21"/>
        </w:rPr>
      </w:pPr>
      <w:bookmarkStart w:id="80" w:name="_Toc6558"/>
      <w:r>
        <w:rPr>
          <w:rFonts w:hint="eastAsia"/>
          <w:szCs w:val="21"/>
        </w:rPr>
        <w:t>工况</w:t>
      </w:r>
      <w:r>
        <w:rPr>
          <w:szCs w:val="21"/>
        </w:rPr>
        <w:t>表</w:t>
      </w:r>
      <w:bookmarkEnd w:id="80"/>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w:t>
            </w:r>
          </w:p>
        </w:tc>
      </w:tr>
      <w:bookmarkEnd w:id="8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2" w:name="_Toc4266"/>
      <w:bookmarkStart w:id="83" w:name="_Toc509844750"/>
      <w:r>
        <w:rPr>
          <w:rFonts w:hint="eastAsia"/>
        </w:rPr>
        <w:t>冬季工况</w:t>
      </w:r>
      <w:bookmarkEnd w:id="82"/>
      <w:bookmarkEnd w:id="83"/>
    </w:p>
    <w:p>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2.70</w:t>
      </w:r>
      <w:bookmarkEnd w:id="84"/>
      <w:r>
        <w:rPr>
          <w:rFonts w:ascii="Calibri" w:hAnsi="Calibri"/>
          <w:szCs w:val="21"/>
        </w:rPr>
        <w:t>m/s</w:t>
      </w:r>
      <w:r>
        <w:rPr>
          <w:rFonts w:hint="eastAsia" w:ascii="Calibri" w:hAnsi="Calibri"/>
          <w:szCs w:val="21"/>
        </w:rPr>
        <w:t>，风向为</w:t>
      </w:r>
      <w:bookmarkStart w:id="85" w:name="冬季入口边界风向"/>
      <w:r>
        <w:rPr>
          <w:szCs w:val="21"/>
        </w:rPr>
        <w:t>E</w:t>
      </w:r>
      <w:bookmarkEnd w:id="85"/>
      <w:r>
        <w:rPr>
          <w:rFonts w:hint="eastAsia"/>
          <w:szCs w:val="21"/>
        </w:rPr>
        <w:t>。</w:t>
      </w:r>
    </w:p>
    <w:p>
      <w:pPr>
        <w:pStyle w:val="5"/>
      </w:pPr>
      <w:bookmarkStart w:id="86" w:name="_Toc22970"/>
      <w:bookmarkStart w:id="87" w:name="_Toc509844751"/>
      <w:r>
        <w:rPr>
          <w:rFonts w:hint="eastAsia"/>
        </w:rPr>
        <w:t>人行区域风速达标分析</w:t>
      </w:r>
      <w:bookmarkEnd w:id="86"/>
      <w:bookmarkEnd w:id="87"/>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未标示出超标区域，可知人行区域风速为最大值为1.81m/s，小于5m/s，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0" w:name="_Toc509844752"/>
      <w:bookmarkStart w:id="91" w:name="_Toc18720"/>
      <w:r>
        <w:rPr>
          <w:rFonts w:hint="eastAsia"/>
        </w:rPr>
        <w:t>人行区域风速放大系数达标分析</w:t>
      </w:r>
      <w:bookmarkEnd w:id="90"/>
      <w:bookmarkEnd w:id="91"/>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图中未标示出风速放大系数超标区域，因此可知人行区域风速放大系数最大值为1.14，小于2，</w:t>
      </w:r>
      <w:r>
        <w:rPr>
          <w:color w:val="0000FF"/>
          <w:lang w:val="en-US"/>
        </w:rPr>
        <w:t>满足</w:t>
      </w:r>
      <w:r>
        <w:rPr>
          <w:lang w:val="en-US"/>
        </w:rPr>
        <w:t>绿标要求。</w:t>
      </w:r>
    </w:p>
    <w:p>
      <w:pPr>
        <w:jc w:val="center"/>
      </w:pPr>
      <w:bookmarkStart w:id="93" w:name="冬季工况人行区风速放大系数云图"/>
      <w:bookmarkEnd w:id="93"/>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4" w:name="_Toc23452"/>
      <w:r>
        <w:rPr>
          <w:rFonts w:hint="eastAsia"/>
        </w:rPr>
        <w:t>户外休息区、儿童娱乐区</w:t>
      </w:r>
      <w:r>
        <w:t>域风速达标分析</w:t>
      </w:r>
      <w:bookmarkEnd w:id="94"/>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5" w:name="冬季工况休息区风速分析结论"/>
      <w:bookmarkEnd w:id="95"/>
      <w:r>
        <w:rPr>
          <w:lang w:val="en-US"/>
        </w:rPr>
        <w:t>未标示出超标区域，可知户外休息区、儿童娱乐区风速最大值为1.72m/s，小于2m/s，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6" w:name="冬季工况休息区风速云图"/>
      <w:bookmarkEnd w:id="96"/>
      <w:r>
        <w:drawing>
          <wp:inline distT="0" distB="0" distL="0" distR="0">
            <wp:extent cx="5667375" cy="32480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2480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97" w:name="_Toc201"/>
      <w:r>
        <w:rPr>
          <w:rFonts w:hint="eastAsia"/>
        </w:rPr>
        <w:t>户外休息区、儿童娱乐区风速放大系数达标</w:t>
      </w:r>
      <w:r>
        <w:t>分析</w:t>
      </w:r>
      <w:bookmarkEnd w:id="97"/>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8" w:name="冬季工况户外休息区和儿童娱乐区风速放大系数分析结论"/>
      <w:bookmarkEnd w:id="98"/>
      <w:r>
        <w:rPr>
          <w:lang w:val="en-US"/>
        </w:rPr>
        <w:t>区域内风速放大系数最大值为1.08，</w:t>
      </w:r>
      <w:r>
        <w:rPr>
          <w:color w:val="00FF00"/>
          <w:lang w:val="en-US"/>
        </w:rPr>
        <w:t>没有</w:t>
      </w:r>
      <w:r>
        <w:rPr>
          <w:lang w:val="en-US"/>
        </w:rPr>
        <w:t>风速放大系数超限区域，</w:t>
      </w:r>
      <w:r>
        <w:rPr>
          <w:color w:val="00FF00"/>
          <w:lang w:val="en-US"/>
        </w:rPr>
        <w:t>满足</w:t>
      </w:r>
      <w:r>
        <w:rPr>
          <w:lang w:val="en-US"/>
        </w:rPr>
        <w:t>标准要求。</w:t>
      </w:r>
    </w:p>
    <w:p>
      <w:pPr>
        <w:jc w:val="center"/>
      </w:pPr>
      <w:bookmarkStart w:id="99" w:name="冬季工况户外休息区和儿童娱乐区风速放大系数云图"/>
      <w:bookmarkEnd w:id="99"/>
      <w:r>
        <w:drawing>
          <wp:inline distT="0" distB="0" distL="0" distR="0">
            <wp:extent cx="5667375" cy="32480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248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0" w:name="_Toc509844753"/>
      <w:bookmarkStart w:id="101" w:name="_Toc16210"/>
      <w:r>
        <w:rPr>
          <w:rFonts w:hint="eastAsia"/>
        </w:rPr>
        <w:t>冬季工况风速/风速放大系数达标</w:t>
      </w:r>
      <w:bookmarkEnd w:id="100"/>
      <w:r>
        <w:rPr>
          <w:rFonts w:hint="eastAsia"/>
        </w:rPr>
        <w:t>结果汇总</w:t>
      </w:r>
      <w:bookmarkEnd w:id="101"/>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2" w:name="冬季工况风速是否有超限区域"/>
            <w:r>
              <w:rPr>
                <w:rFonts w:hint="eastAsia" w:ascii="宋体" w:hAnsi="宋体" w:cs="宋体"/>
                <w:color w:val="000000"/>
                <w:sz w:val="22"/>
                <w:szCs w:val="22"/>
                <w:lang w:val="en-US"/>
              </w:rPr>
              <w:t>否</w:t>
            </w:r>
            <w:bookmarkEnd w:id="102"/>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3" w:name="冬季工况风速达标判断"/>
            <w:r>
              <w:rPr>
                <w:rFonts w:hint="eastAsia" w:ascii="宋体" w:hAnsi="宋体" w:cs="宋体"/>
                <w:color w:val="000000"/>
                <w:sz w:val="22"/>
                <w:szCs w:val="22"/>
                <w:lang w:val="en-US"/>
              </w:rPr>
              <w:t>是</w:t>
            </w:r>
            <w:bookmarkEnd w:id="10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风速放大系数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风速放大系数达标判断"/>
            <w:r>
              <w:rPr>
                <w:rFonts w:hint="eastAsia" w:ascii="宋体" w:hAnsi="宋体" w:cs="宋体"/>
                <w:color w:val="000000"/>
                <w:sz w:val="22"/>
                <w:szCs w:val="22"/>
                <w:lang w:val="en-US"/>
              </w:rPr>
              <w:t>是</w:t>
            </w:r>
            <w:bookmarkEnd w:id="10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休息区风速是否有超限区域"/>
            <w:r>
              <w:rPr>
                <w:rFonts w:hint="eastAsia" w:ascii="宋体" w:hAnsi="宋体" w:cs="宋体"/>
                <w:color w:val="000000"/>
                <w:sz w:val="22"/>
                <w:szCs w:val="22"/>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休息区风速达标判断"/>
            <w:r>
              <w:rPr>
                <w:rFonts w:hint="eastAsia" w:ascii="宋体" w:hAnsi="宋体" w:cs="宋体"/>
                <w:color w:val="000000"/>
                <w:sz w:val="22"/>
                <w:szCs w:val="22"/>
                <w:lang w:val="en-US"/>
              </w:rPr>
              <w:t>是</w:t>
            </w:r>
            <w:bookmarkEnd w:id="10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8" w:name="冬季工况休息区和儿童娱乐区风速放大系数标准要求限值"/>
            <w:r>
              <w:rPr>
                <w:rFonts w:ascii="宋体" w:hAnsi="宋体" w:cs="宋体"/>
                <w:szCs w:val="21"/>
              </w:rPr>
              <w:t>2</w:t>
            </w:r>
            <w:bookmarkEnd w:id="108"/>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户外休息区风速放大系数是否有超限区域"/>
            <w:r>
              <w:rPr>
                <w:rFonts w:hint="eastAsia" w:ascii="宋体" w:hAnsi="宋体" w:cs="宋体"/>
                <w:color w:val="000000"/>
                <w:sz w:val="22"/>
                <w:szCs w:val="22"/>
                <w:lang w:val="en-US"/>
              </w:rPr>
              <w:t>否</w:t>
            </w:r>
            <w:bookmarkEnd w:id="109"/>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户外休息区风速放大系数达标判断"/>
            <w:r>
              <w:rPr>
                <w:rFonts w:hint="eastAsia" w:ascii="宋体" w:hAnsi="宋体" w:cs="宋体"/>
                <w:color w:val="000000"/>
                <w:sz w:val="22"/>
                <w:szCs w:val="22"/>
                <w:lang w:val="en-US"/>
              </w:rPr>
              <w:t>是</w:t>
            </w:r>
            <w:bookmarkEnd w:id="110"/>
          </w:p>
        </w:tc>
      </w:tr>
    </w:tbl>
    <w:p/>
    <w:p>
      <w:pPr>
        <w:pStyle w:val="5"/>
      </w:pPr>
      <w:bookmarkStart w:id="111" w:name="_Toc28089"/>
      <w:r>
        <w:rPr>
          <w:rFonts w:hint="eastAsia"/>
        </w:rPr>
        <w:t>建筑迎风面和背风面风压分析</w:t>
      </w:r>
      <w:bookmarkEnd w:id="16"/>
      <w:bookmarkEnd w:id="111"/>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2" w:name="冬季工况建筑迎风面风压云图"/>
      <w:bookmarkEnd w:id="112"/>
      <w:r>
        <w:drawing>
          <wp:inline distT="0" distB="0" distL="0" distR="0">
            <wp:extent cx="5667375" cy="3352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3" w:name="冬季工况建筑背风面风压云图"/>
      <w:bookmarkEnd w:id="113"/>
      <w:r>
        <w:drawing>
          <wp:inline distT="0" distB="0" distL="0" distR="0">
            <wp:extent cx="5667375" cy="33623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623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4" w:name="建筑迎风面和背风面风压差计算结果"/>
      <w:r>
        <w:rPr>
          <w:rFonts w:hint="eastAsia"/>
        </w:rPr>
        <w:t>建筑迎风面和背风面风压差计算结果</w:t>
      </w:r>
    </w:p>
    <w:p>
      <w:pPr>
        <w:jc w:val="center"/>
        <w:rPr>
          <w:rFonts w:ascii="Cambria" w:hAnsi="Cambria" w:eastAsia="黑体"/>
          <w:sz w:val="20"/>
        </w:rPr>
      </w:pPr>
      <w:bookmarkStart w:id="115"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6" w:name="建筑迎背风面风压差表_建筑名"/>
      <w:r>
        <w:rPr>
          <w:rFonts w:ascii="Cambria" w:hAnsi="Cambria" w:eastAsia="黑体"/>
          <w:sz w:val="20"/>
        </w:rPr>
        <w:t>室内通风模型</w:t>
      </w:r>
      <w:bookmarkEnd w:id="116"/>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2.04</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-0.63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2.67</w:t>
            </w:r>
          </w:p>
        </w:tc>
      </w:tr>
      <w:bookmarkEnd w:id="115"/>
    </w:tbl>
    <w:p>
      <w:bookmarkStart w:id="117" w:name="结论"/>
      <w:bookmarkEnd w:id="117"/>
      <w:r>
        <w:t>标准要求：迎背风面窗平均风压差（绝对值）≤5Pa。结论：该楼</w:t>
      </w:r>
      <w:r>
        <w:rPr>
          <w:b/>
          <w:color w:val="0000FF"/>
        </w:rPr>
        <w:t>达标</w:t>
      </w:r>
      <w:r>
        <w:t>。</w:t>
      </w:r>
    </w:p>
    <w:bookmarkEnd w:id="114"/>
    <w:p>
      <w:pPr>
        <w:jc w:val="center"/>
        <w:rPr>
          <w:rFonts w:ascii="Cambria" w:hAnsi="Cambria" w:eastAsia="黑体"/>
          <w:sz w:val="20"/>
        </w:rPr>
      </w:pPr>
      <w:bookmarkStart w:id="118" w:name="建筑迎背风面风压差表_新增"/>
      <w:bookmarkEnd w:id="118"/>
    </w:p>
    <w:bookmarkEnd w:id="23"/>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9"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室内通风模型</w:t>
            </w:r>
          </w:p>
        </w:tc>
        <w:tc>
          <w:tcPr>
            <w:tcW w:w="1276" w:type="dxa"/>
            <w:shd w:val="clear" w:color="auto" w:fill="auto"/>
            <w:vAlign w:val="center"/>
          </w:tcPr>
          <w:p>
            <w:pPr>
              <w:jc w:val="center"/>
              <w:rPr>
                <w:lang w:val="en-US"/>
              </w:rPr>
            </w:pPr>
            <w:r>
              <w:rPr>
                <w:lang w:val="en-US"/>
              </w:rPr>
              <w:t>2.04</w:t>
            </w:r>
          </w:p>
        </w:tc>
        <w:tc>
          <w:tcPr>
            <w:tcW w:w="1276" w:type="dxa"/>
            <w:shd w:val="clear" w:color="auto" w:fill="auto"/>
            <w:vAlign w:val="center"/>
          </w:tcPr>
          <w:p>
            <w:pPr>
              <w:jc w:val="center"/>
              <w:rPr>
                <w:lang w:val="en-US"/>
              </w:rPr>
            </w:pPr>
            <w:r>
              <w:rPr>
                <w:lang w:val="en-US"/>
              </w:rPr>
              <w:t>-0.63</w:t>
            </w:r>
          </w:p>
        </w:tc>
        <w:tc>
          <w:tcPr>
            <w:tcW w:w="1701" w:type="dxa"/>
            <w:shd w:val="clear" w:color="auto" w:fill="auto"/>
            <w:vAlign w:val="center"/>
          </w:tcPr>
          <w:p>
            <w:pPr>
              <w:jc w:val="center"/>
              <w:rPr>
                <w:lang w:val="en-US"/>
              </w:rPr>
            </w:pPr>
            <w:r>
              <w:rPr>
                <w:lang w:val="en-US"/>
              </w:rPr>
              <w:t>2.67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w:t>
            </w:r>
          </w:p>
        </w:tc>
        <w:tc>
          <w:tcPr>
            <w:tcW w:w="1276" w:type="dxa"/>
            <w:shd w:val="clear" w:color="auto" w:fill="auto"/>
            <w:vAlign w:val="center"/>
          </w:tcPr>
          <w:p>
            <w:pPr>
              <w:jc w:val="center"/>
              <w:rPr>
                <w:lang w:val="en-US"/>
              </w:rPr>
            </w:pPr>
            <w:r>
              <w:rPr>
                <w:lang w:val="en-US"/>
              </w:rPr>
              <w:t>1.32</w:t>
            </w:r>
          </w:p>
        </w:tc>
        <w:tc>
          <w:tcPr>
            <w:tcW w:w="1276" w:type="dxa"/>
            <w:shd w:val="clear" w:color="auto" w:fill="auto"/>
            <w:vAlign w:val="center"/>
          </w:tcPr>
          <w:p>
            <w:pPr>
              <w:jc w:val="center"/>
              <w:rPr>
                <w:lang w:val="en-US"/>
              </w:rPr>
            </w:pPr>
            <w:r>
              <w:rPr>
                <w:lang w:val="en-US"/>
              </w:rPr>
              <w:t>-1.#J</w:t>
            </w:r>
          </w:p>
        </w:tc>
        <w:tc>
          <w:tcPr>
            <w:tcW w:w="1701" w:type="dxa"/>
            <w:shd w:val="clear" w:color="auto" w:fill="auto"/>
            <w:vAlign w:val="center"/>
          </w:tcPr>
          <w:p>
            <w:pPr>
              <w:jc w:val="center"/>
              <w:rPr>
                <w:lang w:val="en-US"/>
              </w:rPr>
            </w:pPr>
            <w:r>
              <w:rPr>
                <w:lang w:val="en-US"/>
              </w:rPr>
              <w:t>-1.#J</w:t>
            </w:r>
          </w:p>
        </w:tc>
        <w:tc>
          <w:tcPr>
            <w:tcW w:w="973" w:type="dxa"/>
            <w:shd w:val="clear" w:color="auto" w:fill="auto"/>
            <w:vAlign w:val="center"/>
          </w:tcPr>
          <w:p>
            <w:pPr>
              <w:jc w:val="center"/>
              <w:rPr>
                <w:lang w:val="en-US"/>
              </w:rPr>
            </w:pPr>
            <w:r>
              <w:rPr>
                <w:lang w:val="en-US"/>
              </w:rPr>
              <w:t>是</w:t>
            </w:r>
          </w:p>
        </w:tc>
      </w:tr>
      <w:bookmarkEnd w:id="119"/>
    </w:tbl>
    <w:p>
      <w:pPr>
        <w:rPr>
          <w:lang w:val="en-US"/>
        </w:rPr>
      </w:pPr>
      <w:bookmarkStart w:id="120" w:name="建筑迎风和背风面风压差结论汇总结论"/>
      <w:bookmarkEnd w:id="120"/>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r>
        <w:rPr>
          <w:b/>
          <w:color w:val="000000"/>
          <w:lang w:val="en-US"/>
        </w:rPr>
        <w:t>说明：所有单体建筑各层迎风和背风面风压差信息详见附录。</w:t>
      </w:r>
    </w:p>
    <w:p>
      <w:pPr>
        <w:rPr>
          <w:lang w:val="en-US"/>
        </w:rPr>
      </w:pPr>
      <w:bookmarkStart w:id="121" w:name="冬季工况"/>
      <w:bookmarkEnd w:id="121"/>
      <w:r>
        <w:rPr>
          <w:rFonts w:hint="eastAsia"/>
          <w:lang w:val="en-US"/>
        </w:rPr>
        <w:t xml:space="preserve"> </w:t>
      </w:r>
    </w:p>
    <w:p>
      <w:pPr>
        <w:pStyle w:val="4"/>
      </w:pPr>
      <w:bookmarkStart w:id="122" w:name="_Toc2030"/>
      <w:bookmarkStart w:id="123" w:name="_Toc509844759"/>
      <w:r>
        <w:rPr>
          <w:rFonts w:hint="eastAsia"/>
        </w:rPr>
        <w:t>夏季工况</w:t>
      </w:r>
      <w:bookmarkEnd w:id="122"/>
      <w:bookmarkEnd w:id="123"/>
    </w:p>
    <w:p>
      <w:pPr>
        <w:pStyle w:val="3"/>
        <w:ind w:firstLine="420"/>
      </w:pPr>
      <w:r>
        <w:rPr>
          <w:rFonts w:hint="eastAsia"/>
          <w:lang w:val="en-US"/>
        </w:rPr>
        <w:t>本项目夏季工况的入口边界风速为</w:t>
      </w:r>
      <w:bookmarkStart w:id="124" w:name="入口边界风速"/>
      <w:r>
        <w:rPr>
          <w:rFonts w:hint="eastAsia"/>
          <w:lang w:val="en-US"/>
        </w:rPr>
        <w:t>2.50</w:t>
      </w:r>
      <w:bookmarkEnd w:id="124"/>
      <w:r>
        <w:rPr>
          <w:rFonts w:hint="eastAsia"/>
          <w:lang w:val="en-US"/>
        </w:rPr>
        <w:t>m/s，风向为</w:t>
      </w:r>
      <w:bookmarkStart w:id="125" w:name="入口边界风向"/>
      <w:r>
        <w:t>ENE</w:t>
      </w:r>
      <w:bookmarkEnd w:id="125"/>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6" w:name="季节4"/>
      <w:r>
        <w:rPr>
          <w:rFonts w:hint="eastAsia"/>
          <w:lang w:val="en-US"/>
        </w:rPr>
        <w:t>夏季</w:t>
      </w:r>
      <w:bookmarkEnd w:id="126"/>
      <w:r>
        <w:rPr>
          <w:rFonts w:hint="eastAsia"/>
          <w:lang w:val="en-US"/>
        </w:rPr>
        <w:t>形成有效的巷道风，优化街区自然通风环境，避免</w:t>
      </w:r>
      <w:bookmarkStart w:id="127" w:name="季节5"/>
      <w:r>
        <w:rPr>
          <w:rFonts w:hint="eastAsia"/>
          <w:lang w:val="en-US"/>
        </w:rPr>
        <w:t>夏季</w:t>
      </w:r>
      <w:bookmarkEnd w:id="127"/>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28" w:name="_Toc509844760"/>
      <w:bookmarkStart w:id="129" w:name="_Toc24259"/>
      <w:r>
        <w:rPr>
          <w:rFonts w:hint="eastAsia"/>
        </w:rPr>
        <w:t>人活动区域无风区计算分析</w:t>
      </w:r>
      <w:bookmarkEnd w:id="128"/>
      <w:bookmarkEnd w:id="129"/>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30" w:name="人活动区风速分析结论"/>
      <w:bookmarkEnd w:id="130"/>
      <w:r>
        <w:t>黑色等值线内的人活动区域风速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bookmarkStart w:id="131" w:name="人行区风速云图"/>
      <w:bookmarkEnd w:id="131"/>
      <w:r>
        <w:drawing>
          <wp:inline distT="0" distB="0" distL="0" distR="0">
            <wp:extent cx="5667375" cy="32480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9"/>
                    <a:stretch>
                      <a:fillRect/>
                    </a:stretch>
                  </pic:blipFill>
                  <pic:spPr>
                    <a:xfrm>
                      <a:off x="0" y="0"/>
                      <a:ext cx="5667375" cy="32480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32" w:name="季节6"/>
      <w:r>
        <w:rPr>
          <w:rFonts w:hint="eastAsia" w:ascii="黑体" w:hAnsi="黑体" w:eastAsia="黑体"/>
          <w:sz w:val="20"/>
          <w:szCs w:val="20"/>
        </w:rPr>
        <w:t>夏季</w:t>
      </w:r>
      <w:bookmarkEnd w:id="132"/>
      <w:r>
        <w:rPr>
          <w:rFonts w:hint="eastAsia"/>
        </w:rPr>
        <w:t xml:space="preserve"> </w:t>
      </w:r>
    </w:p>
    <w:p>
      <w:pPr>
        <w:pStyle w:val="3"/>
        <w:ind w:firstLine="420"/>
      </w:pPr>
    </w:p>
    <w:p>
      <w:pPr>
        <w:pStyle w:val="5"/>
      </w:pPr>
      <w:bookmarkStart w:id="133" w:name="_Toc26841"/>
      <w:bookmarkStart w:id="134" w:name="_Toc509844761"/>
      <w:r>
        <w:rPr>
          <w:rFonts w:hint="eastAsia"/>
        </w:rPr>
        <w:t>人活动区域旋涡区分析</w:t>
      </w:r>
      <w:bookmarkEnd w:id="133"/>
      <w:bookmarkEnd w:id="134"/>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135" w:name="人行区风速矢量图"/>
      <w:bookmarkEnd w:id="135"/>
      <w:r>
        <w:drawing>
          <wp:inline distT="0" distB="0" distL="0" distR="0">
            <wp:extent cx="5667375" cy="33909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0"/>
                    <a:stretch>
                      <a:fillRect/>
                    </a:stretch>
                  </pic:blipFill>
                  <pic:spPr>
                    <a:xfrm>
                      <a:off x="0" y="0"/>
                      <a:ext cx="5667375" cy="3390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36" w:name="_Toc509844762"/>
      <w:bookmarkStart w:id="137" w:name="_Toc25091"/>
      <w:r>
        <w:rPr>
          <w:rFonts w:hint="eastAsia"/>
        </w:rPr>
        <w:t>人活动区域旋涡区/无风区达标</w:t>
      </w:r>
      <w:bookmarkEnd w:id="136"/>
      <w:r>
        <w:rPr>
          <w:rFonts w:hint="eastAsia"/>
        </w:rPr>
        <w:t>结果汇总</w:t>
      </w:r>
      <w:bookmarkEnd w:id="13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8" w:name="季节8"/>
      <w:r>
        <w:rPr>
          <w:rFonts w:hint="eastAsia" w:ascii="黑体" w:hAnsi="黑体" w:eastAsia="黑体"/>
          <w:sz w:val="20"/>
          <w:szCs w:val="20"/>
        </w:rPr>
        <w:t>夏季</w:t>
      </w:r>
      <w:bookmarkEnd w:id="13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9" w:name="是否有无风区"/>
            <w:r>
              <w:rPr>
                <w:rFonts w:hint="eastAsia" w:ascii="宋体" w:hAnsi="宋体" w:cs="宋体"/>
                <w:color w:val="FF0000"/>
                <w:sz w:val="22"/>
                <w:szCs w:val="22"/>
                <w:lang w:val="en-US"/>
              </w:rPr>
              <w:t>是</w:t>
            </w:r>
            <w:bookmarkEnd w:id="13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0" w:name="无风区达标判断"/>
            <w:r>
              <w:rPr>
                <w:rFonts w:hint="eastAsia" w:ascii="宋体" w:hAnsi="宋体" w:cs="宋体"/>
                <w:color w:val="FF0000"/>
                <w:sz w:val="22"/>
                <w:szCs w:val="22"/>
                <w:lang w:val="en-US"/>
              </w:rPr>
              <w:t>否</w:t>
            </w:r>
            <w:bookmarkEnd w:id="140"/>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1" w:name="是否有旋涡区"/>
            <w:r>
              <w:rPr>
                <w:rFonts w:ascii="宋体" w:hAnsi="宋体" w:cs="宋体"/>
                <w:color w:val="000000"/>
                <w:sz w:val="22"/>
                <w:szCs w:val="22"/>
                <w:lang w:val="en-US"/>
              </w:rPr>
              <w:t>否</w:t>
            </w:r>
            <w:bookmarkEnd w:id="14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旋涡区达标判断"/>
            <w:r>
              <w:rPr>
                <w:rFonts w:ascii="宋体" w:hAnsi="宋体" w:cs="宋体"/>
                <w:color w:val="000000"/>
                <w:sz w:val="22"/>
                <w:szCs w:val="22"/>
                <w:lang w:val="en-US"/>
              </w:rPr>
              <w:t>是</w:t>
            </w:r>
            <w:bookmarkEnd w:id="142"/>
          </w:p>
        </w:tc>
      </w:tr>
    </w:tbl>
    <w:p>
      <w:pPr>
        <w:pStyle w:val="5"/>
      </w:pPr>
      <w:bookmarkStart w:id="143" w:name="_Toc504501018"/>
      <w:bookmarkStart w:id="144" w:name="_Toc509844763"/>
      <w:bookmarkStart w:id="145" w:name="_Toc9909"/>
      <w:r>
        <w:rPr>
          <w:rFonts w:hint="eastAsia"/>
        </w:rPr>
        <w:t>外窗内外表面风压</w:t>
      </w:r>
      <w:bookmarkEnd w:id="143"/>
      <w:r>
        <w:rPr>
          <w:rFonts w:hint="eastAsia"/>
        </w:rPr>
        <w:t>差达标分析</w:t>
      </w:r>
      <w:bookmarkEnd w:id="144"/>
      <w:bookmarkEnd w:id="145"/>
    </w:p>
    <w:p>
      <w:pPr>
        <w:pStyle w:val="3"/>
        <w:ind w:firstLine="420"/>
      </w:pPr>
      <w:r>
        <w:rPr>
          <w:rFonts w:hint="eastAsia"/>
          <w:lang w:val="en-US"/>
        </w:rPr>
        <w:t>分析《绿色建筑评价标准》，</w:t>
      </w:r>
      <w:bookmarkStart w:id="146" w:name="季节9"/>
      <w:r>
        <w:rPr>
          <w:rFonts w:hint="eastAsia"/>
          <w:lang w:val="en-US"/>
        </w:rPr>
        <w:t>夏季</w:t>
      </w:r>
      <w:bookmarkEnd w:id="146"/>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7" w:name="迎风面风压云图"/>
      <w:bookmarkEnd w:id="147"/>
      <w:r>
        <w:drawing>
          <wp:inline distT="0" distB="0" distL="0" distR="0">
            <wp:extent cx="5667375" cy="33528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1"/>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8" w:name="季节10"/>
      <w:r>
        <w:rPr>
          <w:rFonts w:hint="eastAsia" w:ascii="黑体" w:hAnsi="黑体" w:eastAsia="黑体"/>
          <w:sz w:val="20"/>
          <w:szCs w:val="20"/>
        </w:rPr>
        <w:t>夏季</w:t>
      </w:r>
      <w:bookmarkEnd w:id="148"/>
    </w:p>
    <w:p>
      <w:pPr>
        <w:jc w:val="center"/>
      </w:pPr>
      <w:bookmarkStart w:id="149" w:name="背风面风压云图"/>
      <w:bookmarkEnd w:id="149"/>
      <w:r>
        <w:drawing>
          <wp:inline distT="0" distB="0" distL="0" distR="0">
            <wp:extent cx="5667375" cy="33623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82"/>
                    <a:stretch>
                      <a:fillRect/>
                    </a:stretch>
                  </pic:blipFill>
                  <pic:spPr>
                    <a:xfrm>
                      <a:off x="0" y="0"/>
                      <a:ext cx="5667375" cy="33623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0" w:name="季节11"/>
      <w:r>
        <w:rPr>
          <w:rFonts w:hint="eastAsia" w:ascii="黑体" w:hAnsi="黑体" w:eastAsia="黑体"/>
          <w:sz w:val="20"/>
          <w:szCs w:val="20"/>
        </w:rPr>
        <w:t>夏季</w:t>
      </w:r>
      <w:bookmarkEnd w:id="150"/>
      <w:r>
        <w:rPr>
          <w:rFonts w:hint="eastAsia"/>
        </w:rPr>
        <w:t xml:space="preserve"> </w:t>
      </w:r>
    </w:p>
    <w:p>
      <w:r>
        <w:rPr>
          <w:rFonts w:hint="eastAsia"/>
        </w:rPr>
        <w:t>下表为依据上图提取的外窗外表面平均风压数据，相当于外窗室内外表面风压差数据，并依据标准做出达标判断：</w:t>
      </w:r>
    </w:p>
    <w:p>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1"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室内通风模型</w:t>
            </w:r>
          </w:p>
        </w:tc>
        <w:tc>
          <w:tcPr>
            <w:tcW w:w="1134" w:type="dxa"/>
            <w:shd w:val="clear" w:color="auto" w:fill="auto"/>
            <w:vAlign w:val="center"/>
          </w:tcPr>
          <w:p>
            <w:pPr>
              <w:jc w:val="center"/>
              <w:rPr>
                <w:lang w:val="en-US"/>
              </w:rPr>
            </w:pPr>
            <w:r>
              <w:rPr>
                <w:lang w:val="en-US"/>
              </w:rPr>
              <w:t>84</w:t>
            </w:r>
          </w:p>
        </w:tc>
        <w:tc>
          <w:tcPr>
            <w:tcW w:w="1984" w:type="dxa"/>
            <w:shd w:val="clear" w:color="auto" w:fill="auto"/>
            <w:vAlign w:val="center"/>
          </w:tcPr>
          <w:p>
            <w:pPr>
              <w:jc w:val="center"/>
              <w:rPr>
                <w:lang w:val="en-US"/>
              </w:rPr>
            </w:pPr>
            <w:r>
              <w:rPr>
                <w:lang w:val="en-US"/>
              </w:rPr>
              <w:t>69</w:t>
            </w:r>
          </w:p>
        </w:tc>
        <w:tc>
          <w:tcPr>
            <w:tcW w:w="1116" w:type="dxa"/>
            <w:shd w:val="clear" w:color="auto" w:fill="auto"/>
            <w:vAlign w:val="center"/>
          </w:tcPr>
          <w:p>
            <w:pPr>
              <w:jc w:val="center"/>
              <w:rPr>
                <w:lang w:val="en-US"/>
              </w:rPr>
            </w:pPr>
            <w:r>
              <w:rPr>
                <w:lang w:val="en-US"/>
              </w:rPr>
              <w:t>82.14</w:t>
            </w:r>
          </w:p>
        </w:tc>
        <w:tc>
          <w:tcPr>
            <w:tcW w:w="708" w:type="dxa"/>
            <w:shd w:val="clear" w:color="auto" w:fill="auto"/>
            <w:vAlign w:val="center"/>
          </w:tcPr>
          <w:p>
            <w:pPr>
              <w:jc w:val="center"/>
              <w:rPr>
                <w:lang w:val="en-US"/>
              </w:rPr>
            </w:pPr>
            <w:r>
              <w:rPr>
                <w:lang w:val="en-US"/>
              </w:rPr>
              <w:t>是</w:t>
            </w:r>
          </w:p>
        </w:tc>
      </w:tr>
      <w:bookmarkEnd w:id="151"/>
    </w:tbl>
    <w:p>
      <w:r>
        <w:rPr>
          <w:rFonts w:hint="eastAsia"/>
          <w:lang w:val="en-US"/>
        </w:rPr>
        <w:t>说明：达标比例＝（室内外风压差大于0.5Pa的总数/可开启外窗总数）*100％</w:t>
      </w:r>
    </w:p>
    <w:bookmarkEnd w:id="30"/>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52"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w:t>
            </w:r>
          </w:p>
        </w:tc>
        <w:tc>
          <w:tcPr>
            <w:tcW w:w="1417" w:type="dxa"/>
            <w:vAlign w:val="center"/>
          </w:tcPr>
          <w:p>
            <w:pPr>
              <w:spacing w:line="360" w:lineRule="exact"/>
              <w:jc w:val="center"/>
              <w:rPr>
                <w:lang w:val="en-US"/>
              </w:rPr>
            </w:pPr>
            <w:r>
              <w:rPr>
                <w:lang w:val="en-US"/>
              </w:rPr>
              <w:t>14.43</w:t>
            </w:r>
          </w:p>
        </w:tc>
        <w:tc>
          <w:tcPr>
            <w:tcW w:w="2552" w:type="dxa"/>
            <w:vAlign w:val="center"/>
          </w:tcPr>
          <w:p>
            <w:pPr>
              <w:spacing w:line="360" w:lineRule="exact"/>
              <w:jc w:val="center"/>
              <w:rPr>
                <w:lang w:val="en-US"/>
              </w:rPr>
            </w:pPr>
            <w:r>
              <w:rPr>
                <w:lang w:val="en-US"/>
              </w:rPr>
              <w:t>14.43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bookmarkEnd w:id="152"/>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1"/>
    </w:p>
    <w:p>
      <w:pPr>
        <w:rPr>
          <w:lang w:val="en-US"/>
        </w:rPr>
      </w:pPr>
      <w:bookmarkStart w:id="153" w:name="建筑室内外风压差达标判定结论"/>
      <w:r>
        <w:rPr>
          <w:rFonts w:hint="eastAsia"/>
          <w:lang w:val="en-US"/>
        </w:rPr>
        <w:t>结论：本项目中所有建筑均满足“50%以上可开启外窗室内外表面的风压差大于0.5Pa”的要求。</w:t>
      </w:r>
      <w:bookmarkEnd w:id="153"/>
      <w:r>
        <w:rPr>
          <w:rFonts w:hint="eastAsia"/>
          <w:lang w:val="en-US"/>
        </w:rPr>
        <w:t xml:space="preserve"> </w:t>
      </w:r>
    </w:p>
    <w:p>
      <w:pPr>
        <w:rPr>
          <w:lang w:val="en-US"/>
        </w:rPr>
      </w:pPr>
      <w:bookmarkStart w:id="154" w:name="其他工况"/>
      <w:bookmarkEnd w:id="154"/>
      <w:r>
        <w:rPr>
          <w:rFonts w:hint="eastAsia"/>
          <w:lang w:val="en-US"/>
        </w:rPr>
        <w:t xml:space="preserve"> </w:t>
      </w:r>
    </w:p>
    <w:p>
      <w:pPr>
        <w:pStyle w:val="4"/>
      </w:pPr>
      <w:bookmarkStart w:id="155" w:name="_Toc9407"/>
      <w:bookmarkStart w:id="156" w:name="_Toc509844764"/>
      <w:r>
        <w:rPr>
          <w:rFonts w:hint="eastAsia"/>
        </w:rPr>
        <w:t>结论</w:t>
      </w:r>
      <w:bookmarkEnd w:id="155"/>
      <w:bookmarkEnd w:id="156"/>
    </w:p>
    <w:p>
      <w:pPr>
        <w:pStyle w:val="5"/>
      </w:pPr>
      <w:bookmarkStart w:id="157" w:name="_Toc28717"/>
      <w:bookmarkStart w:id="158" w:name="_Toc509844765"/>
      <w:r>
        <w:rPr>
          <w:rFonts w:hint="eastAsia"/>
        </w:rPr>
        <w:t>冬季工况达标判断</w:t>
      </w:r>
      <w:bookmarkEnd w:id="157"/>
      <w:bookmarkEnd w:id="158"/>
      <w:bookmarkStart w:id="159" w:name="_Toc509844766"/>
      <w:bookmarkEnd w:id="15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0" w:name="标准要求冬季风速得分"/>
            <w:r>
              <w:rPr>
                <w:rFonts w:hint="eastAsia"/>
                <w:lang w:val="en-US"/>
              </w:rPr>
              <w:t>3</w:t>
            </w:r>
            <w:bookmarkEnd w:id="160"/>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1" w:name="冬季风速结果所有文字"/>
            <w:r>
              <w:rPr>
                <w:rFonts w:hint="eastAsia"/>
                <w:lang w:val="en-US"/>
              </w:rPr>
              <w:t>人行区</w:t>
            </w:r>
            <w:bookmarkStart w:id="162" w:name="冬季风速结果"/>
            <w:r>
              <w:t>没有出现</w:t>
            </w:r>
            <w:bookmarkEnd w:id="162"/>
            <w:r>
              <w:rPr>
                <w:rFonts w:hint="eastAsia"/>
                <w:lang w:val="en-US"/>
              </w:rPr>
              <w:t>风速大于</w:t>
            </w:r>
            <w:r>
              <w:rPr>
                <w:lang w:val="en-US"/>
              </w:rPr>
              <w:t>5m/s</w:t>
            </w:r>
            <w:r>
              <w:rPr>
                <w:rFonts w:hint="eastAsia"/>
                <w:lang w:val="en-US"/>
              </w:rPr>
              <w:t>的区域，户外休息区、儿童娱乐区</w:t>
            </w:r>
            <w:bookmarkStart w:id="163" w:name="冬季风速结果2"/>
            <w:r>
              <w:t>没有出现</w:t>
            </w:r>
            <w:bookmarkEnd w:id="163"/>
            <w:r>
              <w:rPr>
                <w:rFonts w:hint="eastAsia"/>
                <w:lang w:val="en-US"/>
              </w:rPr>
              <w:t>风速大于2m/s的区域</w:t>
            </w:r>
            <w:bookmarkEnd w:id="161"/>
          </w:p>
        </w:tc>
        <w:tc>
          <w:tcPr>
            <w:tcW w:w="1985" w:type="dxa"/>
            <w:vMerge w:val="restart"/>
            <w:tcBorders>
              <w:top w:val="single" w:color="auto" w:sz="4" w:space="0"/>
            </w:tcBorders>
            <w:shd w:val="clear" w:color="auto" w:fill="auto"/>
            <w:vAlign w:val="center"/>
          </w:tcPr>
          <w:p>
            <w:pPr>
              <w:jc w:val="center"/>
              <w:rPr>
                <w:b/>
                <w:lang w:val="en-US"/>
              </w:rPr>
            </w:pPr>
            <w:bookmarkStart w:id="164" w:name="冬季风速达标判定"/>
            <w:r>
              <w:rPr>
                <w:rFonts w:hint="eastAsia"/>
                <w:b/>
                <w:lang w:val="en-US"/>
              </w:rPr>
              <w:t>达标</w:t>
            </w:r>
            <w:bookmarkEnd w:id="164"/>
          </w:p>
        </w:tc>
        <w:tc>
          <w:tcPr>
            <w:tcW w:w="1416" w:type="dxa"/>
            <w:vMerge w:val="restart"/>
            <w:tcBorders>
              <w:top w:val="single" w:color="auto" w:sz="4" w:space="0"/>
            </w:tcBorders>
            <w:shd w:val="clear" w:color="auto" w:fill="auto"/>
            <w:vAlign w:val="center"/>
          </w:tcPr>
          <w:p>
            <w:pPr>
              <w:jc w:val="center"/>
              <w:rPr>
                <w:lang w:val="en-US"/>
              </w:rPr>
            </w:pPr>
            <w:bookmarkStart w:id="165" w:name="冬季风速得分"/>
            <w:r>
              <w:rPr>
                <w:rFonts w:hint="eastAsia"/>
                <w:lang w:val="en-US"/>
              </w:rPr>
              <w:t>3</w:t>
            </w:r>
            <w:bookmarkEnd w:id="16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66" w:name="冬季风速放大系数结果所有文字"/>
            <w:r>
              <w:rPr>
                <w:rFonts w:hint="eastAsia"/>
                <w:lang w:val="en-US"/>
              </w:rPr>
              <w:t>人行区</w:t>
            </w:r>
            <w:bookmarkStart w:id="167" w:name="冬季风速放大系数结果人行区"/>
            <w:bookmarkEnd w:id="167"/>
            <w:r>
              <w:rPr>
                <w:rFonts w:hint="eastAsia"/>
                <w:lang w:val="en-US"/>
              </w:rPr>
              <w:t>、户外休息区</w:t>
            </w:r>
            <w:r>
              <w:rPr>
                <w:lang w:val="en-US"/>
              </w:rPr>
              <w:t>、</w:t>
            </w:r>
            <w:r>
              <w:rPr>
                <w:rFonts w:hint="eastAsia"/>
                <w:lang w:val="en-US"/>
              </w:rPr>
              <w:t>儿童娱乐区</w:t>
            </w:r>
            <w:bookmarkStart w:id="168" w:name="冬季风速放大系数结果休息区"/>
            <w:r>
              <w:t>没有出现</w:t>
            </w:r>
            <w:bookmarkEnd w:id="168"/>
            <w:r>
              <w:rPr>
                <w:rFonts w:hint="eastAsia"/>
                <w:lang w:val="en-US"/>
              </w:rPr>
              <w:t>风速放大系数大于等于2的区域</w:t>
            </w:r>
            <w:bookmarkEnd w:id="166"/>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69" w:name="标准要求冬季风压得分"/>
            <w:r>
              <w:rPr>
                <w:rFonts w:hint="eastAsia"/>
                <w:lang w:val="en-US"/>
              </w:rPr>
              <w:t>2</w:t>
            </w:r>
            <w:bookmarkEnd w:id="169"/>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70" w:name="冬季迎背风面结果"/>
            <w:r>
              <w:t>没有出现</w:t>
            </w:r>
            <w:bookmarkEnd w:id="170"/>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71" w:name="冬季迎背风面达标判定"/>
            <w:r>
              <w:rPr>
                <w:rFonts w:hint="eastAsia"/>
                <w:b/>
                <w:lang w:val="en-US"/>
              </w:rPr>
              <w:t>达标</w:t>
            </w:r>
            <w:bookmarkEnd w:id="171"/>
          </w:p>
        </w:tc>
        <w:tc>
          <w:tcPr>
            <w:tcW w:w="1416" w:type="dxa"/>
            <w:shd w:val="clear" w:color="auto" w:fill="auto"/>
            <w:vAlign w:val="center"/>
          </w:tcPr>
          <w:p>
            <w:pPr>
              <w:jc w:val="center"/>
              <w:rPr>
                <w:lang w:val="en-US"/>
              </w:rPr>
            </w:pPr>
            <w:bookmarkStart w:id="172" w:name="冬季迎背风面得分"/>
            <w:r>
              <w:rPr>
                <w:rFonts w:hint="eastAsia"/>
                <w:lang w:val="en-US"/>
              </w:rPr>
              <w:t>2</w:t>
            </w:r>
            <w:bookmarkEnd w:id="172"/>
            <w:r>
              <w:rPr>
                <w:rFonts w:hint="eastAsia"/>
                <w:lang w:val="en-US"/>
              </w:rPr>
              <w:t>分</w:t>
            </w:r>
          </w:p>
        </w:tc>
      </w:tr>
    </w:tbl>
    <w:p>
      <w:pPr>
        <w:rPr>
          <w:szCs w:val="21"/>
          <w:lang w:val="en-US"/>
        </w:rPr>
      </w:pPr>
      <w:bookmarkStart w:id="173" w:name="_Toc509844767"/>
      <w:bookmarkEnd w:id="173"/>
      <w:bookmarkStart w:id="174" w:name="_Toc509844768"/>
      <w:bookmarkEnd w:id="174"/>
    </w:p>
    <w:p>
      <w:pPr>
        <w:pStyle w:val="5"/>
      </w:pPr>
      <w:bookmarkStart w:id="175" w:name="_Toc509844769"/>
      <w:bookmarkStart w:id="176" w:name="_Toc32625"/>
      <w:r>
        <w:rPr>
          <w:rFonts w:hint="eastAsia"/>
        </w:rPr>
        <w:t>过渡季、夏季工况达标判断</w:t>
      </w:r>
      <w:bookmarkEnd w:id="175"/>
      <w:bookmarkEnd w:id="17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7" w:name="标准要求夏季风速得分"/>
            <w:r>
              <w:rPr>
                <w:rFonts w:hint="eastAsia"/>
                <w:lang w:val="en-US"/>
              </w:rPr>
              <w:t>3</w:t>
            </w:r>
            <w:bookmarkEnd w:id="177"/>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78" w:name="夏季无风区结果人活动区文字"/>
            <w:r>
              <w:rPr>
                <w:rFonts w:hint="eastAsia"/>
                <w:lang w:val="en-US"/>
              </w:rPr>
              <w:t>人活动区</w:t>
            </w:r>
            <w:bookmarkStart w:id="179" w:name="夏季无风区结果"/>
            <w:r>
              <w:rPr>
                <w:color w:val="FF0000"/>
              </w:rPr>
              <w:t>有</w:t>
            </w:r>
            <w:bookmarkEnd w:id="178"/>
            <w:bookmarkEnd w:id="179"/>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80" w:name="夏季无风区达标判定"/>
            <w:r>
              <w:rPr>
                <w:rFonts w:hint="eastAsia"/>
                <w:b/>
                <w:color w:val="FF0000"/>
                <w:lang w:val="en-US"/>
              </w:rPr>
              <w:t>不达标</w:t>
            </w:r>
            <w:bookmarkEnd w:id="180"/>
          </w:p>
        </w:tc>
        <w:tc>
          <w:tcPr>
            <w:tcW w:w="1416" w:type="dxa"/>
            <w:vMerge w:val="restart"/>
            <w:tcBorders>
              <w:top w:val="single" w:color="auto" w:sz="4" w:space="0"/>
            </w:tcBorders>
            <w:shd w:val="clear" w:color="auto" w:fill="auto"/>
            <w:vAlign w:val="center"/>
          </w:tcPr>
          <w:p>
            <w:pPr>
              <w:jc w:val="center"/>
              <w:rPr>
                <w:lang w:val="en-US"/>
              </w:rPr>
            </w:pPr>
            <w:bookmarkStart w:id="181" w:name="夏季无风区得分"/>
            <w:r>
              <w:rPr>
                <w:rFonts w:hint="eastAsia"/>
                <w:lang w:val="en-US"/>
              </w:rPr>
              <w:t>0</w:t>
            </w:r>
            <w:bookmarkEnd w:id="181"/>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82" w:name="夏季旋涡区结果人活动区文字"/>
            <w:r>
              <w:rPr>
                <w:rFonts w:hint="eastAsia"/>
                <w:lang w:val="en-US"/>
              </w:rPr>
              <w:t>人活动区</w:t>
            </w:r>
            <w:bookmarkEnd w:id="182"/>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83" w:name="标准要求夏季风压得分"/>
            <w:r>
              <w:rPr>
                <w:rFonts w:hint="eastAsia"/>
                <w:lang w:val="en-US"/>
              </w:rPr>
              <w:t>2</w:t>
            </w:r>
            <w:bookmarkEnd w:id="183"/>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84" w:name="夏季窗内外风压差结果"/>
            <w:r>
              <w:rPr>
                <w:rFonts w:hint="eastAsia"/>
                <w:lang w:val="en-US"/>
              </w:rPr>
              <w:t>满足</w:t>
            </w:r>
            <w:bookmarkEnd w:id="184"/>
            <w:r>
              <w:rPr>
                <w:rFonts w:hint="eastAsia"/>
                <w:lang w:val="en-US"/>
              </w:rPr>
              <w:t>标准要求</w:t>
            </w:r>
          </w:p>
        </w:tc>
        <w:tc>
          <w:tcPr>
            <w:tcW w:w="1844" w:type="dxa"/>
            <w:shd w:val="clear" w:color="auto" w:fill="auto"/>
            <w:vAlign w:val="center"/>
          </w:tcPr>
          <w:p>
            <w:pPr>
              <w:jc w:val="center"/>
              <w:rPr>
                <w:b/>
                <w:lang w:val="en-US"/>
              </w:rPr>
            </w:pPr>
            <w:bookmarkStart w:id="185" w:name="夏季窗内外风压差达标判定"/>
            <w:r>
              <w:rPr>
                <w:rFonts w:hint="eastAsia"/>
                <w:b/>
                <w:lang w:val="en-US"/>
              </w:rPr>
              <w:t>达标</w:t>
            </w:r>
            <w:bookmarkEnd w:id="185"/>
          </w:p>
        </w:tc>
        <w:tc>
          <w:tcPr>
            <w:tcW w:w="1416" w:type="dxa"/>
            <w:shd w:val="clear" w:color="auto" w:fill="auto"/>
            <w:vAlign w:val="center"/>
          </w:tcPr>
          <w:p>
            <w:pPr>
              <w:jc w:val="center"/>
              <w:rPr>
                <w:lang w:val="en-US"/>
              </w:rPr>
            </w:pPr>
            <w:bookmarkStart w:id="186" w:name="夏季窗内外风压差得分"/>
            <w:r>
              <w:rPr>
                <w:rFonts w:hint="eastAsia"/>
                <w:lang w:val="en-US"/>
              </w:rPr>
              <w:t>2</w:t>
            </w:r>
            <w:bookmarkEnd w:id="186"/>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87" w:name="总得分"/>
      <w:r>
        <w:rPr>
          <w:rFonts w:hint="eastAsia"/>
          <w:lang w:val="en-US"/>
        </w:rPr>
        <w:t>7</w:t>
      </w:r>
      <w:bookmarkEnd w:id="187"/>
      <w:r>
        <w:rPr>
          <w:rFonts w:hint="eastAsia"/>
          <w:lang w:val="en-US"/>
        </w:rPr>
        <w:t>分。</w:t>
      </w:r>
    </w:p>
    <w:p>
      <w:pPr>
        <w:pStyle w:val="4"/>
      </w:pPr>
      <w:bookmarkStart w:id="188" w:name="_Toc30310"/>
      <w:bookmarkStart w:id="189" w:name="附录"/>
      <w:r>
        <w:rPr>
          <w:rFonts w:hint="eastAsia"/>
        </w:rPr>
        <w:t>附录</w:t>
      </w:r>
      <w:bookmarkEnd w:id="188"/>
    </w:p>
    <w:p>
      <w:pPr>
        <w:pStyle w:val="5"/>
      </w:pPr>
      <w:bookmarkStart w:id="190" w:name="_Toc30452"/>
      <w:r>
        <w:rPr>
          <w:rFonts w:hint="eastAsia"/>
        </w:rPr>
        <w:t>参评建筑迎背风面窗平均风压差表</w:t>
      </w:r>
      <w:bookmarkEnd w:id="190"/>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-室内通风模型</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2.04</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-0.63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2.67</w:t>
            </w:r>
          </w:p>
        </w:tc>
      </w:tr>
      <w:bookmarkEnd w:id="0"/>
      <w:bookmarkEnd w:id="2"/>
    </w:tbl>
    <w:p/>
    <w:bookmarkEnd w:id="189"/>
    <w:p>
      <w:pPr>
        <w:pStyle w:val="3"/>
        <w:ind w:firstLine="0" w:firstLineChars="0"/>
        <w:rPr>
          <w:lang w:val="en-US"/>
        </w:rPr>
      </w:pPr>
      <w:bookmarkStart w:id="191" w:name="迎风建筑信息参评"/>
      <w:bookmarkEnd w:id="191"/>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YzY5ODc5NzU5ZjRkOTJjZjkxZTQ5MTdhZTY2NTgifQ=="/>
  </w:docVars>
  <w:rsids>
    <w:rsidRoot w:val="00217F62"/>
    <w:rsid w:val="001915A3"/>
    <w:rsid w:val="00217F62"/>
    <w:rsid w:val="00A906D8"/>
    <w:rsid w:val="00AB5A74"/>
    <w:rsid w:val="00F071AE"/>
    <w:rsid w:val="04A46C7B"/>
    <w:rsid w:val="05962A91"/>
    <w:rsid w:val="07176D87"/>
    <w:rsid w:val="12B75DF4"/>
    <w:rsid w:val="1E672DC4"/>
    <w:rsid w:val="2B4F70BA"/>
    <w:rsid w:val="37C45251"/>
    <w:rsid w:val="3B133C60"/>
    <w:rsid w:val="3B5D2065"/>
    <w:rsid w:val="697F79AB"/>
    <w:rsid w:val="72A11576"/>
    <w:rsid w:val="79FA5761"/>
    <w:rsid w:val="7C7B7AF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numbering" Target="numbering.xml"/><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Template>
  <Company>ths</Company>
  <Pages>1</Pages>
  <Words>889</Words>
  <Characters>5069</Characters>
  <Lines>42</Lines>
  <Paragraphs>11</Paragraphs>
  <TotalTime>16</TotalTime>
  <ScaleCrop>false</ScaleCrop>
  <LinksUpToDate>false</LinksUpToDate>
  <CharactersWithSpaces>5947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Y.</cp:lastModifiedBy>
  <cp:lastPrinted>1900-12-31T16:00:00Z</cp:lastPrinted>
  <dcterms:modified xsi:type="dcterms:W3CDTF">2024-03-17T09:39:35Z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F8F3BB11D4B74036A25C824CF7607D8A_13</vt:lpwstr>
  </property>
</Properties>
</file>