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旅馆建筑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t>竹雅栖舍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bookmarkStart w:id="59" w:name="_GoBack"/>
            <w:r>
              <w:rPr>
                <w:rFonts w:hint="eastAsia" w:ascii="宋体" w:hAnsi="宋体"/>
                <w:szCs w:val="21"/>
              </w:rPr>
              <w:t>YB1A6010</w:t>
            </w:r>
            <w:r>
              <w:rPr>
                <w:rFonts w:hint="eastAsia" w:ascii="宋体" w:hAnsi="宋体"/>
                <w:szCs w:val="21"/>
                <w:lang w:val="en-US" w:eastAsia="zh-CN"/>
              </w:rPr>
              <w:t>2</w:t>
            </w:r>
            <w:bookmarkEnd w:id="5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2024年1月5日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T17855916901</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_Toc7590 </w:instrText>
      </w:r>
      <w:r>
        <w:rPr>
          <w:rFonts w:ascii="宋体" w:hAnsi="宋体"/>
          <w:caps/>
        </w:rPr>
        <w:fldChar w:fldCharType="separate"/>
      </w:r>
      <w:r>
        <w:t xml:space="preserve">1 </w:t>
      </w:r>
      <w:r>
        <w:rPr>
          <w:rFonts w:hint="eastAsia"/>
        </w:rPr>
        <w:t>建筑概况</w:t>
      </w:r>
      <w:r>
        <w:tab/>
      </w:r>
      <w:r>
        <w:fldChar w:fldCharType="begin"/>
      </w:r>
      <w:r>
        <w:instrText xml:space="preserve"> PAGEREF _Toc7590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_Toc657 </w:instrText>
      </w:r>
      <w:r>
        <w:fldChar w:fldCharType="separate"/>
      </w:r>
      <w:r>
        <w:t xml:space="preserve">2 </w:t>
      </w:r>
      <w:r>
        <w:rPr>
          <w:rFonts w:hint="eastAsia"/>
        </w:rPr>
        <w:t>评价依据</w:t>
      </w:r>
      <w:r>
        <w:tab/>
      </w:r>
      <w:r>
        <w:fldChar w:fldCharType="begin"/>
      </w:r>
      <w:r>
        <w:instrText xml:space="preserve"> PAGEREF _Toc657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_Toc30646 </w:instrText>
      </w:r>
      <w:r>
        <w:fldChar w:fldCharType="separate"/>
      </w:r>
      <w:r>
        <w:t xml:space="preserve">3 </w:t>
      </w:r>
      <w:r>
        <w:rPr>
          <w:rFonts w:hint="eastAsia"/>
        </w:rPr>
        <w:t>标准</w:t>
      </w:r>
      <w:r>
        <w:t>要求</w:t>
      </w:r>
      <w:r>
        <w:tab/>
      </w:r>
      <w:r>
        <w:fldChar w:fldCharType="begin"/>
      </w:r>
      <w:r>
        <w:instrText xml:space="preserve"> PAGEREF _Toc30646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_Toc2824 </w:instrText>
      </w:r>
      <w:r>
        <w:fldChar w:fldCharType="separate"/>
      </w:r>
      <w:r>
        <w:rPr>
          <w:kern w:val="2"/>
        </w:rPr>
        <w:t xml:space="preserve">4 </w:t>
      </w:r>
      <w:r>
        <w:rPr>
          <w:rFonts w:hint="eastAsia"/>
          <w:kern w:val="2"/>
        </w:rPr>
        <w:t>隔声理论概述</w:t>
      </w:r>
      <w:r>
        <w:tab/>
      </w:r>
      <w:r>
        <w:fldChar w:fldCharType="begin"/>
      </w:r>
      <w:r>
        <w:instrText xml:space="preserve"> PAGEREF _Toc2824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_Toc7549 </w:instrText>
      </w:r>
      <w:r>
        <w:fldChar w:fldCharType="separate"/>
      </w:r>
      <w:r>
        <w:t xml:space="preserve">4.1 </w:t>
      </w:r>
      <w:r>
        <w:rPr>
          <w:rFonts w:hint="eastAsia"/>
        </w:rPr>
        <w:t>原理概要</w:t>
      </w:r>
      <w:r>
        <w:tab/>
      </w:r>
      <w:r>
        <w:fldChar w:fldCharType="begin"/>
      </w:r>
      <w:r>
        <w:instrText xml:space="preserve"> PAGEREF _Toc7549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_Toc21196 </w:instrText>
      </w:r>
      <w:r>
        <w:fldChar w:fldCharType="separate"/>
      </w:r>
      <w:r>
        <w:t xml:space="preserve">4.2 </w:t>
      </w:r>
      <w:r>
        <w:rPr>
          <w:rFonts w:hint="eastAsia"/>
        </w:rPr>
        <w:t>质量定律</w:t>
      </w:r>
      <w:r>
        <w:tab/>
      </w:r>
      <w:r>
        <w:fldChar w:fldCharType="begin"/>
      </w:r>
      <w:r>
        <w:instrText xml:space="preserve"> PAGEREF _Toc21196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_Toc14090 </w:instrText>
      </w:r>
      <w:r>
        <w:fldChar w:fldCharType="separate"/>
      </w:r>
      <w:r>
        <w:t>4.3 隔声</w:t>
      </w:r>
      <w:r>
        <w:rPr>
          <w:rFonts w:hint="eastAsia"/>
        </w:rPr>
        <w:t>量计算经验</w:t>
      </w:r>
      <w:r>
        <w:t>公式</w:t>
      </w:r>
      <w:r>
        <w:tab/>
      </w:r>
      <w:r>
        <w:fldChar w:fldCharType="begin"/>
      </w:r>
      <w:r>
        <w:instrText xml:space="preserve"> PAGEREF _Toc14090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_Toc24386 </w:instrText>
      </w:r>
      <w:r>
        <w:fldChar w:fldCharType="separate"/>
      </w:r>
      <w:r>
        <w:t xml:space="preserve">4.4 </w:t>
      </w:r>
      <w:r>
        <w:rPr>
          <w:rFonts w:hint="eastAsia"/>
        </w:rPr>
        <w:t>单值评价量</w:t>
      </w:r>
      <w:r>
        <w:tab/>
      </w:r>
      <w:r>
        <w:fldChar w:fldCharType="begin"/>
      </w:r>
      <w:r>
        <w:instrText xml:space="preserve"> PAGEREF _Toc24386 \h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_Toc881 </w:instrText>
      </w:r>
      <w:r>
        <w:fldChar w:fldCharType="separate"/>
      </w:r>
      <w:r>
        <w:t xml:space="preserve">4.5 </w:t>
      </w:r>
      <w:r>
        <w:rPr>
          <w:rFonts w:hint="eastAsia"/>
        </w:rPr>
        <w:t>频谱修正量</w:t>
      </w:r>
      <w:r>
        <w:tab/>
      </w:r>
      <w:r>
        <w:fldChar w:fldCharType="begin"/>
      </w:r>
      <w:r>
        <w:instrText xml:space="preserve"> PAGEREF _Toc881 \h </w:instrText>
      </w:r>
      <w:r>
        <w:fldChar w:fldCharType="separate"/>
      </w:r>
      <w:r>
        <w:t>7</w:t>
      </w:r>
      <w:r>
        <w:fldChar w:fldCharType="end"/>
      </w:r>
      <w:r>
        <w:fldChar w:fldCharType="end"/>
      </w:r>
    </w:p>
    <w:p>
      <w:pPr>
        <w:pStyle w:val="18"/>
        <w:tabs>
          <w:tab w:val="right" w:leader="dot" w:pos="9070"/>
          <w:tab w:val="clear" w:pos="180"/>
          <w:tab w:val="clear" w:pos="9360"/>
        </w:tabs>
      </w:pPr>
      <w:r>
        <w:fldChar w:fldCharType="begin"/>
      </w:r>
      <w:r>
        <w:instrText xml:space="preserve"> HYPERLINK \l _Toc11601 </w:instrText>
      </w:r>
      <w:r>
        <w:fldChar w:fldCharType="separate"/>
      </w:r>
      <w:r>
        <w:t xml:space="preserve">5 </w:t>
      </w:r>
      <w:r>
        <w:rPr>
          <w:rFonts w:hint="eastAsia"/>
        </w:rPr>
        <w:t>构件空气声隔声性能</w:t>
      </w:r>
      <w:r>
        <w:tab/>
      </w:r>
      <w:r>
        <w:fldChar w:fldCharType="begin"/>
      </w:r>
      <w:r>
        <w:instrText xml:space="preserve"> PAGEREF _Toc11601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_Toc26010 </w:instrText>
      </w:r>
      <w:r>
        <w:fldChar w:fldCharType="separate"/>
      </w:r>
      <w:r>
        <w:t xml:space="preserve">5.1 </w:t>
      </w:r>
      <w:r>
        <w:rPr>
          <w:rFonts w:hint="eastAsia"/>
        </w:rPr>
        <w:t>墙板的空气声隔声量</w:t>
      </w:r>
      <w:r>
        <w:tab/>
      </w:r>
      <w:r>
        <w:fldChar w:fldCharType="begin"/>
      </w:r>
      <w:r>
        <w:instrText xml:space="preserve"> PAGEREF _Toc26010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_Toc28528 </w:instrText>
      </w:r>
      <w:r>
        <w:fldChar w:fldCharType="separate"/>
      </w:r>
      <w:r>
        <w:t xml:space="preserve">5.1.1 </w:t>
      </w:r>
      <w:r>
        <w:rPr>
          <w:rFonts w:hint="eastAsia"/>
        </w:rPr>
        <w:t>墙板构造做法</w:t>
      </w:r>
      <w:r>
        <w:tab/>
      </w:r>
      <w:r>
        <w:fldChar w:fldCharType="begin"/>
      </w:r>
      <w:r>
        <w:instrText xml:space="preserve"> PAGEREF _Toc28528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_Toc31885 </w:instrText>
      </w:r>
      <w:r>
        <w:fldChar w:fldCharType="separate"/>
      </w:r>
      <w:r>
        <w:t xml:space="preserve">5.1.2 </w:t>
      </w:r>
      <w:r>
        <w:rPr>
          <w:rFonts w:hint="eastAsia"/>
        </w:rPr>
        <w:t>墙板空气声隔声性能</w:t>
      </w:r>
      <w:r>
        <w:tab/>
      </w:r>
      <w:r>
        <w:fldChar w:fldCharType="begin"/>
      </w:r>
      <w:r>
        <w:instrText xml:space="preserve"> PAGEREF _Toc31885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_Toc19788 </w:instrText>
      </w:r>
      <w:r>
        <w:fldChar w:fldCharType="separate"/>
      </w:r>
      <w:r>
        <w:t xml:space="preserve">5.2 </w:t>
      </w:r>
      <w:r>
        <w:rPr>
          <w:rFonts w:hint="eastAsia"/>
        </w:rPr>
        <w:t>门窗的空气声隔声量</w:t>
      </w:r>
      <w:r>
        <w:tab/>
      </w:r>
      <w:r>
        <w:fldChar w:fldCharType="begin"/>
      </w:r>
      <w:r>
        <w:instrText xml:space="preserve"> PAGEREF _Toc19788 \h </w:instrText>
      </w:r>
      <w:r>
        <w:fldChar w:fldCharType="separate"/>
      </w:r>
      <w:r>
        <w:t>11</w:t>
      </w:r>
      <w:r>
        <w:fldChar w:fldCharType="end"/>
      </w:r>
      <w:r>
        <w:fldChar w:fldCharType="end"/>
      </w:r>
    </w:p>
    <w:p>
      <w:pPr>
        <w:pStyle w:val="18"/>
        <w:tabs>
          <w:tab w:val="right" w:leader="dot" w:pos="9070"/>
          <w:tab w:val="clear" w:pos="180"/>
          <w:tab w:val="clear" w:pos="9360"/>
        </w:tabs>
      </w:pPr>
      <w:r>
        <w:fldChar w:fldCharType="begin"/>
      </w:r>
      <w:r>
        <w:instrText xml:space="preserve"> HYPERLINK \l _Toc19190 </w:instrText>
      </w:r>
      <w:r>
        <w:fldChar w:fldCharType="separate"/>
      </w:r>
      <w:r>
        <w:t xml:space="preserve">6 </w:t>
      </w:r>
      <w:r>
        <w:rPr>
          <w:rFonts w:hint="eastAsia"/>
        </w:rPr>
        <w:t>楼板撞击声隔声性能</w:t>
      </w:r>
      <w:r>
        <w:tab/>
      </w:r>
      <w:r>
        <w:fldChar w:fldCharType="begin"/>
      </w:r>
      <w:r>
        <w:instrText xml:space="preserve"> PAGEREF _Toc19190 \h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_Toc14772 </w:instrText>
      </w:r>
      <w:r>
        <w:fldChar w:fldCharType="separate"/>
      </w:r>
      <w:r>
        <w:rPr>
          <w:kern w:val="2"/>
        </w:rPr>
        <w:t xml:space="preserve">7 </w:t>
      </w:r>
      <w:r>
        <w:rPr>
          <w:rFonts w:hint="eastAsia"/>
          <w:kern w:val="2"/>
        </w:rPr>
        <w:t>结论</w:t>
      </w:r>
      <w:r>
        <w:tab/>
      </w:r>
      <w:r>
        <w:fldChar w:fldCharType="begin"/>
      </w:r>
      <w:r>
        <w:instrText xml:space="preserve"> PAGEREF _Toc14772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7590"/>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工程名称</w:t>
            </w:r>
          </w:p>
        </w:tc>
        <w:tc>
          <w:tcPr>
            <w:tcW w:w="6056"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建筑面积</w:t>
            </w:r>
            <w:r>
              <w:t>(m</w:t>
            </w:r>
            <w:r>
              <w:rPr>
                <w:vertAlign w:val="superscript"/>
              </w:rPr>
              <w:t>2</w:t>
            </w:r>
            <w:r>
              <w:t>)</w:t>
            </w:r>
          </w:p>
        </w:tc>
        <w:tc>
          <w:tcPr>
            <w:tcW w:w="6056" w:type="dxa"/>
          </w:tcPr>
          <w:p>
            <w:pPr>
              <w:pStyle w:val="3"/>
            </w:pPr>
            <w:r>
              <w:rPr>
                <w:rFonts w:hint="eastAsia"/>
              </w:rPr>
              <w:t xml:space="preserve">地上  </w:t>
            </w:r>
            <w:bookmarkStart w:id="13" w:name="地上建筑面积"/>
            <w:r>
              <w:t>1141</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建筑层数</w:t>
            </w:r>
          </w:p>
        </w:tc>
        <w:tc>
          <w:tcPr>
            <w:tcW w:w="6056" w:type="dxa"/>
          </w:tcPr>
          <w:p>
            <w:pPr>
              <w:pStyle w:val="3"/>
            </w:pPr>
            <w:r>
              <w:rPr>
                <w:rFonts w:hint="eastAsia"/>
              </w:rPr>
              <w:t xml:space="preserve">地上 </w:t>
            </w:r>
            <w:bookmarkStart w:id="15" w:name="地上建筑层数"/>
            <w:r>
              <w:t>3</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建筑高度（</w:t>
            </w:r>
            <w:r>
              <w:t>m</w:t>
            </w:r>
            <w:r>
              <w:rPr>
                <w:rFonts w:hint="eastAsia"/>
              </w:rPr>
              <w:t>）</w:t>
            </w:r>
          </w:p>
        </w:tc>
        <w:tc>
          <w:tcPr>
            <w:tcW w:w="6056" w:type="dxa"/>
          </w:tcPr>
          <w:p>
            <w:pPr>
              <w:pStyle w:val="3"/>
            </w:pPr>
            <w:r>
              <w:rPr>
                <w:rFonts w:hint="eastAsia"/>
              </w:rPr>
              <w:t>地上</w:t>
            </w:r>
            <w:bookmarkStart w:id="17" w:name="地上建筑高度"/>
            <w:r>
              <w:t>12.0</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北向角度（°）</w:t>
            </w:r>
          </w:p>
        </w:tc>
        <w:tc>
          <w:tcPr>
            <w:tcW w:w="6056" w:type="dxa"/>
          </w:tcPr>
          <w:p>
            <w:pPr>
              <w:pStyle w:val="3"/>
            </w:pPr>
            <w:bookmarkStart w:id="18" w:name="北向角度"/>
            <w:r>
              <w:t>130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657"/>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w:t>
      </w:r>
      <w:r>
        <w:rPr>
          <w:lang w:val="en-US"/>
        </w:rPr>
        <w:t>2</w:t>
      </w:r>
      <w:r>
        <w:rPr>
          <w:rFonts w:hint="eastAsia"/>
          <w:lang w:val="en-US"/>
        </w:rPr>
        <w:t>）第二版》</w:t>
      </w:r>
    </w:p>
    <w:p>
      <w:pPr>
        <w:pStyle w:val="2"/>
        <w:ind w:left="669" w:hanging="669"/>
      </w:pPr>
      <w:bookmarkStart w:id="23" w:name="_Toc30646"/>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4" w:name="_Toc2824"/>
      <w:bookmarkStart w:id="25" w:name="_Toc438716944"/>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7549"/>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0.75pt;width:56.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800603"/>
      <w:bookmarkStart w:id="28" w:name="_Toc503275877"/>
      <w:bookmarkStart w:id="29" w:name="_Toc21196"/>
      <w:bookmarkStart w:id="30" w:name="_Toc503800668"/>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1.25pt;width:107.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14090"/>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3431722" cy="526650"/>
                    </a:xfrm>
                    <a:prstGeom prst="rect">
                      <a:avLst/>
                    </a:prstGeom>
                  </pic:spPr>
                </pic:pic>
              </a:graphicData>
            </a:graphic>
          </wp:inline>
        </w:drawing>
      </w:r>
    </w:p>
    <w:p>
      <w:pPr>
        <w:pStyle w:val="3"/>
        <w:ind w:firstLine="420" w:firstLineChars="200"/>
        <w:jc w:val="center"/>
      </w:pPr>
    </w:p>
    <w:p>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pPr>
        <w:jc w:val="center"/>
        <w:rPr>
          <w:lang w:val="en-US"/>
        </w:rP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24386"/>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5pt;width:16.5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5pt;width:12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25pt;width:12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5pt;width:18.7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9">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5pt;width:12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30">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3" w:name="_Toc881"/>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1"/>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4" w:name="_Toc11601"/>
      <w:r>
        <w:rPr>
          <w:rFonts w:hint="eastAsia"/>
        </w:rPr>
        <w:t>构件空气声隔声性能</w:t>
      </w:r>
      <w:bookmarkEnd w:id="34"/>
    </w:p>
    <w:p>
      <w:pPr>
        <w:pStyle w:val="4"/>
      </w:pPr>
      <w:bookmarkStart w:id="35" w:name="_Toc26010"/>
      <w:r>
        <w:rPr>
          <w:rFonts w:hint="eastAsia"/>
        </w:rPr>
        <w:t>墙板的空气声隔声量</w:t>
      </w:r>
      <w:bookmarkEnd w:id="35"/>
    </w:p>
    <w:p>
      <w:pPr>
        <w:pStyle w:val="5"/>
      </w:pPr>
      <w:bookmarkStart w:id="36" w:name="_Toc28528"/>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pPr>
              <w:jc w:val="center"/>
            </w:pPr>
            <w:r>
              <w:t>80</w:t>
            </w:r>
          </w:p>
        </w:tc>
        <w:tc>
          <w:tcPr>
            <w:vAlign w:val="center"/>
          </w:tcPr>
          <w:p>
            <w:pPr>
              <w:jc w:val="center"/>
            </w:pPr>
            <w:r>
              <w:t>700</w:t>
            </w:r>
          </w:p>
        </w:tc>
        <w:tc>
          <w:tcPr>
            <w:vAlign w:val="center"/>
          </w:tcPr>
          <w:p>
            <w:pPr>
              <w:jc w:val="center"/>
            </w:pPr>
            <w:r>
              <w:t>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挑空楼板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31885"/>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pPr>
        <w:pStyle w:val="3"/>
        <w:ind w:left="840"/>
      </w:pPr>
      <m:oMathPara>
        <m:oMath>
          <m:r>
            <m:rPr/>
            <w:rPr>
              <w:rFonts w:ascii="Cambria Math" w:hAnsi="Cambria Math"/>
            </w:rPr>
            <m:t>R=</m:t>
          </m:r>
          <w:bookmarkStart w:id="39" w:name="公式A1"/>
          <m:r>
            <m:rPr>
              <m:sty m:val="p"/>
            </m:rPr>
            <m:t>23</m:t>
          </m:r>
          <w:bookmarkEnd w:id="39"/>
          <m:r>
            <m:rPr/>
            <w:rPr>
              <w:rFonts w:ascii="Cambria Math" w:hAnsi="Cambria Math"/>
            </w:rPr>
            <m:t>lgm+</m:t>
          </m:r>
          <w:bookmarkStart w:id="40" w:name="公式B1"/>
          <m:r>
            <m:rPr>
              <m:sty m:val="p"/>
            </m:rPr>
            <m:t>11</m:t>
          </m:r>
          <w:bookmarkEnd w:id="40"/>
          <m:r>
            <m:rPr/>
            <w:rPr>
              <w:rFonts w:ascii="Cambria Math" w:hAnsi="Cambria Math"/>
            </w:rPr>
            <m:t>lgf</m:t>
          </m:r>
          <w:bookmarkStart w:id="41" w:name="公式C1"/>
          <m:r>
            <m:rPr>
              <m:sty m:val="p"/>
            </m:rPr>
            <m:t>−41</m:t>
          </m:r>
          <w:bookmarkEnd w:id="41"/>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2" w:name="公式A2"/>
          <m:r>
            <m:rPr>
              <m:sty m:val="p"/>
            </m:rPr>
            <m:t>13</m:t>
          </m:r>
          <w:bookmarkEnd w:id="42"/>
          <m:r>
            <m:rPr/>
            <w:rPr>
              <w:rFonts w:ascii="Cambria Math" w:hAnsi="Cambria Math"/>
            </w:rPr>
            <m:t>lgm+</m:t>
          </m:r>
          <w:bookmarkStart w:id="43" w:name="公式B2"/>
          <m:r>
            <m:rPr>
              <m:sty m:val="p"/>
            </m:rPr>
            <m:t>11</m:t>
          </m:r>
          <w:bookmarkEnd w:id="43"/>
          <m:r>
            <m:rPr/>
            <w:rPr>
              <w:rFonts w:ascii="Cambria Math" w:hAnsi="Cambria Math"/>
            </w:rPr>
            <m:t>lgf</m:t>
          </m:r>
          <w:bookmarkStart w:id="44" w:name="公式C2"/>
          <m:r>
            <m:rPr>
              <m:sty m:val="p"/>
            </m:rPr>
            <m:t>−18</m:t>
          </m:r>
          <w:bookmarkEnd w:id="44"/>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起居室外墙</w:t>
            </w: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双层100厚加气混凝土中空50厚，双面抹灰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36.0</w:t>
            </w:r>
          </w:p>
        </w:tc>
        <w:tc>
          <w:tcPr>
            <w:vAlign w:val="center"/>
          </w:tcPr>
          <w:p>
            <w:r>
              <w:t>46.0</w:t>
            </w:r>
          </w:p>
        </w:tc>
        <w:tc>
          <w:tcPr>
            <w:vAlign w:val="center"/>
          </w:tcPr>
          <w:p>
            <w:r>
              <w:t>50.0</w:t>
            </w:r>
          </w:p>
        </w:tc>
        <w:tc>
          <w:tcPr>
            <w:vAlign w:val="center"/>
          </w:tcPr>
          <w:p>
            <w:r>
              <w:t>57.0</w:t>
            </w:r>
          </w:p>
        </w:tc>
        <w:tc>
          <w:tcPr>
            <w:vAlign w:val="center"/>
          </w:tcPr>
          <w:p>
            <w:r>
              <w:t>73.0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2.0</w:t>
            </w:r>
          </w:p>
        </w:tc>
        <w:tc>
          <w:tcPr>
            <w:vAlign w:val="center"/>
          </w:tcPr>
          <w:p>
            <w:r>
              <w:t>1.0</w:t>
            </w:r>
          </w:p>
        </w:tc>
        <w:tc>
          <w:tcPr>
            <w:vAlign w:val="center"/>
          </w:tcPr>
          <w:p>
            <w:r>
              <w:t>4.0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卧室外墙</w:t>
            </w: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双层100厚加气混凝土中空50厚，双面抹灰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36.0</w:t>
            </w:r>
          </w:p>
        </w:tc>
        <w:tc>
          <w:tcPr>
            <w:vAlign w:val="center"/>
          </w:tcPr>
          <w:p>
            <w:r>
              <w:t>46.0</w:t>
            </w:r>
          </w:p>
        </w:tc>
        <w:tc>
          <w:tcPr>
            <w:vAlign w:val="center"/>
          </w:tcPr>
          <w:p>
            <w:r>
              <w:t>50.0</w:t>
            </w:r>
          </w:p>
        </w:tc>
        <w:tc>
          <w:tcPr>
            <w:vAlign w:val="center"/>
          </w:tcPr>
          <w:p>
            <w:r>
              <w:t>57.0</w:t>
            </w:r>
          </w:p>
        </w:tc>
        <w:tc>
          <w:tcPr>
            <w:vAlign w:val="center"/>
          </w:tcPr>
          <w:p>
            <w:r>
              <w:t>73.0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2.0</w:t>
            </w:r>
          </w:p>
        </w:tc>
        <w:tc>
          <w:tcPr>
            <w:vAlign w:val="center"/>
          </w:tcPr>
          <w:p>
            <w:r>
              <w:t>1.0</w:t>
            </w:r>
          </w:p>
        </w:tc>
        <w:tc>
          <w:tcPr>
            <w:vAlign w:val="center"/>
          </w:tcPr>
          <w:p>
            <w:r>
              <w:t>4.0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满足平均要求</w:t>
            </w:r>
          </w:p>
        </w:tc>
      </w:tr>
      <w:tr>
        <w:tblPrEx>
          <w:tblCellMar>
            <w:top w:w="0" w:type="dxa"/>
            <w:left w:w="108" w:type="dxa"/>
            <w:bottom w:w="0" w:type="dxa"/>
            <w:right w:w="108" w:type="dxa"/>
          </w:tblCellMar>
        </w:tblPrEx>
        <w:tc>
          <w:tcPr>
            <w:vMerge w:val="restart"/>
            <w:shd w:val="clear" w:color="auto" w:fill="E6E6E6"/>
            <w:vAlign w:val="center"/>
          </w:tcPr>
          <w:p>
            <w:r>
              <w:t>卧室墙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轻质隔墙板200厚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34.0</w:t>
            </w:r>
          </w:p>
        </w:tc>
        <w:tc>
          <w:tcPr>
            <w:vAlign w:val="center"/>
          </w:tcPr>
          <w:p>
            <w:r>
              <w:t>37.0</w:t>
            </w:r>
          </w:p>
        </w:tc>
        <w:tc>
          <w:tcPr>
            <w:vAlign w:val="center"/>
          </w:tcPr>
          <w:p>
            <w:r>
              <w:t>42.0</w:t>
            </w:r>
          </w:p>
        </w:tc>
        <w:tc>
          <w:tcPr>
            <w:vAlign w:val="center"/>
          </w:tcPr>
          <w:p>
            <w:r>
              <w:t>46.0</w:t>
            </w:r>
          </w:p>
        </w:tc>
        <w:tc>
          <w:tcPr>
            <w:vAlign w:val="center"/>
          </w:tcPr>
          <w:p>
            <w:r>
              <w:t>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2.0</w:t>
            </w:r>
          </w:p>
        </w:tc>
        <w:tc>
          <w:tcPr>
            <w:vAlign w:val="center"/>
          </w:tcPr>
          <w:p>
            <w:r>
              <w:t>4.0</w:t>
            </w:r>
          </w:p>
        </w:tc>
        <w:tc>
          <w:tcPr>
            <w:vAlign w:val="center"/>
          </w:tcPr>
          <w:p>
            <w:r>
              <w:t>3.0</w:t>
            </w:r>
          </w:p>
        </w:tc>
        <w:tc>
          <w:tcPr>
            <w:vAlign w:val="center"/>
          </w:tcPr>
          <w:p>
            <w:r>
              <w:t>0.0</w:t>
            </w:r>
          </w:p>
        </w:tc>
      </w:tr>
      <w:tr>
        <w:tblPrEx>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客房外墙1</w:t>
            </w: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双层100厚加气混凝土中空50厚，双面抹灰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31.1</w:t>
            </w:r>
          </w:p>
        </w:tc>
        <w:tc>
          <w:tcPr>
            <w:vAlign w:val="center"/>
          </w:tcPr>
          <w:p>
            <w:r>
              <w:t>27.2</w:t>
            </w:r>
          </w:p>
        </w:tc>
        <w:tc>
          <w:tcPr>
            <w:vAlign w:val="center"/>
          </w:tcPr>
          <w:p>
            <w:r>
              <w:t>35.2</w:t>
            </w:r>
          </w:p>
        </w:tc>
        <w:tc>
          <w:tcPr>
            <w:vAlign w:val="center"/>
          </w:tcPr>
          <w:p>
            <w:r>
              <w:t>44.1</w:t>
            </w:r>
          </w:p>
        </w:tc>
        <w:tc>
          <w:tcPr>
            <w:vAlign w:val="center"/>
          </w:tcPr>
          <w:p>
            <w:r>
              <w:t>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4.8</w:t>
            </w:r>
          </w:p>
        </w:tc>
        <w:tc>
          <w:tcPr>
            <w:vAlign w:val="center"/>
          </w:tcPr>
          <w:p>
            <w:r>
              <w:t>3.8</w:t>
            </w:r>
          </w:p>
        </w:tc>
        <w:tc>
          <w:tcPr>
            <w:vAlign w:val="center"/>
          </w:tcPr>
          <w:p>
            <w:r>
              <w:t>0.0</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低限:&gt;35,高要求:&gt;40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客房外墙2</w:t>
            </w: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双层100厚加气混凝土中空50厚，双面抹灰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29.6</w:t>
            </w:r>
          </w:p>
        </w:tc>
        <w:tc>
          <w:tcPr>
            <w:vAlign w:val="center"/>
          </w:tcPr>
          <w:p>
            <w:r>
              <w:t>25.1</w:t>
            </w:r>
          </w:p>
        </w:tc>
        <w:tc>
          <w:tcPr>
            <w:vAlign w:val="center"/>
          </w:tcPr>
          <w:p>
            <w:r>
              <w:t>33.1</w:t>
            </w:r>
          </w:p>
        </w:tc>
        <w:tc>
          <w:tcPr>
            <w:vAlign w:val="center"/>
          </w:tcPr>
          <w:p>
            <w:r>
              <w:t>42.1</w:t>
            </w:r>
          </w:p>
        </w:tc>
        <w:tc>
          <w:tcPr>
            <w:vAlign w:val="center"/>
          </w:tcPr>
          <w:p>
            <w:r>
              <w:t>40.1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4.9</w:t>
            </w:r>
          </w:p>
        </w:tc>
        <w:tc>
          <w:tcPr>
            <w:vAlign w:val="center"/>
          </w:tcPr>
          <w:p>
            <w:r>
              <w:t>3.9</w:t>
            </w:r>
          </w:p>
        </w:tc>
        <w:tc>
          <w:tcPr>
            <w:vAlign w:val="center"/>
          </w:tcPr>
          <w:p>
            <w:r>
              <w:t>0.0</w:t>
            </w:r>
          </w:p>
        </w:tc>
        <w:tc>
          <w:tcPr>
            <w:vAlign w:val="center"/>
          </w:tcPr>
          <w:p>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低限:&gt;35,高要求:&gt;40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客房外墙3</w:t>
            </w: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双层100厚加气混凝土中空50厚，双面抹灰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36.0</w:t>
            </w:r>
          </w:p>
        </w:tc>
        <w:tc>
          <w:tcPr>
            <w:vAlign w:val="center"/>
          </w:tcPr>
          <w:p>
            <w:r>
              <w:t>46.0</w:t>
            </w:r>
          </w:p>
        </w:tc>
        <w:tc>
          <w:tcPr>
            <w:vAlign w:val="center"/>
          </w:tcPr>
          <w:p>
            <w:r>
              <w:t>50.0</w:t>
            </w:r>
          </w:p>
        </w:tc>
        <w:tc>
          <w:tcPr>
            <w:vAlign w:val="center"/>
          </w:tcPr>
          <w:p>
            <w:r>
              <w:t>57.0</w:t>
            </w:r>
          </w:p>
        </w:tc>
        <w:tc>
          <w:tcPr>
            <w:vAlign w:val="center"/>
          </w:tcPr>
          <w:p>
            <w:r>
              <w:t>73.0</w:t>
            </w:r>
          </w:p>
        </w:tc>
      </w:tr>
      <w:tr>
        <w:tblPrEx>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2.0</w:t>
            </w:r>
          </w:p>
        </w:tc>
        <w:tc>
          <w:tcPr>
            <w:vAlign w:val="center"/>
          </w:tcPr>
          <w:p>
            <w:r>
              <w:t>1.0</w:t>
            </w:r>
          </w:p>
        </w:tc>
        <w:tc>
          <w:tcPr>
            <w:vAlign w:val="center"/>
          </w:tcPr>
          <w:p>
            <w:r>
              <w:t>4.0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低限:&gt;35,高要求:&gt;40</w:t>
            </w:r>
          </w:p>
        </w:tc>
      </w:tr>
      <w:tr>
        <w:tblPrEx>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客房之间隔墙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轻质隔墙板200厚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34.0</w:t>
            </w:r>
          </w:p>
        </w:tc>
        <w:tc>
          <w:tcPr>
            <w:vAlign w:val="center"/>
          </w:tcPr>
          <w:p>
            <w:r>
              <w:t>37.0</w:t>
            </w:r>
          </w:p>
        </w:tc>
        <w:tc>
          <w:tcPr>
            <w:vAlign w:val="center"/>
          </w:tcPr>
          <w:p>
            <w:r>
              <w:t>42.0</w:t>
            </w:r>
          </w:p>
        </w:tc>
        <w:tc>
          <w:tcPr>
            <w:vAlign w:val="center"/>
          </w:tcPr>
          <w:p>
            <w:r>
              <w:t>46.0</w:t>
            </w:r>
          </w:p>
        </w:tc>
        <w:tc>
          <w:tcPr>
            <w:vAlign w:val="center"/>
          </w:tcPr>
          <w:p>
            <w:r>
              <w:t>56.0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2.0</w:t>
            </w:r>
          </w:p>
        </w:tc>
        <w:tc>
          <w:tcPr>
            <w:vAlign w:val="center"/>
          </w:tcPr>
          <w:p>
            <w:r>
              <w:t>4.0</w:t>
            </w:r>
          </w:p>
        </w:tc>
        <w:tc>
          <w:tcPr>
            <w:vAlign w:val="center"/>
          </w:tcPr>
          <w:p>
            <w:r>
              <w:t>3.0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分户楼板</w:t>
            </w:r>
          </w:p>
        </w:tc>
        <w:tc>
          <w:tcPr>
            <w:shd w:val="clear" w:color="auto" w:fill="E6E6E6"/>
            <w:vAlign w:val="center"/>
          </w:tcPr>
          <w:p>
            <w:r>
              <w:t>构造做法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70厚混凝土板+20厚实贴木地面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72.1</w:t>
            </w:r>
          </w:p>
        </w:tc>
        <w:tc>
          <w:tcPr>
            <w:vAlign w:val="center"/>
          </w:tcPr>
          <w:p>
            <w:r>
              <w:t>74.4</w:t>
            </w:r>
          </w:p>
        </w:tc>
        <w:tc>
          <w:tcPr>
            <w:vAlign w:val="center"/>
          </w:tcPr>
          <w:p>
            <w:r>
              <w:t>76.5</w:t>
            </w:r>
          </w:p>
        </w:tc>
        <w:tc>
          <w:tcPr>
            <w:vAlign w:val="center"/>
          </w:tcPr>
          <w:p>
            <w:r>
              <w:t>71.3</w:t>
            </w:r>
          </w:p>
        </w:tc>
        <w:tc>
          <w:tcPr>
            <w:vAlign w:val="center"/>
          </w:tcPr>
          <w:p>
            <w: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0.0</w:t>
            </w:r>
          </w:p>
        </w:tc>
        <w:tc>
          <w:tcPr>
            <w:vAlign w:val="center"/>
          </w:tcPr>
          <w:p>
            <w:r>
              <w:t>0.0</w:t>
            </w:r>
          </w:p>
        </w:tc>
        <w:tc>
          <w:tcPr>
            <w:vAlign w:val="center"/>
          </w:tcPr>
          <w:p>
            <w:r>
              <w:t>9.5</w:t>
            </w:r>
          </w:p>
        </w:tc>
      </w:tr>
      <w:tr>
        <w:tblPrEx>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3"/>
        <w:rPr>
          <w:lang w:val="en-US"/>
        </w:rPr>
      </w:pPr>
    </w:p>
    <w:p>
      <w:pPr>
        <w:pStyle w:val="4"/>
      </w:pPr>
      <w:bookmarkStart w:id="46" w:name="_Toc19788"/>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客房门</w:t>
            </w:r>
          </w:p>
        </w:tc>
        <w:tc>
          <w:tcPr>
            <w:vAlign w:val="center"/>
          </w:tcPr>
          <w:p>
            <w:r>
              <w:t>构造名称</w:t>
            </w:r>
          </w:p>
        </w:tc>
        <w:tc>
          <w:tcPr>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pPr>
              <w:rPr>
                <w:rFonts w:hint="eastAsia" w:eastAsia="微软雅黑"/>
                <w:lang w:eastAsia="zh-CN"/>
              </w:rPr>
            </w:pPr>
            <w:r>
              <w:t>木门</w:t>
            </w:r>
          </w:p>
          <w:p>
            <w:r>
              <w:t>60厚木门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24.0</w:t>
            </w:r>
          </w:p>
        </w:tc>
        <w:tc>
          <w:tcPr>
            <w:vAlign w:val="center"/>
          </w:tcPr>
          <w:p>
            <w:r>
              <w:t>24.0</w:t>
            </w:r>
          </w:p>
        </w:tc>
        <w:tc>
          <w:tcPr>
            <w:vAlign w:val="center"/>
          </w:tcPr>
          <w:p>
            <w:r>
              <w:t>31.0</w:t>
            </w:r>
          </w:p>
        </w:tc>
        <w:tc>
          <w:tcPr>
            <w:vAlign w:val="center"/>
          </w:tcPr>
          <w:p>
            <w:r>
              <w:t>35.0</w:t>
            </w:r>
          </w:p>
        </w:tc>
        <w:tc>
          <w:tcPr>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3.0</w:t>
            </w:r>
          </w:p>
        </w:tc>
        <w:tc>
          <w:tcPr>
            <w:vAlign w:val="center"/>
          </w:tcPr>
          <w:p>
            <w:r>
              <w:t>3.0</w:t>
            </w:r>
          </w:p>
        </w:tc>
        <w:tc>
          <w:tcPr>
            <w:vAlign w:val="center"/>
          </w:tcPr>
          <w:p>
            <w:r>
              <w:t>2.0</w:t>
            </w:r>
          </w:p>
        </w:tc>
        <w:tc>
          <w:tcPr>
            <w:vAlign w:val="center"/>
          </w:tcPr>
          <w:p>
            <w:r>
              <w:t>0.0</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住宅建筑中其他外窗</w:t>
            </w:r>
          </w:p>
        </w:tc>
        <w:tc>
          <w:tcPr>
            <w:vAlign w:val="center"/>
          </w:tcPr>
          <w:p>
            <w:r>
              <w:t>构造名称</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pPr>
              <w:rPr>
                <w:rFonts w:hint="eastAsia" w:eastAsia="微软雅黑"/>
                <w:lang w:eastAsia="zh-CN"/>
              </w:rPr>
            </w:pPr>
            <w:r>
              <w:t>Low-E中空玻璃</w:t>
            </w:r>
          </w:p>
          <w:p>
            <w:r>
              <w:t>（6+12Ar+6）温屏Low-E中空玻璃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27.0</w:t>
            </w:r>
          </w:p>
        </w:tc>
        <w:tc>
          <w:tcPr>
            <w:vAlign w:val="center"/>
          </w:tcPr>
          <w:p>
            <w:r>
              <w:t>22.0</w:t>
            </w:r>
          </w:p>
        </w:tc>
        <w:tc>
          <w:tcPr>
            <w:vAlign w:val="center"/>
          </w:tcPr>
          <w:p>
            <w:r>
              <w:t>30.0</w:t>
            </w:r>
          </w:p>
        </w:tc>
        <w:tc>
          <w:tcPr>
            <w:vAlign w:val="center"/>
          </w:tcPr>
          <w:p>
            <w:r>
              <w:t>39.0</w:t>
            </w:r>
          </w:p>
        </w:tc>
        <w:tc>
          <w:tcPr>
            <w:vAlign w:val="center"/>
          </w:tcPr>
          <w:p>
            <w:r>
              <w:t>37.0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5.0</w:t>
            </w:r>
          </w:p>
        </w:tc>
        <w:tc>
          <w:tcPr>
            <w:vAlign w:val="center"/>
          </w:tcPr>
          <w:p>
            <w:r>
              <w:t>4.0</w:t>
            </w:r>
          </w:p>
        </w:tc>
        <w:tc>
          <w:tcPr>
            <w:vAlign w:val="center"/>
          </w:tcPr>
          <w:p>
            <w:r>
              <w:t>0.0</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客房外窗</w:t>
            </w:r>
          </w:p>
        </w:tc>
        <w:tc>
          <w:tcPr>
            <w:vAlign w:val="center"/>
          </w:tcPr>
          <w:p>
            <w:r>
              <w:t>构造名称</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pPr>
              <w:rPr>
                <w:rFonts w:hint="eastAsia" w:eastAsia="微软雅黑"/>
                <w:lang w:eastAsia="zh-CN"/>
              </w:rPr>
            </w:pPr>
            <w:r>
              <w:t>Low-E中空玻璃</w:t>
            </w:r>
          </w:p>
          <w:p>
            <w:r>
              <w:t>（6+12Ar+6）温屏Low-E中空玻璃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27.0</w:t>
            </w:r>
          </w:p>
        </w:tc>
        <w:tc>
          <w:tcPr>
            <w:vAlign w:val="center"/>
          </w:tcPr>
          <w:p>
            <w:r>
              <w:t>22.0</w:t>
            </w:r>
          </w:p>
        </w:tc>
        <w:tc>
          <w:tcPr>
            <w:vAlign w:val="center"/>
          </w:tcPr>
          <w:p>
            <w:r>
              <w:t>30.0</w:t>
            </w:r>
          </w:p>
        </w:tc>
        <w:tc>
          <w:tcPr>
            <w:vAlign w:val="center"/>
          </w:tcPr>
          <w:p>
            <w:r>
              <w:t>39.0</w:t>
            </w:r>
          </w:p>
        </w:tc>
        <w:tc>
          <w:tcPr>
            <w:vAlign w:val="center"/>
          </w:tcPr>
          <w:p>
            <w:r>
              <w:t>37.0</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5.0</w:t>
            </w:r>
          </w:p>
        </w:tc>
        <w:tc>
          <w:tcPr>
            <w:vAlign w:val="center"/>
          </w:tcPr>
          <w:p>
            <w:r>
              <w:t>4.0</w:t>
            </w:r>
          </w:p>
        </w:tc>
        <w:tc>
          <w:tcPr>
            <w:vAlign w:val="center"/>
          </w:tcPr>
          <w:p>
            <w:r>
              <w:t>0.0</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34</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-4.0</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低限:≥30,高要求:≥35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bl>
    <w:p>
      <w:pPr>
        <w:pStyle w:val="13"/>
        <w:ind w:firstLine="420" w:firstLineChars="0"/>
        <w:jc w:val="left"/>
        <w:rPr>
          <w:rFonts w:ascii="宋体" w:hAnsi="宋体" w:eastAsia="宋体"/>
          <w:kern w:val="0"/>
          <w:sz w:val="21"/>
          <w:szCs w:val="21"/>
        </w:rPr>
      </w:pPr>
      <w:bookmarkStart w:id="47" w:name="门窗空气声隔声量"/>
      <w:bookmarkEnd w:id="47"/>
    </w:p>
    <w:p>
      <w:pPr>
        <w:pStyle w:val="2"/>
        <w:ind w:left="669" w:hanging="669"/>
      </w:pPr>
      <w:bookmarkStart w:id="48" w:name="_Toc19190"/>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5"/>
        <w:gridCol w:w="1811"/>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sz w:val="18"/>
                <w:szCs w:val="18"/>
              </w:rPr>
              <w:t>构件</w:t>
            </w:r>
          </w:p>
        </w:tc>
        <w:tc>
          <w:tcPr>
            <w:gridSpan w:val="6"/>
            <w:shd w:val="clear" w:color="auto" w:fill="E6E6E6"/>
            <w:vAlign w:val="center"/>
          </w:tcPr>
          <w:p>
            <w:pPr>
              <w:jc w:val="center"/>
            </w:pPr>
            <w:r>
              <w:rPr>
                <w:sz w:val="18"/>
                <w:szCs w:val="18"/>
              </w:rP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卧室的分户楼板</w:t>
            </w:r>
          </w:p>
        </w:tc>
        <w:tc>
          <w:tcPr>
            <w:shd w:val="clear" w:color="auto" w:fill="E6E6E6"/>
            <w:vAlign w:val="center"/>
          </w:tcPr>
          <w:p>
            <w:r>
              <w:rPr>
                <w:sz w:val="18"/>
                <w:szCs w:val="18"/>
              </w:rPr>
              <w:t>构造做法</w:t>
            </w:r>
          </w:p>
        </w:tc>
        <w:tc>
          <w:tcPr>
            <w:gridSpan w:val="5"/>
            <w:vAlign w:val="center"/>
          </w:tcPr>
          <w:p>
            <w:r>
              <w:rPr>
                <w:sz w:val="18"/>
                <w:szCs w:val="18"/>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参照构造做法</w:t>
            </w:r>
          </w:p>
        </w:tc>
        <w:tc>
          <w:tcPr>
            <w:gridSpan w:val="5"/>
            <w:vAlign w:val="center"/>
          </w:tcPr>
          <w:p>
            <w:r>
              <w:rPr>
                <w:sz w:val="18"/>
                <w:szCs w:val="18"/>
              </w:rPr>
              <w:t>70厚混凝土板+20厚实贴木地面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倍频程中心频率</w:t>
            </w:r>
          </w:p>
        </w:tc>
        <w:tc>
          <w:tcPr>
            <w:shd w:val="clear" w:color="auto" w:fill="E6E6E6"/>
            <w:vAlign w:val="center"/>
          </w:tcPr>
          <w:p>
            <w:r>
              <w:rPr>
                <w:sz w:val="18"/>
                <w:szCs w:val="18"/>
              </w:rPr>
              <w:t>125Hz</w:t>
            </w:r>
          </w:p>
        </w:tc>
        <w:tc>
          <w:tcPr>
            <w:shd w:val="clear" w:color="auto" w:fill="E6E6E6"/>
            <w:vAlign w:val="center"/>
          </w:tcPr>
          <w:p>
            <w:r>
              <w:rPr>
                <w:sz w:val="18"/>
                <w:szCs w:val="18"/>
              </w:rPr>
              <w:t>250Hz</w:t>
            </w:r>
          </w:p>
        </w:tc>
        <w:tc>
          <w:tcPr>
            <w:shd w:val="clear" w:color="auto" w:fill="E6E6E6"/>
            <w:vAlign w:val="center"/>
          </w:tcPr>
          <w:p>
            <w:r>
              <w:rPr>
                <w:sz w:val="18"/>
                <w:szCs w:val="18"/>
              </w:rPr>
              <w:t>500Hz</w:t>
            </w:r>
          </w:p>
        </w:tc>
        <w:tc>
          <w:tcPr>
            <w:shd w:val="clear" w:color="auto" w:fill="E6E6E6"/>
            <w:vAlign w:val="center"/>
          </w:tcPr>
          <w:p>
            <w:r>
              <w:rPr>
                <w:sz w:val="18"/>
                <w:szCs w:val="18"/>
              </w:rPr>
              <w:t>1000Hz</w:t>
            </w:r>
          </w:p>
        </w:tc>
        <w:tc>
          <w:tcPr>
            <w:shd w:val="clear" w:color="auto" w:fill="E6E6E6"/>
            <w:vAlign w:val="center"/>
          </w:tcPr>
          <w:p>
            <w:r>
              <w:rPr>
                <w:sz w:val="18"/>
                <w:szCs w:val="18"/>
              </w:rP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分频隔声量</w:t>
            </w:r>
          </w:p>
        </w:tc>
        <w:tc>
          <w:tcPr>
            <w:vAlign w:val="center"/>
          </w:tcPr>
          <w:p>
            <w:r>
              <w:rPr>
                <w:sz w:val="18"/>
                <w:szCs w:val="18"/>
              </w:rPr>
              <w:t>72.1</w:t>
            </w:r>
          </w:p>
        </w:tc>
        <w:tc>
          <w:tcPr>
            <w:vAlign w:val="center"/>
          </w:tcPr>
          <w:p>
            <w:r>
              <w:rPr>
                <w:sz w:val="18"/>
                <w:szCs w:val="18"/>
              </w:rPr>
              <w:t>74.4</w:t>
            </w:r>
          </w:p>
        </w:tc>
        <w:tc>
          <w:tcPr>
            <w:vAlign w:val="center"/>
          </w:tcPr>
          <w:p>
            <w:r>
              <w:rPr>
                <w:sz w:val="18"/>
                <w:szCs w:val="18"/>
              </w:rPr>
              <w:t>76.5</w:t>
            </w:r>
          </w:p>
        </w:tc>
        <w:tc>
          <w:tcPr>
            <w:vAlign w:val="center"/>
          </w:tcPr>
          <w:p>
            <w:r>
              <w:rPr>
                <w:sz w:val="18"/>
                <w:szCs w:val="18"/>
              </w:rPr>
              <w:t>71.3</w:t>
            </w:r>
          </w:p>
        </w:tc>
        <w:tc>
          <w:tcPr>
            <w:vAlign w:val="center"/>
          </w:tcPr>
          <w:p>
            <w:r>
              <w:rPr>
                <w:sz w:val="18"/>
                <w:szCs w:val="18"/>
              </w:rP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不利偏差</w:t>
            </w:r>
          </w:p>
        </w:tc>
        <w:tc>
          <w:tcPr>
            <w:vAlign w:val="center"/>
          </w:tcPr>
          <w:p>
            <w:r>
              <w:rPr>
                <w:sz w:val="18"/>
                <w:szCs w:val="18"/>
              </w:rPr>
              <w:t>0.0</w:t>
            </w:r>
          </w:p>
        </w:tc>
        <w:tc>
          <w:tcPr>
            <w:vAlign w:val="center"/>
          </w:tcPr>
          <w:p>
            <w:r>
              <w:rPr>
                <w:sz w:val="18"/>
                <w:szCs w:val="18"/>
              </w:rPr>
              <w:t>0.0</w:t>
            </w:r>
          </w:p>
        </w:tc>
        <w:tc>
          <w:tcPr>
            <w:vAlign w:val="center"/>
          </w:tcPr>
          <w:p>
            <w:r>
              <w:rPr>
                <w:sz w:val="18"/>
                <w:szCs w:val="18"/>
              </w:rPr>
              <w:t>2.5</w:t>
            </w:r>
          </w:p>
        </w:tc>
        <w:tc>
          <w:tcPr>
            <w:vAlign w:val="center"/>
          </w:tcPr>
          <w:p>
            <w:r>
              <w:rPr>
                <w:sz w:val="18"/>
                <w:szCs w:val="18"/>
              </w:rPr>
              <w:t>0.3</w:t>
            </w:r>
          </w:p>
        </w:tc>
        <w:tc>
          <w:tcPr>
            <w:vAlign w:val="center"/>
          </w:tcPr>
          <w:p>
            <w:r>
              <w:rPr>
                <w:sz w:val="18"/>
                <w:szCs w:val="18"/>
              </w:rP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数据来源</w:t>
            </w:r>
          </w:p>
        </w:tc>
        <w:tc>
          <w:tcPr>
            <w:gridSpan w:val="5"/>
            <w:vAlign w:val="center"/>
          </w:tcPr>
          <w:p>
            <w:r>
              <w:rPr>
                <w:sz w:val="18"/>
                <w:szCs w:val="18"/>
              </w:rP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计权规范化撞击声压级</w:t>
            </w:r>
          </w:p>
        </w:tc>
        <w:tc>
          <w:tcPr>
            <w:gridSpan w:val="5"/>
            <w:vAlign w:val="center"/>
          </w:tcPr>
          <w:p>
            <w:r>
              <w:rPr>
                <w:sz w:val="18"/>
                <w:szCs w:val="18"/>
              </w:rP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标准限值</w:t>
            </w:r>
          </w:p>
        </w:tc>
        <w:tc>
          <w:tcPr>
            <w:gridSpan w:val="5"/>
            <w:vAlign w:val="center"/>
          </w:tcPr>
          <w:p>
            <w:r>
              <w:rPr>
                <w:sz w:val="18"/>
                <w:szCs w:val="18"/>
              </w:rP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结论</w:t>
            </w:r>
          </w:p>
        </w:tc>
        <w:tc>
          <w:tcPr>
            <w:gridSpan w:val="5"/>
            <w:vAlign w:val="center"/>
          </w:tcPr>
          <w:p>
            <w:r>
              <w:rPr>
                <w:sz w:val="18"/>
                <w:szCs w:val="18"/>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起居室的分户楼板</w:t>
            </w:r>
          </w:p>
        </w:tc>
        <w:tc>
          <w:tcPr>
            <w:shd w:val="clear" w:color="auto" w:fill="E6E6E6"/>
            <w:vAlign w:val="center"/>
          </w:tcPr>
          <w:p>
            <w:r>
              <w:rPr>
                <w:sz w:val="18"/>
                <w:szCs w:val="18"/>
              </w:rPr>
              <w:t>构造做法</w:t>
            </w:r>
          </w:p>
        </w:tc>
        <w:tc>
          <w:tcPr>
            <w:gridSpan w:val="5"/>
            <w:vAlign w:val="center"/>
          </w:tcPr>
          <w:p>
            <w:r>
              <w:rPr>
                <w:sz w:val="18"/>
                <w:szCs w:val="18"/>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参照构造做法</w:t>
            </w:r>
          </w:p>
        </w:tc>
        <w:tc>
          <w:tcPr>
            <w:gridSpan w:val="5"/>
            <w:vAlign w:val="center"/>
          </w:tcPr>
          <w:p>
            <w:r>
              <w:rPr>
                <w:sz w:val="18"/>
                <w:szCs w:val="18"/>
              </w:rPr>
              <w:t>70厚混凝土板+20厚实贴木地面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倍频程中心频率</w:t>
            </w:r>
          </w:p>
        </w:tc>
        <w:tc>
          <w:tcPr>
            <w:shd w:val="clear" w:color="auto" w:fill="E6E6E6"/>
            <w:vAlign w:val="center"/>
          </w:tcPr>
          <w:p>
            <w:r>
              <w:rPr>
                <w:sz w:val="18"/>
                <w:szCs w:val="18"/>
              </w:rPr>
              <w:t>125Hz</w:t>
            </w:r>
          </w:p>
        </w:tc>
        <w:tc>
          <w:tcPr>
            <w:shd w:val="clear" w:color="auto" w:fill="E6E6E6"/>
            <w:vAlign w:val="center"/>
          </w:tcPr>
          <w:p>
            <w:r>
              <w:rPr>
                <w:sz w:val="18"/>
                <w:szCs w:val="18"/>
              </w:rPr>
              <w:t>250Hz</w:t>
            </w:r>
          </w:p>
        </w:tc>
        <w:tc>
          <w:tcPr>
            <w:shd w:val="clear" w:color="auto" w:fill="E6E6E6"/>
            <w:vAlign w:val="center"/>
          </w:tcPr>
          <w:p>
            <w:r>
              <w:rPr>
                <w:sz w:val="18"/>
                <w:szCs w:val="18"/>
              </w:rPr>
              <w:t>500Hz</w:t>
            </w:r>
          </w:p>
        </w:tc>
        <w:tc>
          <w:tcPr>
            <w:shd w:val="clear" w:color="auto" w:fill="E6E6E6"/>
            <w:vAlign w:val="center"/>
          </w:tcPr>
          <w:p>
            <w:r>
              <w:rPr>
                <w:sz w:val="18"/>
                <w:szCs w:val="18"/>
              </w:rPr>
              <w:t>1000Hz</w:t>
            </w:r>
          </w:p>
        </w:tc>
        <w:tc>
          <w:tcPr>
            <w:shd w:val="clear" w:color="auto" w:fill="E6E6E6"/>
            <w:vAlign w:val="center"/>
          </w:tcPr>
          <w:p>
            <w:r>
              <w:rPr>
                <w:sz w:val="18"/>
                <w:szCs w:val="18"/>
              </w:rP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分频隔声量</w:t>
            </w:r>
          </w:p>
        </w:tc>
        <w:tc>
          <w:tcPr>
            <w:vAlign w:val="center"/>
          </w:tcPr>
          <w:p>
            <w:r>
              <w:rPr>
                <w:sz w:val="18"/>
                <w:szCs w:val="18"/>
              </w:rPr>
              <w:t>72.1</w:t>
            </w:r>
          </w:p>
        </w:tc>
        <w:tc>
          <w:tcPr>
            <w:vAlign w:val="center"/>
          </w:tcPr>
          <w:p>
            <w:r>
              <w:rPr>
                <w:sz w:val="18"/>
                <w:szCs w:val="18"/>
              </w:rPr>
              <w:t>74.4</w:t>
            </w:r>
          </w:p>
        </w:tc>
        <w:tc>
          <w:tcPr>
            <w:vAlign w:val="center"/>
          </w:tcPr>
          <w:p>
            <w:r>
              <w:rPr>
                <w:sz w:val="18"/>
                <w:szCs w:val="18"/>
              </w:rPr>
              <w:t>76.5</w:t>
            </w:r>
          </w:p>
        </w:tc>
        <w:tc>
          <w:tcPr>
            <w:vAlign w:val="center"/>
          </w:tcPr>
          <w:p>
            <w:r>
              <w:rPr>
                <w:sz w:val="18"/>
                <w:szCs w:val="18"/>
              </w:rPr>
              <w:t>71.3</w:t>
            </w:r>
          </w:p>
        </w:tc>
        <w:tc>
          <w:tcPr>
            <w:vAlign w:val="center"/>
          </w:tcPr>
          <w:p>
            <w:r>
              <w:rPr>
                <w:sz w:val="18"/>
                <w:szCs w:val="18"/>
              </w:rP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不利偏差</w:t>
            </w:r>
          </w:p>
        </w:tc>
        <w:tc>
          <w:tcPr>
            <w:vAlign w:val="center"/>
          </w:tcPr>
          <w:p>
            <w:r>
              <w:rPr>
                <w:sz w:val="18"/>
                <w:szCs w:val="18"/>
              </w:rPr>
              <w:t>0.0</w:t>
            </w:r>
          </w:p>
        </w:tc>
        <w:tc>
          <w:tcPr>
            <w:vAlign w:val="center"/>
          </w:tcPr>
          <w:p>
            <w:r>
              <w:rPr>
                <w:sz w:val="18"/>
                <w:szCs w:val="18"/>
              </w:rPr>
              <w:t>0.0</w:t>
            </w:r>
          </w:p>
        </w:tc>
        <w:tc>
          <w:tcPr>
            <w:vAlign w:val="center"/>
          </w:tcPr>
          <w:p>
            <w:r>
              <w:rPr>
                <w:sz w:val="18"/>
                <w:szCs w:val="18"/>
              </w:rPr>
              <w:t>2.5</w:t>
            </w:r>
          </w:p>
        </w:tc>
        <w:tc>
          <w:tcPr>
            <w:vAlign w:val="center"/>
          </w:tcPr>
          <w:p>
            <w:r>
              <w:rPr>
                <w:sz w:val="18"/>
                <w:szCs w:val="18"/>
              </w:rPr>
              <w:t>0.3</w:t>
            </w:r>
          </w:p>
        </w:tc>
        <w:tc>
          <w:tcPr>
            <w:vAlign w:val="center"/>
          </w:tcPr>
          <w:p>
            <w:r>
              <w:rPr>
                <w:sz w:val="18"/>
                <w:szCs w:val="18"/>
              </w:rP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数据来源</w:t>
            </w:r>
          </w:p>
        </w:tc>
        <w:tc>
          <w:tcPr>
            <w:gridSpan w:val="5"/>
            <w:vAlign w:val="center"/>
          </w:tcPr>
          <w:p>
            <w:r>
              <w:rPr>
                <w:sz w:val="18"/>
                <w:szCs w:val="18"/>
              </w:rP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计权规范化撞击声压级</w:t>
            </w:r>
          </w:p>
        </w:tc>
        <w:tc>
          <w:tcPr>
            <w:gridSpan w:val="5"/>
            <w:vAlign w:val="center"/>
          </w:tcPr>
          <w:p>
            <w:r>
              <w:rPr>
                <w:sz w:val="18"/>
                <w:szCs w:val="18"/>
              </w:rP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标准限值</w:t>
            </w:r>
          </w:p>
        </w:tc>
        <w:tc>
          <w:tcPr>
            <w:gridSpan w:val="5"/>
            <w:vAlign w:val="center"/>
          </w:tcPr>
          <w:p>
            <w:r>
              <w:rPr>
                <w:sz w:val="18"/>
                <w:szCs w:val="18"/>
              </w:rP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结论</w:t>
            </w:r>
          </w:p>
        </w:tc>
        <w:tc>
          <w:tcPr>
            <w:gridSpan w:val="5"/>
            <w:vAlign w:val="center"/>
          </w:tcPr>
          <w:p>
            <w:r>
              <w:rPr>
                <w:sz w:val="18"/>
                <w:szCs w:val="18"/>
              </w:rPr>
              <w:t>满足平均要求</w:t>
            </w:r>
          </w:p>
        </w:tc>
      </w:tr>
    </w:tbl>
    <w:p>
      <w:pPr>
        <w:rPr>
          <w:lang w:val="en-US"/>
        </w:rPr>
      </w:pPr>
      <w:bookmarkStart w:id="49" w:name="撞击声隔声"/>
      <w:bookmarkEnd w:id="49"/>
    </w:p>
    <w:bookmarkEnd w:id="25"/>
    <w:p>
      <w:pPr>
        <w:pStyle w:val="2"/>
        <w:ind w:left="669" w:hanging="669"/>
        <w:rPr>
          <w:kern w:val="2"/>
        </w:rPr>
      </w:pPr>
      <w:bookmarkStart w:id="50" w:name="_Toc14772"/>
      <w:r>
        <w:rPr>
          <w:rFonts w:hint="eastAsia"/>
          <w:kern w:val="2"/>
        </w:rPr>
        <w:t>结论</w:t>
      </w:r>
      <w:bookmarkEnd w:id="50"/>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2"/>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起居室外墙</w:t>
            </w:r>
          </w:p>
        </w:tc>
        <w:tc>
          <w:tcPr>
            <w:vAlign w:val="center"/>
          </w:tcPr>
          <w:p>
            <w:r>
              <w:rPr>
                <w:b/>
              </w:rPr>
              <w:t>48</w:t>
            </w:r>
          </w:p>
        </w:tc>
        <w:tc>
          <w:tcPr>
            <w:vAlign w:val="center"/>
          </w:tcPr>
          <w:p>
            <w:r>
              <w:t>低限:≥45,高要求:≥50</w:t>
            </w:r>
          </w:p>
        </w:tc>
        <w:tc>
          <w:tcPr>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卧室外墙</w:t>
            </w:r>
          </w:p>
        </w:tc>
        <w:tc>
          <w:tcPr>
            <w:vAlign w:val="center"/>
          </w:tcPr>
          <w:p>
            <w:r>
              <w:rPr>
                <w:b/>
              </w:rPr>
              <w:t>48</w:t>
            </w:r>
          </w:p>
        </w:tc>
        <w:tc>
          <w:tcPr>
            <w:vAlign w:val="center"/>
          </w:tcPr>
          <w:p>
            <w:r>
              <w:t>低限:≥45,高要求:≥50</w:t>
            </w:r>
          </w:p>
        </w:tc>
        <w:tc>
          <w:tcPr>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卧室墙</w:t>
            </w:r>
          </w:p>
        </w:tc>
        <w:tc>
          <w:tcPr>
            <w:vAlign w:val="center"/>
          </w:tcPr>
          <w:p>
            <w:r>
              <w:rPr>
                <w:b/>
              </w:rPr>
              <w:t>45</w:t>
            </w:r>
          </w:p>
        </w:tc>
        <w:tc>
          <w:tcPr>
            <w:vAlign w:val="center"/>
          </w:tcPr>
          <w:p>
            <w:r>
              <w:t>低限:≥35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客房外墙</w:t>
            </w:r>
          </w:p>
        </w:tc>
        <w:tc>
          <w:tcPr>
            <w:vAlign w:val="center"/>
          </w:tcPr>
          <w:p>
            <w:r>
              <w:rPr>
                <w:b/>
                <w:color w:val="FF0000"/>
              </w:rPr>
              <w:t>19</w:t>
            </w:r>
          </w:p>
        </w:tc>
        <w:tc>
          <w:tcPr>
            <w:vAlign w:val="center"/>
          </w:tcPr>
          <w:p>
            <w:r>
              <w:t>低限:&gt;35,高要求:&gt;40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客房之间隔墙</w:t>
            </w:r>
          </w:p>
        </w:tc>
        <w:tc>
          <w:tcPr>
            <w:vAlign w:val="center"/>
          </w:tcPr>
          <w:p>
            <w:r>
              <w:rPr>
                <w:b/>
                <w:color w:val="FF0000"/>
              </w:rPr>
              <w:t>45</w:t>
            </w:r>
          </w:p>
        </w:tc>
        <w:tc>
          <w:tcPr>
            <w:vAlign w:val="center"/>
          </w:tcPr>
          <w:p>
            <w:r>
              <w:t>低限:&gt;45,高要求:&gt;50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分户楼板</w:t>
            </w:r>
          </w:p>
        </w:tc>
        <w:tc>
          <w:tcPr>
            <w:vAlign w:val="center"/>
          </w:tcPr>
          <w:p>
            <w:r>
              <w:rPr>
                <w:b/>
              </w:rPr>
              <w:t>66</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客房门</w:t>
            </w:r>
          </w:p>
        </w:tc>
        <w:tc>
          <w:tcPr>
            <w:vAlign w:val="center"/>
          </w:tcPr>
          <w:p>
            <w:r>
              <w:rPr>
                <w:b/>
              </w:rPr>
              <w:t>33</w:t>
            </w:r>
          </w:p>
        </w:tc>
        <w:tc>
          <w:tcPr>
            <w:vAlign w:val="center"/>
          </w:tcPr>
          <w:p>
            <w:r>
              <w:t>低限:≥25,高要求:≥30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住宅建筑中其他外窗</w:t>
            </w:r>
          </w:p>
        </w:tc>
        <w:tc>
          <w:tcPr>
            <w:vAlign w:val="center"/>
          </w:tcPr>
          <w:p>
            <w:r>
              <w:rPr>
                <w:b/>
              </w:rPr>
              <w:t>30</w:t>
            </w:r>
          </w:p>
        </w:tc>
        <w:tc>
          <w:tcPr>
            <w:vAlign w:val="center"/>
          </w:tcPr>
          <w:p>
            <w:r>
              <w:t>低限:≥25,高要求:≥30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客房外窗</w:t>
            </w:r>
          </w:p>
        </w:tc>
        <w:tc>
          <w:tcPr>
            <w:vAlign w:val="center"/>
          </w:tcPr>
          <w:p>
            <w:r>
              <w:rPr>
                <w:b/>
              </w:rPr>
              <w:t>30</w:t>
            </w:r>
          </w:p>
        </w:tc>
        <w:tc>
          <w:tcPr>
            <w:vAlign w:val="center"/>
          </w:tcPr>
          <w:p>
            <w:r>
              <w:t>低限:≥30,高要求:≥35</w:t>
            </w:r>
          </w:p>
        </w:tc>
        <w:tc>
          <w:tcPr>
            <w:vAlign w:val="center"/>
          </w:tcPr>
          <w:p>
            <w:r>
              <w:rPr>
                <w:b/>
              </w:rPr>
              <w:t>满足低限要求</w:t>
            </w:r>
          </w:p>
        </w:tc>
      </w:tr>
    </w:tbl>
    <w:p>
      <w:bookmarkStart w:id="51" w:name="构件隔声性能统计"/>
      <w:bookmarkEnd w:id="51"/>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2"/>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计权规范化撞击声压级</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卧室的分户楼板</w:t>
            </w:r>
          </w:p>
        </w:tc>
        <w:tc>
          <w:tcPr>
            <w:vAlign w:val="center"/>
          </w:tcPr>
          <w:p>
            <w:r>
              <w:rPr>
                <w:b/>
              </w:rPr>
              <w:t>69</w:t>
            </w:r>
          </w:p>
        </w:tc>
        <w:tc>
          <w:tcPr>
            <w:vAlign w:val="center"/>
          </w:tcPr>
          <w:p>
            <w:r>
              <w:t>低限:&lt;75,高要求:&lt;65</w:t>
            </w:r>
          </w:p>
        </w:tc>
        <w:tc>
          <w:tcPr>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起居室的分户楼板</w:t>
            </w:r>
          </w:p>
        </w:tc>
        <w:tc>
          <w:tcPr>
            <w:vAlign w:val="center"/>
          </w:tcPr>
          <w:p>
            <w:r>
              <w:rPr>
                <w:b/>
              </w:rPr>
              <w:t>69</w:t>
            </w:r>
          </w:p>
        </w:tc>
        <w:tc>
          <w:tcPr>
            <w:vAlign w:val="center"/>
          </w:tcPr>
          <w:p>
            <w:r>
              <w:t>低限:&lt;75,高要求:&lt;65</w:t>
            </w:r>
          </w:p>
        </w:tc>
        <w:tc>
          <w:tcPr>
            <w:vAlign w:val="center"/>
          </w:tcPr>
          <w:p>
            <w:r>
              <w:rPr>
                <w:b/>
              </w:rPr>
              <w:t>满足平均要求</w:t>
            </w:r>
          </w:p>
        </w:tc>
      </w:tr>
    </w:tbl>
    <w:p>
      <w:bookmarkStart w:id="52" w:name="撞击声隔声性能统计"/>
      <w:bookmarkEnd w:id="52"/>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rPr>
            </w:pPr>
            <w:r>
              <w:rPr>
                <w:bCs/>
              </w:rPr>
              <w:t>检查项</w:t>
            </w:r>
          </w:p>
        </w:tc>
        <w:tc>
          <w:tcPr>
            <w:tcW w:w="5897" w:type="dxa"/>
            <w:shd w:val="clear" w:color="auto" w:fill="E6E6E6"/>
          </w:tcPr>
          <w:p>
            <w:pPr>
              <w:jc w:val="center"/>
              <w:rPr>
                <w:bCs/>
              </w:rPr>
            </w:pPr>
            <w:r>
              <w:rPr>
                <w:rFonts w:hint="eastAsia"/>
                <w:bCs/>
              </w:rPr>
              <w:t>评价</w:t>
            </w:r>
            <w:r>
              <w:rPr>
                <w:bCs/>
              </w:rPr>
              <w:t>依据</w:t>
            </w:r>
          </w:p>
        </w:tc>
        <w:tc>
          <w:tcPr>
            <w:tcW w:w="1381" w:type="dxa"/>
            <w:shd w:val="clear" w:color="auto" w:fill="E6E6E6"/>
            <w:vAlign w:val="center"/>
          </w:tcPr>
          <w:p>
            <w:pPr>
              <w:jc w:val="center"/>
              <w:rPr>
                <w:bCs/>
              </w:rPr>
            </w:pPr>
            <w:r>
              <w:rPr>
                <w:bCs/>
              </w:rPr>
              <w:t>结论</w:t>
            </w:r>
          </w:p>
        </w:tc>
        <w:tc>
          <w:tcPr>
            <w:tcW w:w="737" w:type="dxa"/>
            <w:shd w:val="clear" w:color="auto" w:fill="E6E6E6"/>
            <w:vAlign w:val="center"/>
          </w:tcPr>
          <w:p>
            <w:pPr>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3" w:name="空气声控制项结论"/>
            <w:r>
              <w:rPr>
                <w:rFonts w:hint="eastAsia"/>
                <w:b/>
                <w:bCs/>
                <w:color w:val="FF0000"/>
                <w:lang w:val="en-US"/>
              </w:rPr>
              <w:t>不满足</w:t>
            </w:r>
            <w:bookmarkEnd w:id="53"/>
          </w:p>
        </w:tc>
        <w:tc>
          <w:tcPr>
            <w:tcW w:w="737" w:type="dxa"/>
            <w:vAlign w:val="center"/>
          </w:tcPr>
          <w:p>
            <w:pPr>
              <w:jc w:val="center"/>
              <w:rPr>
                <w:b/>
                <w:bCs/>
                <w:lang w:val="en-US"/>
              </w:rPr>
            </w:pP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b/>
                <w:bCs/>
                <w:lang w:val="en-US"/>
              </w:rPr>
            </w:pPr>
            <w:bookmarkStart w:id="54" w:name="空气声评分项结论"/>
            <w:r>
              <w:rPr>
                <w:rFonts w:hint="eastAsia"/>
                <w:b/>
                <w:bCs/>
                <w:color w:val="FF0000"/>
                <w:lang w:val="en-US"/>
              </w:rPr>
              <w:t>不满足</w:t>
            </w:r>
            <w:bookmarkEnd w:id="54"/>
          </w:p>
        </w:tc>
        <w:tc>
          <w:tcPr>
            <w:tcW w:w="737" w:type="dxa"/>
            <w:vAlign w:val="center"/>
          </w:tcPr>
          <w:p>
            <w:pPr>
              <w:jc w:val="center"/>
              <w:rPr>
                <w:b/>
                <w:bCs/>
                <w:lang w:val="en-US"/>
              </w:rPr>
            </w:pPr>
            <w:bookmarkStart w:id="55" w:name="空气声得分"/>
            <w:r>
              <w:rPr>
                <w:rFonts w:hint="eastAsia"/>
                <w:b/>
                <w:bCs/>
                <w:lang w:val="en-US"/>
              </w:rPr>
              <w:t>0</w:t>
            </w:r>
            <w:bookmarkEnd w:id="55"/>
            <w:r>
              <w:rPr>
                <w:rFonts w:hint="eastAsia"/>
                <w:b/>
                <w:bCs/>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6" w:name="撞击声控制项结论"/>
            <w:r>
              <w:rPr>
                <w:rFonts w:hint="eastAsia"/>
                <w:b/>
                <w:bCs/>
                <w:lang w:val="en-US"/>
              </w:rPr>
              <w:t>满足</w:t>
            </w:r>
            <w:bookmarkEnd w:id="56"/>
          </w:p>
        </w:tc>
        <w:tc>
          <w:tcPr>
            <w:tcW w:w="737" w:type="dxa"/>
            <w:vAlign w:val="center"/>
          </w:tcPr>
          <w:p>
            <w:pPr>
              <w:jc w:val="center"/>
              <w:rPr>
                <w:b/>
                <w:bCs/>
                <w:lang w:val="en-US"/>
              </w:rPr>
            </w:pPr>
            <w:r>
              <w:rPr>
                <w:rFonts w:hint="eastAsia"/>
                <w:b/>
                <w:bCs/>
                <w:lang w:val="en-US"/>
              </w:rPr>
              <w:t>-</w:t>
            </w: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b/>
                <w:bCs/>
                <w:lang w:val="en-US"/>
              </w:rPr>
            </w:pPr>
            <w:bookmarkStart w:id="57" w:name="撞击声评分项结论"/>
            <w:r>
              <w:rPr>
                <w:rFonts w:hint="eastAsia"/>
                <w:b/>
                <w:bCs/>
                <w:lang w:val="en-US"/>
              </w:rPr>
              <w:t>满足平均要求</w:t>
            </w:r>
            <w:bookmarkEnd w:id="57"/>
          </w:p>
        </w:tc>
        <w:tc>
          <w:tcPr>
            <w:tcW w:w="737" w:type="dxa"/>
            <w:vAlign w:val="center"/>
          </w:tcPr>
          <w:p>
            <w:pPr>
              <w:jc w:val="center"/>
              <w:rPr>
                <w:b/>
                <w:bCs/>
                <w:lang w:val="en-US"/>
              </w:rPr>
            </w:pPr>
            <w:bookmarkStart w:id="58" w:name="撞击声得分"/>
            <w:r>
              <w:rPr>
                <w:rFonts w:hint="eastAsia"/>
                <w:b/>
                <w:bCs/>
                <w:lang w:val="en-US"/>
              </w:rPr>
              <w:t>3</w:t>
            </w:r>
            <w:bookmarkEnd w:id="58"/>
            <w:r>
              <w:rPr>
                <w:rFonts w:hint="eastAsia"/>
                <w:b/>
                <w:bCs/>
                <w:lang w:val="en-US"/>
              </w:rPr>
              <w:t>分</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panose1 w:val="02000500000000000000"/>
    <w:charset w:val="86"/>
    <w:family w:val="auto"/>
    <w:pitch w:val="default"/>
    <w:sig w:usb0="00000001" w:usb1="08010000" w:usb2="0000000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wNWIzYTZiNjljZjAxMWZmYTRjOGExNzgwZThmY2MifQ=="/>
  </w:docVars>
  <w:rsids>
    <w:rsidRoot w:val="486E0AA9"/>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 w:val="03206091"/>
    <w:rsid w:val="486E0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autoRedefine/>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autoRedefine/>
    <w:qFormat/>
    <w:uiPriority w:val="0"/>
    <w:pPr>
      <w:tabs>
        <w:tab w:val="center" w:pos="4153"/>
        <w:tab w:val="right" w:pos="8306"/>
      </w:tabs>
    </w:pPr>
  </w:style>
  <w:style w:type="paragraph" w:styleId="17">
    <w:name w:val="header"/>
    <w:basedOn w:val="1"/>
    <w:autoRedefine/>
    <w:qFormat/>
    <w:uiPriority w:val="0"/>
    <w:pPr>
      <w:pBdr>
        <w:bottom w:val="single" w:color="auto" w:sz="6" w:space="1"/>
      </w:pBdr>
      <w:tabs>
        <w:tab w:val="center" w:pos="4153"/>
        <w:tab w:val="right" w:pos="8306"/>
      </w:tabs>
      <w:jc w:val="center"/>
    </w:pPr>
  </w:style>
  <w:style w:type="paragraph" w:styleId="18">
    <w:name w:val="toc 1"/>
    <w:basedOn w:val="1"/>
    <w:next w:val="1"/>
    <w:autoRedefine/>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autoRedefine/>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semiHidden/>
    <w:qFormat/>
    <w:uiPriority w:val="0"/>
    <w:pPr>
      <w:tabs>
        <w:tab w:val="left" w:pos="540"/>
        <w:tab w:val="right" w:leader="dot" w:pos="9360"/>
      </w:tabs>
      <w:ind w:left="200"/>
    </w:pPr>
    <w:rPr>
      <w:kern w:val="2"/>
      <w:szCs w:val="24"/>
      <w:lang w:val="en-US"/>
    </w:rPr>
  </w:style>
  <w:style w:type="table" w:styleId="22">
    <w:name w:val="Table Grid"/>
    <w:basedOn w:val="21"/>
    <w:autoRedefine/>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uiPriority w:val="0"/>
  </w:style>
  <w:style w:type="character" w:styleId="25">
    <w:name w:val="Hyperlink"/>
    <w:qFormat/>
    <w:uiPriority w:val="0"/>
    <w:rPr>
      <w:color w:val="0000FF"/>
      <w:u w:val="single"/>
    </w:rPr>
  </w:style>
  <w:style w:type="character" w:customStyle="1" w:styleId="26">
    <w:name w:val="正文文本缩进 字符"/>
    <w:link w:val="13"/>
    <w:autoRedefine/>
    <w:qFormat/>
    <w:uiPriority w:val="0"/>
    <w:rPr>
      <w:rFonts w:ascii="微软雅黑" w:hAnsi="微软雅黑" w:eastAsia="微软雅黑"/>
      <w:kern w:val="2"/>
      <w:sz w:val="24"/>
      <w:szCs w:val="24"/>
    </w:rPr>
  </w:style>
  <w:style w:type="character" w:customStyle="1" w:styleId="27">
    <w:name w:val="正文文本缩进 Char1"/>
    <w:autoRedefine/>
    <w:qFormat/>
    <w:uiPriority w:val="0"/>
    <w:rPr>
      <w:sz w:val="18"/>
      <w:lang w:val="en-GB"/>
    </w:rPr>
  </w:style>
  <w:style w:type="paragraph" w:styleId="28">
    <w:name w:val="List Paragraph"/>
    <w:basedOn w:val="1"/>
    <w:autoRedefine/>
    <w:qFormat/>
    <w:uiPriority w:val="34"/>
    <w:pPr>
      <w:ind w:firstLine="420" w:firstLineChars="200"/>
    </w:pPr>
  </w:style>
  <w:style w:type="character" w:customStyle="1" w:styleId="29">
    <w:name w:val="正文文本缩进 Char"/>
    <w:autoRedefine/>
    <w:qFormat/>
    <w:uiPriority w:val="0"/>
    <w:rPr>
      <w:rFonts w:ascii="微软雅黑" w:hAnsi="微软雅黑" w:eastAsia="微软雅黑"/>
      <w:kern w:val="2"/>
      <w:sz w:val="24"/>
      <w:szCs w:val="24"/>
    </w:rPr>
  </w:style>
  <w:style w:type="character" w:customStyle="1" w:styleId="30">
    <w:name w:val="标题 2 字符"/>
    <w:link w:val="4"/>
    <w:autoRedefine/>
    <w:qFormat/>
    <w:uiPriority w:val="0"/>
    <w:rPr>
      <w:rFonts w:ascii="微软雅黑" w:hAnsi="微软雅黑" w:eastAsia="微软雅黑" w:cs="微软雅黑"/>
      <w:b/>
      <w:bCs/>
      <w:iCs/>
      <w:color w:val="000000"/>
      <w:sz w:val="24"/>
      <w:szCs w:val="24"/>
    </w:rPr>
  </w:style>
  <w:style w:type="character" w:customStyle="1" w:styleId="31">
    <w:name w:val="标题 1 字符"/>
    <w:link w:val="2"/>
    <w:autoRedefine/>
    <w:qFormat/>
    <w:uiPriority w:val="0"/>
    <w:rPr>
      <w:rFonts w:ascii="微软雅黑" w:hAnsi="微软雅黑" w:eastAsia="微软雅黑" w:cs="微软雅黑"/>
      <w:b/>
      <w:bCs/>
      <w:kern w:val="32"/>
      <w:sz w:val="28"/>
      <w:szCs w:val="28"/>
    </w:rPr>
  </w:style>
  <w:style w:type="character" w:customStyle="1" w:styleId="32">
    <w:name w:val="副标题 字符"/>
    <w:basedOn w:val="23"/>
    <w:link w:val="19"/>
    <w:autoRedefine/>
    <w:qFormat/>
    <w:uiPriority w:val="11"/>
    <w:rPr>
      <w:rFonts w:asciiTheme="majorHAnsi" w:hAnsiTheme="majorHAnsi" w:eastAsiaTheme="majorEastAsia" w:cstheme="majorBidi"/>
      <w:i/>
      <w:iCs/>
      <w:spacing w:val="13"/>
      <w:sz w:val="24"/>
      <w:szCs w:val="24"/>
      <w:lang w:val="en-GB"/>
    </w:rPr>
  </w:style>
  <w:style w:type="paragraph" w:customStyle="1" w:styleId="33">
    <w:name w:val="Default"/>
    <w:autoRedefine/>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autoRedefine/>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autoRedefine/>
    <w:qFormat/>
    <w:uiPriority w:val="0"/>
    <w:rPr>
      <w:sz w:val="24"/>
      <w:szCs w:val="24"/>
      <w:lang w:val="en-GB"/>
    </w:rPr>
  </w:style>
  <w:style w:type="character" w:customStyle="1" w:styleId="36">
    <w:name w:val="批注框文本 字符"/>
    <w:basedOn w:val="23"/>
    <w:link w:val="15"/>
    <w:autoRedefine/>
    <w:semiHidden/>
    <w:qFormat/>
    <w:uiPriority w:val="0"/>
    <w:rPr>
      <w:sz w:val="18"/>
      <w:szCs w:val="18"/>
      <w:lang w:val="en-GB"/>
    </w:rPr>
  </w:style>
  <w:style w:type="character" w:customStyle="1" w:styleId="37">
    <w:name w:val="条文 Char"/>
    <w:link w:val="38"/>
    <w:autoRedefine/>
    <w:qFormat/>
    <w:uiPriority w:val="99"/>
    <w:rPr>
      <w:sz w:val="24"/>
    </w:rPr>
  </w:style>
  <w:style w:type="paragraph" w:customStyle="1" w:styleId="38">
    <w:name w:val="条文"/>
    <w:basedOn w:val="1"/>
    <w:link w:val="37"/>
    <w:autoRedefine/>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autoRedefine/>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autoRedefine/>
    <w:qFormat/>
    <w:locked/>
    <w:uiPriority w:val="0"/>
    <w:rPr>
      <w:rFonts w:cs="宋体"/>
      <w:kern w:val="2"/>
      <w:sz w:val="21"/>
      <w:szCs w:val="18"/>
    </w:rPr>
  </w:style>
  <w:style w:type="character" w:styleId="41">
    <w:name w:val="Placeholder Text"/>
    <w:basedOn w:val="23"/>
    <w:autoRedefine/>
    <w:semiHidden/>
    <w:qFormat/>
    <w:uiPriority w:val="99"/>
    <w:rPr>
      <w:color w:val="808080"/>
    </w:rPr>
  </w:style>
  <w:style w:type="paragraph" w:customStyle="1" w:styleId="42">
    <w:name w:val="毕业论文 正文"/>
    <w:basedOn w:val="1"/>
    <w:autoRedefine/>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image" Target="media/image19.png"/><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oleObject" Target="embeddings/oleObject5.bin"/><Relationship Id="rId24" Type="http://schemas.openxmlformats.org/officeDocument/2006/relationships/image" Target="media/image15.wmf"/><Relationship Id="rId23" Type="http://schemas.openxmlformats.org/officeDocument/2006/relationships/oleObject" Target="embeddings/oleObject4.bin"/><Relationship Id="rId22" Type="http://schemas.openxmlformats.org/officeDocument/2006/relationships/image" Target="media/image14.wmf"/><Relationship Id="rId21" Type="http://schemas.openxmlformats.org/officeDocument/2006/relationships/oleObject" Target="embeddings/oleObject3.bin"/><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datastoreItem>
</file>

<file path=docProps/app.xml><?xml version="1.0" encoding="utf-8"?>
<Properties xmlns="http://schemas.openxmlformats.org/officeDocument/2006/extended-properties" xmlns:vt="http://schemas.openxmlformats.org/officeDocument/2006/docPropsVTypes">
  <Template>tmp9.dotx</Template>
  <Pages>14</Pages>
  <Words>6094</Words>
  <Characters>7812</Characters>
  <Lines>39</Lines>
  <Paragraphs>11</Paragraphs>
  <TotalTime>0</TotalTime>
  <ScaleCrop>false</ScaleCrop>
  <LinksUpToDate>false</LinksUpToDate>
  <CharactersWithSpaces>8292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2024-01-05T04:26:00Z</dcterms:created>
  <dc:creator>少＇不矜持＼\٩</dc:creator>
  <cp:lastModifiedBy>Administrator</cp:lastModifiedBy>
  <dcterms:modified xsi:type="dcterms:W3CDTF">2024-01-10T09:16:38Z</dcterms:modified>
  <dc:title>建筑构件隔声设计报告书</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66464510A7484C45B118037DA105B65A_11</vt:lpwstr>
  </property>
  <property fmtid="{D5CDD505-2E9C-101B-9397-08002B2CF9AE}" pid="3" name="KSOProductBuildVer">
    <vt:lpwstr>2052-12.1.0.16120</vt:lpwstr>
  </property>
</Properties>
</file>