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pPr>
        <w:spacing w:line="180" w:lineRule="atLeast"/>
        <w:jc w:val="center"/>
        <w:rPr>
          <w:rFonts w:ascii="宋体" w:hAnsi="宋体"/>
          <w:b/>
          <w:bCs/>
          <w:sz w:val="21"/>
          <w:szCs w:val="21"/>
        </w:rPr>
      </w:pPr>
    </w:p>
    <w:p>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3"/>
              <w:tabs>
                <w:tab w:val="clear" w:pos="4153"/>
                <w:tab w:val="clear" w:pos="8306"/>
              </w:tabs>
              <w:snapToGrid/>
              <w:jc w:val="both"/>
              <w:rPr>
                <w:rFonts w:ascii="宋体" w:hAnsi="宋体"/>
                <w:sz w:val="21"/>
                <w:szCs w:val="21"/>
              </w:rPr>
            </w:pPr>
            <w:bookmarkStart w:id="0" w:name="工程名称"/>
            <w:r>
              <w:t>竹雅栖舍</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工程地点</w:t>
            </w:r>
          </w:p>
        </w:tc>
        <w:tc>
          <w:tcPr>
            <w:tcW w:w="3780" w:type="dxa"/>
          </w:tcPr>
          <w:p>
            <w:pPr>
              <w:jc w:val="both"/>
              <w:rPr>
                <w:rFonts w:ascii="宋体" w:hAnsi="宋体"/>
                <w:sz w:val="21"/>
                <w:szCs w:val="21"/>
              </w:rPr>
            </w:pPr>
            <w:bookmarkStart w:id="1" w:name="工程地点"/>
            <w:r>
              <w:rPr>
                <w:rFonts w:hint="eastAsia" w:ascii="宋体" w:hAnsi="宋体"/>
                <w:sz w:val="21"/>
                <w:szCs w:val="21"/>
              </w:rPr>
              <w:t>丽水</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both"/>
              <w:rPr>
                <w:rFonts w:hint="eastAsia" w:ascii="宋体" w:hAnsi="宋体" w:eastAsia="宋体"/>
                <w:sz w:val="21"/>
                <w:szCs w:val="21"/>
                <w:lang w:val="en-US" w:eastAsia="zh-CN"/>
              </w:rPr>
            </w:pPr>
            <w:bookmarkStart w:id="2" w:name="设计编号"/>
            <w:r>
              <w:t>YB1A6010</w:t>
            </w:r>
            <w:bookmarkEnd w:id="2"/>
            <w:r>
              <w:rPr>
                <w:rFonts w:hint="eastAsia"/>
                <w:lang w:val="en-US" w:eastAsia="zh-CN"/>
              </w:rPr>
              <w:t>2</w:t>
            </w:r>
            <w:bookmarkStart w:id="36" w:name="_GoBack"/>
            <w:bookmarkEnd w:id="3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rPr>
                <w:rFonts w:ascii="宋体" w:hAnsi="宋体"/>
                <w:sz w:val="21"/>
                <w:szCs w:val="21"/>
              </w:rPr>
            </w:pPr>
            <w:bookmarkStart w:id="3" w:name="建设单位"/>
            <w:r>
              <w:t>XX</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rPr>
                <w:rFonts w:ascii="宋体" w:hAnsi="宋体"/>
                <w:sz w:val="21"/>
                <w:szCs w:val="21"/>
              </w:rPr>
            </w:pPr>
            <w:bookmarkStart w:id="4" w:name="设计单位"/>
            <w:r>
              <w:t>XX</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校 对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设计日期</w:t>
            </w:r>
          </w:p>
        </w:tc>
        <w:tc>
          <w:tcPr>
            <w:tcW w:w="3780" w:type="dxa"/>
          </w:tcPr>
          <w:p>
            <w:pPr>
              <w:rPr>
                <w:rFonts w:ascii="宋体" w:hAnsi="宋体"/>
                <w:sz w:val="21"/>
                <w:szCs w:val="21"/>
              </w:rPr>
            </w:pPr>
            <w:bookmarkStart w:id="5" w:name="设计日期"/>
            <w:bookmarkEnd w:id="5"/>
          </w:p>
        </w:tc>
      </w:tr>
    </w:tbl>
    <w:p>
      <w:pPr>
        <w:spacing w:line="240" w:lineRule="auto"/>
        <w:rPr>
          <w:rFonts w:ascii="宋体" w:hAnsi="宋体"/>
          <w:lang w:val="en-US"/>
        </w:rPr>
      </w:pPr>
    </w:p>
    <w:p>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建筑通风Vent2023</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rPr>
                <w:rFonts w:ascii="宋体" w:hAnsi="宋体"/>
                <w:szCs w:val="18"/>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T15656910227</w:t>
            </w:r>
            <w:bookmarkEnd w:id="9"/>
          </w:p>
        </w:tc>
      </w:tr>
    </w:tbl>
    <w:p>
      <w:pPr>
        <w:spacing w:line="1000" w:lineRule="exact"/>
        <w:jc w:val="center"/>
      </w:pPr>
    </w:p>
    <w:p>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518" w:type="dxa"/>
          </w:tcPr>
          <w:p>
            <w:pPr>
              <w:pStyle w:val="3"/>
              <w:ind w:firstLine="0" w:firstLineChars="0"/>
              <w:rPr>
                <w:rFonts w:ascii="宋体" w:hAnsi="宋体"/>
                <w:lang w:val="en-US"/>
              </w:rPr>
            </w:pPr>
            <w:bookmarkStart w:id="12" w:name="工程名称2"/>
            <w:r>
              <w:t>竹雅栖舍</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518" w:type="dxa"/>
          </w:tcPr>
          <w:p>
            <w:pPr>
              <w:pStyle w:val="3"/>
              <w:ind w:firstLine="0" w:firstLineChars="0"/>
              <w:rPr>
                <w:rFonts w:ascii="宋体" w:hAnsi="宋体"/>
                <w:lang w:val="en-US"/>
              </w:rPr>
            </w:pPr>
            <w:bookmarkStart w:id="13" w:name="工程地点2"/>
            <w:r>
              <w:rPr>
                <w:rFonts w:hint="eastAsia" w:ascii="宋体" w:hAnsi="宋体"/>
              </w:rPr>
              <w:t>丽水</w:t>
            </w:r>
            <w:bookmarkEnd w:id="13"/>
          </w:p>
        </w:tc>
      </w:tr>
    </w:tbl>
    <w:p>
      <w:pPr>
        <w:pStyle w:val="3"/>
        <w:ind w:firstLine="420"/>
      </w:pPr>
      <w:bookmarkStart w:id="14" w:name="项目概况"/>
      <w:bookmarkEnd w:id="14"/>
      <w:bookmarkStart w:id="15" w:name="_Toc420309361"/>
      <w:bookmarkStart w:id="16" w:name="_Toc420663549"/>
    </w:p>
    <w:p>
      <w:pPr>
        <w:pStyle w:val="2"/>
      </w:pPr>
      <w:bookmarkStart w:id="17" w:name="TitleFormat"/>
      <w:r>
        <w:rPr>
          <w:rFonts w:hint="eastAsia"/>
        </w:rPr>
        <w:t>计算依据</w:t>
      </w:r>
      <w:bookmarkEnd w:id="15"/>
      <w:bookmarkEnd w:id="16"/>
    </w:p>
    <w:bookmarkEnd w:id="17"/>
    <w:p>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《绿色建筑评价标准》GB/T50378-2019</w:t>
      </w:r>
      <w:bookmarkEnd w:id="19"/>
    </w:p>
    <w:p>
      <w:pPr>
        <w:widowControl w:val="0"/>
        <w:spacing w:line="240" w:lineRule="auto"/>
        <w:jc w:val="both"/>
        <w:rPr>
          <w:kern w:val="2"/>
          <w:sz w:val="21"/>
          <w:szCs w:val="24"/>
          <w:lang w:val="en-US"/>
        </w:rPr>
      </w:pPr>
      <w:r>
        <w:rPr>
          <w:rFonts w:hint="eastAsia"/>
          <w:kern w:val="2"/>
          <w:sz w:val="21"/>
          <w:szCs w:val="24"/>
          <w:lang w:val="en-US"/>
        </w:rPr>
        <w:t>2. 《绿色建筑评价技术细则》</w:t>
      </w:r>
    </w:p>
    <w:p>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竹雅栖舍</w:t>
      </w:r>
      <w:bookmarkEnd w:id="20"/>
      <w:r>
        <w:rPr>
          <w:rFonts w:hint="eastAsia"/>
          <w:kern w:val="2"/>
          <w:sz w:val="21"/>
          <w:szCs w:val="24"/>
          <w:lang w:val="en-US"/>
        </w:rPr>
        <w:t>相关建筑图纸</w:t>
      </w:r>
    </w:p>
    <w:p>
      <w:pPr>
        <w:pStyle w:val="2"/>
        <w:rPr>
          <w:kern w:val="2"/>
        </w:rPr>
      </w:pPr>
      <w:bookmarkStart w:id="21" w:name="_Toc420663550"/>
      <w:r>
        <w:rPr>
          <w:rFonts w:hint="eastAsia"/>
          <w:kern w:val="2"/>
        </w:rPr>
        <w:t>参考</w:t>
      </w:r>
      <w:r>
        <w:rPr>
          <w:kern w:val="2"/>
        </w:rPr>
        <w:t>标准</w:t>
      </w:r>
      <w:bookmarkEnd w:id="21"/>
    </w:p>
    <w:p>
      <w:pPr>
        <w:pStyle w:val="3"/>
        <w:ind w:firstLine="420"/>
        <w:rPr>
          <w:kern w:val="2"/>
          <w:szCs w:val="24"/>
          <w:lang w:val="en-US"/>
        </w:rPr>
      </w:pPr>
      <w:bookmarkStart w:id="22" w:name="参考标准名称2"/>
      <w:bookmarkStart w:id="23" w:name="_Toc420663551"/>
      <w:r>
        <w:rPr>
          <w:rFonts w:hint="eastAsia"/>
          <w:kern w:val="2"/>
          <w:szCs w:val="24"/>
          <w:lang w:val="en-US"/>
        </w:rPr>
        <w:t>《绿色建筑评价标准》GB/T50378-2019</w:t>
      </w:r>
      <w:bookmarkEnd w:id="22"/>
      <w:r>
        <w:rPr>
          <w:rFonts w:hint="eastAsia"/>
          <w:kern w:val="2"/>
          <w:szCs w:val="24"/>
          <w:lang w:val="en-US"/>
        </w:rPr>
        <w:t xml:space="preserve"> 中5.2.10条款 对公共建筑的室内自然通风效果按以下规则评分：</w:t>
      </w:r>
    </w:p>
    <w:p>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4"/>
      <w:bookmarkStart w:id="25" w:name="OLE_LINK3"/>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得分</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5</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6</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w:t>
            </w:r>
          </w:p>
        </w:tc>
      </w:tr>
    </w:tbl>
    <w:p>
      <w:pPr>
        <w:pStyle w:val="2"/>
        <w:rPr>
          <w:kern w:val="2"/>
        </w:rPr>
      </w:pPr>
      <w:r>
        <w:rPr>
          <w:rFonts w:hint="eastAsia"/>
          <w:kern w:val="2"/>
        </w:rPr>
        <w:t>计算</w:t>
      </w:r>
      <w:bookmarkEnd w:id="23"/>
      <w:r>
        <w:rPr>
          <w:rFonts w:hint="eastAsia"/>
          <w:kern w:val="2"/>
        </w:rPr>
        <w:t>方法</w:t>
      </w:r>
    </w:p>
    <w:p>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pPr>
        <w:pStyle w:val="3"/>
        <w:ind w:firstLine="525" w:firstLineChars="250"/>
        <w:rPr>
          <w:lang w:val="en-US"/>
        </w:rPr>
      </w:pPr>
    </w:p>
    <w:p>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pPr>
        <w:pStyle w:val="2"/>
        <w:rPr>
          <w:kern w:val="2"/>
        </w:rPr>
      </w:pPr>
      <w:r>
        <w:rPr>
          <w:rFonts w:hint="eastAsia"/>
          <w:kern w:val="2"/>
        </w:rPr>
        <w:t>换气次数</w:t>
      </w:r>
      <w:r>
        <w:rPr>
          <w:kern w:val="2"/>
        </w:rPr>
        <w:t>计算表</w:t>
      </w:r>
    </w:p>
    <w:p>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7" w:name="面积分子"/>
            <w:r>
              <w:rPr>
                <w:rFonts w:hint="eastAsia"/>
                <w:kern w:val="2"/>
                <w:sz w:val="21"/>
                <w:szCs w:val="24"/>
                <w:lang w:val="en-US"/>
              </w:rPr>
              <w:t>769.82</w:t>
            </w:r>
            <w:bookmarkEnd w:id="27"/>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8" w:name="面积分母"/>
            <w:r>
              <w:rPr>
                <w:rFonts w:hint="eastAsia"/>
                <w:kern w:val="2"/>
                <w:sz w:val="21"/>
                <w:szCs w:val="24"/>
                <w:lang w:val="en-US"/>
              </w:rPr>
              <w:t>810.22</w:t>
            </w:r>
            <w:bookmarkEnd w:id="28"/>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9" w:name="面积比"/>
            <w:r>
              <w:rPr>
                <w:rFonts w:hint="eastAsia"/>
                <w:kern w:val="2"/>
                <w:sz w:val="21"/>
                <w:szCs w:val="24"/>
                <w:lang w:val="en-US"/>
              </w:rPr>
              <w:t>95.01</w:t>
            </w:r>
            <w:bookmarkEnd w:id="29"/>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bookmarkEnd w:id="26"/>
    </w:tbl>
    <w:p>
      <w:pPr>
        <w:pStyle w:val="3"/>
        <w:ind w:firstLine="525" w:firstLineChars="250"/>
        <w:rPr>
          <w:kern w:val="2"/>
        </w:rPr>
      </w:pPr>
    </w:p>
    <w:p>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tblPrEx>
          <w:tblCellMar>
            <w:top w:w="0" w:type="dxa"/>
            <w:left w:w="108" w:type="dxa"/>
            <w:bottom w:w="0" w:type="dxa"/>
            <w:right w:w="108" w:type="dxa"/>
          </w:tblCellMar>
        </w:tblPrEx>
        <w:trPr>
          <w:trHeight w:val="540" w:hRule="atLeast"/>
          <w:tblHeader/>
        </w:trPr>
        <w:tc>
          <w:tcPr>
            <w:tcW w:w="2280" w:type="dxa"/>
            <w:tcBorders>
              <w:top w:val="single" w:color="auto" w:sz="4" w:space="0"/>
              <w:left w:val="single" w:color="auto" w:sz="4" w:space="0"/>
              <w:bottom w:val="single" w:color="auto" w:sz="4" w:space="0"/>
              <w:right w:val="single" w:color="auto" w:sz="4" w:space="0"/>
            </w:tcBorders>
            <w:shd w:val="clear" w:color="auto" w:fill="DEDEDE"/>
            <w:noWrap/>
            <w:vAlign w:val="center"/>
          </w:tcPr>
          <w:p>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分类</w:t>
            </w:r>
          </w:p>
        </w:tc>
        <w:tc>
          <w:tcPr>
            <w:tcW w:w="760" w:type="dxa"/>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W w:w="760" w:type="dxa"/>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W w:w="987" w:type="dxa"/>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315.50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75.12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58.59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1005[房间]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278.04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66.20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93.91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1006[房间]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249.14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59.32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67.09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1008[房间]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242.26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57.68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14.50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1010[房间]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110.80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26.38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46.99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1011[房间]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104.16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24.80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2001[房间]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253.84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76.92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43.06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2002[房间]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342.14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103.68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52.15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2007[房间]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190.61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57.76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30.21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2016[房间]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74.84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22.68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29.44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2018[房间]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73.00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22.12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45.73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2020[房间]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66.99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20.30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27.82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2022[房间]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58.01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17.58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28.31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2024[房间]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51.48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15.60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2025[房间]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48.05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14.56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60.70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2026[房间]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47.12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14.28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60.30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3009[房间]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153.12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38.28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113.87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3015[房间]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101.08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22.68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61.66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3017[房间]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97.86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22.12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24.31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3019[房间]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90.17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20.30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43.64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3021[房间]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65.91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17.58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59.43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3027[房间]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61.69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14.28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67.49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bookmarkEnd w:id="30"/>
    </w:tbl>
    <w:p>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pPr>
        <w:pStyle w:val="3"/>
        <w:ind w:firstLine="0" w:firstLineChars="0"/>
        <w:rPr>
          <w:kern w:val="2"/>
        </w:rPr>
      </w:pPr>
    </w:p>
    <w:p>
      <w:pPr>
        <w:pStyle w:val="2"/>
        <w:rPr>
          <w:kern w:val="2"/>
        </w:rPr>
      </w:pPr>
      <w:r>
        <w:rPr>
          <w:rFonts w:hint="eastAsia"/>
          <w:kern w:val="2"/>
        </w:rPr>
        <w:t>结论</w:t>
      </w:r>
    </w:p>
    <w:p>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95.01</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7.0</w:t>
      </w:r>
      <w:bookmarkEnd w:id="35"/>
      <w:r>
        <w:rPr>
          <w:rFonts w:hint="eastAsia"/>
          <w:kern w:val="2"/>
          <w:szCs w:val="24"/>
          <w:lang w:val="en-US"/>
        </w:rPr>
        <w:t>分。</w:t>
      </w:r>
    </w:p>
    <w:p>
      <w:pPr>
        <w:rPr>
          <w:lang w:val="en-US"/>
        </w:rPr>
      </w:pPr>
    </w:p>
    <w:p>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wNWIzYTZiNjljZjAxMWZmYTRjOGExNzgwZThmY2MifQ=="/>
  </w:docVars>
  <w:rsids>
    <w:rsidRoot w:val="00712104"/>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70BE4"/>
    <w:rsid w:val="00694BF6"/>
    <w:rsid w:val="006B226B"/>
    <w:rsid w:val="006D5658"/>
    <w:rsid w:val="007109AF"/>
    <w:rsid w:val="00712104"/>
    <w:rsid w:val="0071743A"/>
    <w:rsid w:val="00717EFF"/>
    <w:rsid w:val="00772B34"/>
    <w:rsid w:val="00775530"/>
    <w:rsid w:val="007D7DA5"/>
    <w:rsid w:val="008E189C"/>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A5C56"/>
    <w:rsid w:val="00DC1940"/>
    <w:rsid w:val="00DC1ED2"/>
    <w:rsid w:val="00E513D4"/>
    <w:rsid w:val="00ED2B26"/>
    <w:rsid w:val="00F138C8"/>
    <w:rsid w:val="00F31AAA"/>
    <w:rsid w:val="00F541C9"/>
    <w:rsid w:val="00F7186B"/>
    <w:rsid w:val="00F74333"/>
    <w:rsid w:val="00F825EF"/>
    <w:rsid w:val="00FC1684"/>
    <w:rsid w:val="00FD73EC"/>
    <w:rsid w:val="00FF70E7"/>
    <w:rsid w:val="296A5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autoRedefine/>
    <w:qFormat/>
    <w:uiPriority w:val="0"/>
    <w:pPr>
      <w:keepNext/>
      <w:numPr>
        <w:ilvl w:val="3"/>
        <w:numId w:val="1"/>
      </w:numPr>
      <w:spacing w:before="240" w:after="60"/>
      <w:outlineLvl w:val="3"/>
    </w:pPr>
    <w:rPr>
      <w:b/>
      <w:bCs/>
      <w:sz w:val="21"/>
      <w:szCs w:val="28"/>
    </w:rPr>
  </w:style>
  <w:style w:type="paragraph" w:styleId="7">
    <w:name w:val="heading 5"/>
    <w:basedOn w:val="1"/>
    <w:next w:val="1"/>
    <w:link w:val="24"/>
    <w:autoRedefine/>
    <w:qFormat/>
    <w:uiPriority w:val="0"/>
    <w:pPr>
      <w:numPr>
        <w:ilvl w:val="4"/>
        <w:numId w:val="1"/>
      </w:numPr>
      <w:spacing w:before="240" w:after="60"/>
      <w:outlineLvl w:val="4"/>
    </w:pPr>
    <w:rPr>
      <w:b/>
      <w:bCs/>
      <w:iCs/>
      <w:sz w:val="21"/>
      <w:szCs w:val="26"/>
    </w:rPr>
  </w:style>
  <w:style w:type="paragraph" w:styleId="8">
    <w:name w:val="heading 6"/>
    <w:basedOn w:val="1"/>
    <w:next w:val="1"/>
    <w:link w:val="25"/>
    <w:autoRedefine/>
    <w:qFormat/>
    <w:uiPriority w:val="0"/>
    <w:pPr>
      <w:numPr>
        <w:ilvl w:val="5"/>
        <w:numId w:val="1"/>
      </w:numPr>
      <w:spacing w:before="240" w:after="60"/>
      <w:outlineLvl w:val="5"/>
    </w:pPr>
    <w:rPr>
      <w:b/>
      <w:bCs/>
      <w:sz w:val="21"/>
      <w:szCs w:val="22"/>
    </w:rPr>
  </w:style>
  <w:style w:type="paragraph" w:styleId="9">
    <w:name w:val="heading 7"/>
    <w:basedOn w:val="1"/>
    <w:next w:val="1"/>
    <w:link w:val="26"/>
    <w:autoRedefine/>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autoRedefine/>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autoRedefine/>
    <w:semiHidden/>
    <w:unhideWhenUsed/>
    <w:uiPriority w:val="99"/>
    <w:pPr>
      <w:spacing w:line="240" w:lineRule="auto"/>
    </w:pPr>
    <w:rPr>
      <w:szCs w:val="18"/>
    </w:rPr>
  </w:style>
  <w:style w:type="paragraph" w:styleId="13">
    <w:name w:val="footer"/>
    <w:basedOn w:val="1"/>
    <w:link w:val="30"/>
    <w:autoRedefine/>
    <w:qFormat/>
    <w:uiPriority w:val="99"/>
    <w:pPr>
      <w:tabs>
        <w:tab w:val="center" w:pos="4153"/>
        <w:tab w:val="right" w:pos="8306"/>
      </w:tabs>
      <w:snapToGrid w:val="0"/>
    </w:pPr>
    <w:rPr>
      <w:szCs w:val="18"/>
    </w:rPr>
  </w:style>
  <w:style w:type="paragraph" w:styleId="14">
    <w:name w:val="header"/>
    <w:basedOn w:val="1"/>
    <w:link w:val="29"/>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autoRedefine/>
    <w:qFormat/>
    <w:uiPriority w:val="39"/>
    <w:pPr>
      <w:tabs>
        <w:tab w:val="left" w:leader="dot" w:pos="180"/>
        <w:tab w:val="left" w:pos="420"/>
        <w:tab w:val="right" w:leader="dot" w:pos="9360"/>
      </w:tabs>
    </w:pPr>
    <w:rPr>
      <w:b/>
      <w:bCs/>
      <w:kern w:val="2"/>
      <w:sz w:val="21"/>
      <w:szCs w:val="24"/>
      <w:lang w:val="en-US"/>
    </w:rPr>
  </w:style>
  <w:style w:type="table" w:styleId="17">
    <w:name w:val="Table Grid"/>
    <w:basedOn w:val="16"/>
    <w:autoRedefine/>
    <w:qFormat/>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autoRedefine/>
    <w:qFormat/>
    <w:uiPriority w:val="99"/>
    <w:rPr>
      <w:color w:val="0000FF"/>
      <w:u w:val="single"/>
    </w:rPr>
  </w:style>
  <w:style w:type="character" w:customStyle="1" w:styleId="20">
    <w:name w:val="标题 1 字符"/>
    <w:link w:val="2"/>
    <w:autoRedefine/>
    <w:qFormat/>
    <w:uiPriority w:val="0"/>
    <w:rPr>
      <w:rFonts w:ascii="Times New Roman" w:hAnsi="Times New Roman" w:eastAsia="宋体" w:cs="Times New Roman"/>
      <w:b/>
      <w:bCs/>
      <w:kern w:val="32"/>
      <w:sz w:val="28"/>
      <w:szCs w:val="28"/>
    </w:rPr>
  </w:style>
  <w:style w:type="character" w:customStyle="1" w:styleId="21">
    <w:name w:val="标题 2 字符"/>
    <w:link w:val="4"/>
    <w:autoRedefine/>
    <w:qFormat/>
    <w:uiPriority w:val="0"/>
    <w:rPr>
      <w:rFonts w:ascii="宋体" w:hAnsi="Times New Roman" w:eastAsia="宋体" w:cs="Arial"/>
      <w:b/>
      <w:bCs/>
      <w:iCs/>
      <w:color w:val="000000"/>
      <w:kern w:val="0"/>
      <w:sz w:val="24"/>
      <w:szCs w:val="24"/>
    </w:rPr>
  </w:style>
  <w:style w:type="character" w:customStyle="1" w:styleId="22">
    <w:name w:val="标题 3 字符"/>
    <w:link w:val="5"/>
    <w:autoRedefine/>
    <w:qFormat/>
    <w:uiPriority w:val="0"/>
    <w:rPr>
      <w:rFonts w:ascii="宋体" w:hAnsi="宋体" w:eastAsia="宋体" w:cs="Arial"/>
      <w:b/>
      <w:bCs/>
      <w:kern w:val="0"/>
      <w:szCs w:val="21"/>
    </w:rPr>
  </w:style>
  <w:style w:type="character" w:customStyle="1" w:styleId="23">
    <w:name w:val="标题 4 字符"/>
    <w:link w:val="6"/>
    <w:autoRedefine/>
    <w:qFormat/>
    <w:uiPriority w:val="0"/>
    <w:rPr>
      <w:rFonts w:ascii="Times New Roman" w:hAnsi="Times New Roman" w:eastAsia="宋体" w:cs="Times New Roman"/>
      <w:b/>
      <w:bCs/>
      <w:kern w:val="0"/>
      <w:szCs w:val="28"/>
      <w:lang w:val="en-GB"/>
    </w:rPr>
  </w:style>
  <w:style w:type="character" w:customStyle="1" w:styleId="24">
    <w:name w:val="标题 5 字符"/>
    <w:link w:val="7"/>
    <w:autoRedefine/>
    <w:qFormat/>
    <w:uiPriority w:val="0"/>
    <w:rPr>
      <w:rFonts w:ascii="Times New Roman" w:hAnsi="Times New Roman" w:eastAsia="宋体" w:cs="Times New Roman"/>
      <w:b/>
      <w:bCs/>
      <w:iCs/>
      <w:kern w:val="0"/>
      <w:szCs w:val="26"/>
      <w:lang w:val="en-GB"/>
    </w:rPr>
  </w:style>
  <w:style w:type="character" w:customStyle="1" w:styleId="25">
    <w:name w:val="标题 6 字符"/>
    <w:link w:val="8"/>
    <w:autoRedefine/>
    <w:qFormat/>
    <w:uiPriority w:val="0"/>
    <w:rPr>
      <w:rFonts w:ascii="Times New Roman" w:hAnsi="Times New Roman" w:eastAsia="宋体" w:cs="Times New Roman"/>
      <w:b/>
      <w:bCs/>
      <w:kern w:val="0"/>
      <w:lang w:val="en-GB"/>
    </w:rPr>
  </w:style>
  <w:style w:type="character" w:customStyle="1" w:styleId="26">
    <w:name w:val="标题 7 字符"/>
    <w:link w:val="9"/>
    <w:qFormat/>
    <w:uiPriority w:val="0"/>
    <w:rPr>
      <w:rFonts w:ascii="Times New Roman" w:hAnsi="Times New Roman" w:eastAsia="宋体" w:cs="Times New Roman"/>
      <w:kern w:val="0"/>
      <w:sz w:val="24"/>
      <w:szCs w:val="24"/>
      <w:lang w:val="en-GB"/>
    </w:rPr>
  </w:style>
  <w:style w:type="character" w:customStyle="1" w:styleId="27">
    <w:name w:val="标题 8 字符"/>
    <w:link w:val="10"/>
    <w:autoRedefine/>
    <w:qFormat/>
    <w:uiPriority w:val="0"/>
    <w:rPr>
      <w:rFonts w:ascii="Times New Roman" w:hAnsi="Times New Roman" w:eastAsia="宋体" w:cs="Times New Roman"/>
      <w:i/>
      <w:iCs/>
      <w:kern w:val="0"/>
      <w:sz w:val="24"/>
      <w:szCs w:val="24"/>
      <w:lang w:val="en-GB"/>
    </w:rPr>
  </w:style>
  <w:style w:type="character" w:customStyle="1" w:styleId="28">
    <w:name w:val="标题 9 字符"/>
    <w:link w:val="11"/>
    <w:autoRedefine/>
    <w:qFormat/>
    <w:uiPriority w:val="0"/>
    <w:rPr>
      <w:rFonts w:ascii="Arial" w:hAnsi="Arial" w:eastAsia="宋体" w:cs="Arial"/>
      <w:kern w:val="0"/>
      <w:sz w:val="22"/>
      <w:lang w:val="en-GB"/>
    </w:rPr>
  </w:style>
  <w:style w:type="character" w:customStyle="1" w:styleId="29">
    <w:name w:val="页眉 字符"/>
    <w:link w:val="14"/>
    <w:autoRedefine/>
    <w:qFormat/>
    <w:uiPriority w:val="99"/>
    <w:rPr>
      <w:rFonts w:ascii="Times New Roman" w:hAnsi="Times New Roman" w:eastAsia="宋体" w:cs="Times New Roman"/>
      <w:kern w:val="0"/>
      <w:sz w:val="18"/>
      <w:szCs w:val="18"/>
      <w:lang w:val="en-GB"/>
    </w:rPr>
  </w:style>
  <w:style w:type="character" w:customStyle="1" w:styleId="30">
    <w:name w:val="页脚 字符"/>
    <w:link w:val="13"/>
    <w:autoRedefine/>
    <w:qFormat/>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autoRedefine/>
    <w:semiHidden/>
    <w:qFormat/>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SION~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EE98-E977-4DDD-B505-9018E66F8A87}">
  <ds:schemaRefs/>
</ds:datastoreItem>
</file>

<file path=docProps/app.xml><?xml version="1.0" encoding="utf-8"?>
<Properties xmlns="http://schemas.openxmlformats.org/officeDocument/2006/extended-properties" xmlns:vt="http://schemas.openxmlformats.org/officeDocument/2006/docPropsVTypes">
  <Template>tmp2</Template>
  <Company>Microsoft</Company>
  <Pages>4</Pages>
  <Words>270</Words>
  <Characters>1543</Characters>
  <Lines>12</Lines>
  <Paragraphs>3</Paragraphs>
  <TotalTime>0</TotalTime>
  <ScaleCrop>false</ScaleCrop>
  <LinksUpToDate>false</LinksUpToDate>
  <CharactersWithSpaces>1810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2024-01-01T10:57:00Z</dcterms:created>
  <dc:creator>Visionary</dc:creator>
  <cp:lastModifiedBy>Administrator</cp:lastModifiedBy>
  <dcterms:modified xsi:type="dcterms:W3CDTF">2024-01-10T09:10:43Z</dcterms:modified>
  <dc:title>公共建筑换气次数计算书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788E538EB0FF4FBA854FD13D5699E580_12</vt:lpwstr>
  </property>
</Properties>
</file>