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四川-成都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2024年01月03日</w:t>
            </w:r>
            <w:bookmarkEnd w:id="6"/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lang w:val="en-US"/>
        </w:rPr>
        <w:drawing>
          <wp:inline distT="0" distB="0" distL="0" distR="0">
            <wp:extent cx="1628775" cy="1628775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室内热舒适评价ITES202</w:t>
            </w:r>
            <w:r>
              <w:rPr>
                <w:rFonts w:ascii="宋体" w:hAnsi="宋体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T18681226790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"_Toc155190180"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_Toc155190180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"_Toc155190181"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_Toc155190181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"_Toc155190182"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_Toc155190182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"_Toc155190183"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_Toc155190183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"_Toc155190184"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_Toc155190184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"_Toc155190185"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_Toc155190185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"_Toc155190186"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_Toc155190186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"_Toc155190187"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_Toc155190187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"_Toc155190188"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_Toc155190188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"_Toc155190189"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_Toc155190189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"_Toc155190190"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_Toc155190190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"_Toc155190191"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参评时间段</w:t>
      </w:r>
      <w:r>
        <w:tab/>
      </w:r>
      <w:r>
        <w:fldChar w:fldCharType="begin"/>
      </w:r>
      <w:r>
        <w:instrText xml:space="preserve"> PAGEREF _Toc155190191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"_Toc155190192" </w:instrText>
      </w:r>
      <w:r>
        <w:fldChar w:fldCharType="separate"/>
      </w:r>
      <w:r>
        <w:rPr>
          <w:rStyle w:val="26"/>
          <w:lang w:val="en-GB"/>
        </w:rPr>
        <w:t>4.3.4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_Toc155190192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"_Toc155190193" </w:instrText>
      </w:r>
      <w:r>
        <w:fldChar w:fldCharType="separate"/>
      </w:r>
      <w:r>
        <w:rPr>
          <w:rStyle w:val="26"/>
          <w:lang w:val="en-GB"/>
        </w:rPr>
        <w:t>4.3.5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房间类型参数</w:t>
      </w:r>
      <w:r>
        <w:tab/>
      </w:r>
      <w:r>
        <w:fldChar w:fldCharType="begin"/>
      </w:r>
      <w:r>
        <w:instrText xml:space="preserve"> PAGEREF _Toc155190193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"_Toc155190194"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_Toc155190194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"_Toc155190195"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_Toc155190195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"_Toc155190196"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_Toc155190196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19"/>
        <w:spacing w:line="240" w:lineRule="auto"/>
      </w:pPr>
      <w:r>
        <w:fldChar w:fldCharType="end"/>
      </w:r>
      <w:bookmarkEnd w:id="10"/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rPr>
          <w:lang w:val="en-US"/>
        </w:rPr>
      </w:pPr>
    </w:p>
    <w:p>
      <w:pPr>
        <w:tabs>
          <w:tab w:val="left" w:pos="8137"/>
        </w:tabs>
        <w:rPr>
          <w:lang w:val="en-US"/>
        </w:rPr>
      </w:pPr>
      <w:r>
        <w:rPr>
          <w:lang w:val="en-US"/>
        </w:rPr>
        <w:tab/>
      </w:r>
    </w:p>
    <w:p>
      <w:pPr>
        <w:tabs>
          <w:tab w:val="left" w:pos="8137"/>
        </w:tabs>
        <w:rPr>
          <w:lang w:val="en-US"/>
        </w:rPr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rPr>
          <w:lang w:val="en-US"/>
        </w:rPr>
        <w:tab/>
      </w:r>
    </w:p>
    <w:p>
      <w:pPr>
        <w:pStyle w:val="2"/>
      </w:pPr>
      <w:bookmarkStart w:id="11" w:name="_Toc155190180"/>
      <w:bookmarkStart w:id="12" w:name="_Toc45210875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现如今，能源消耗日益加剧，由此带来的种种负面影响显而易见，可持续绿色建筑设计理念越来越受到认可与重视。本次设计的公共服务性建筑位于四川省成都市青白江区茶花路附近，基地位于周边荒地的一角，旨为服务当地居民与游客，让游客和居民都能有良好的体验。该建筑的主要功能为乡村活动中心与村史馆，场地周边有着多个历史古迹充满了寻访价值，为了提高周边居民的凝聚力，解决该地区旧城区人群普遍缺乏认同感和家园归属感，选择将村史馆这一职能赋予乡村活动中心。既能够给来此观光的游客一个休憩的场所，也能够简单的归纳总结周边的历史古迹，帮助游客有目的的去游览观光、也能够让当地的居民参与到城市化进程中，接受先进思想，转换固有思路，让当地更加适应现今社会的高速发展。</w:t>
      </w:r>
    </w:p>
    <w:p>
      <w:pPr>
        <w:pStyle w:val="3"/>
        <w:ind w:firstLine="420"/>
        <w:rPr>
          <w:rFonts w:hint="eastAsia"/>
          <w:lang w:val="en-US"/>
        </w:rPr>
      </w:pPr>
      <w:r>
        <w:rPr>
          <w:rFonts w:hint="eastAsia"/>
          <w:lang w:val="en-US"/>
        </w:rPr>
        <w:t>思考当下居民活动，过于单一封闭、缺乏交流，故而在本次设计之中，加入了“共享空间”与“绿化植入”的理念。整体建筑采用正六边形样式主要设计，形形相连，融会贯通，在屋顶的设计上，选用了环保材料光伏板，节能控温，与此同时还设有屋顶舞台，丰富当地居民生活，保留当地民俗的同时，也尽可能地传播出去。屋顶的绿化也大有来头，多层的设计使得屋顶绿化稳固又牢靠，美观而不突兀。</w:t>
      </w:r>
    </w:p>
    <w:p>
      <w:pPr>
        <w:pStyle w:val="3"/>
        <w:ind w:firstLine="420"/>
        <w:rPr>
          <w:rFonts w:hint="eastAsia" w:eastAsia="宋体"/>
          <w:lang w:val="en-US" w:eastAsia="zh-CN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  <w:r>
        <w:rPr>
          <w:rFonts w:hint="eastAsia"/>
          <w:lang w:val="en-US"/>
        </w:rPr>
        <w:t>该公共建筑位于青白江区，处于城市与乡村之间，整体色调以浅绿、米白为主，故取名为青白间</w:t>
      </w:r>
      <w:r>
        <w:rPr>
          <w:rFonts w:hint="eastAsia"/>
          <w:lang w:val="en-US" w:eastAsia="zh-CN"/>
        </w:rPr>
        <w:t>。</w:t>
      </w:r>
      <w:bookmarkStart w:id="64" w:name="_GoBack"/>
      <w:bookmarkEnd w:id="64"/>
    </w:p>
    <w:p>
      <w:pPr>
        <w:pStyle w:val="4"/>
      </w:pPr>
      <w:bookmarkStart w:id="14" w:name="_Toc452108760"/>
      <w:bookmarkStart w:id="15" w:name="_Toc155190181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rPr>
          <w:lang w:val="en-US"/>
        </w:rPr>
        <w:drawing>
          <wp:inline distT="0" distB="0" distL="0" distR="0">
            <wp:extent cx="5667375" cy="4305300"/>
            <wp:effectExtent l="0" t="0" r="0" b="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drawing>
          <wp:inline distT="0" distB="0" distL="0" distR="0">
            <wp:extent cx="5667375" cy="3914775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155190182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bookmarkEnd w:id="19"/>
      <w:r>
        <w:rPr>
          <w:lang w:val="en-US"/>
        </w:rPr>
        <w:drawing>
          <wp:inline distT="0" distB="0" distL="0" distR="0">
            <wp:extent cx="5667375" cy="5238750"/>
            <wp:effectExtent l="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>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155190183"/>
      <w:bookmarkStart w:id="22" w:name="_Toc452108762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参考标准名称1"/>
      <w:r>
        <w:rPr>
          <w:rFonts w:hint="eastAsia"/>
          <w:lang w:val="en-US"/>
        </w:rPr>
        <w:t>《绿色建筑评价标准》GB/T50378-2019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5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5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6" w:name="_Hlk13516321"/>
    </w:p>
    <w:bookmarkEnd w:id="26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7" w:name="_Toc155190184"/>
      <w:r>
        <w:rPr>
          <w:rFonts w:hint="eastAsia"/>
        </w:rPr>
        <w:t>参考</w:t>
      </w:r>
      <w:r>
        <w:t>标准</w:t>
      </w:r>
      <w:bookmarkEnd w:id="23"/>
      <w:bookmarkEnd w:id="27"/>
    </w:p>
    <w:p>
      <w:pPr>
        <w:pStyle w:val="3"/>
        <w:ind w:firstLine="420"/>
        <w:rPr>
          <w:lang w:val="en-US"/>
        </w:rPr>
      </w:pPr>
      <w:bookmarkStart w:id="28" w:name="_Toc451698935"/>
      <w:bookmarkStart w:id="29" w:name="_Toc452108764"/>
      <w:r>
        <w:rPr>
          <w:rFonts w:hint="eastAsia"/>
          <w:lang w:val="en-US"/>
        </w:rPr>
        <w:t>室内热舒适评价的主要依据为</w:t>
      </w:r>
      <w:bookmarkStart w:id="30" w:name="参考标准名称2"/>
      <w:r>
        <w:rPr>
          <w:rFonts w:hint="eastAsia"/>
          <w:lang w:val="en-US"/>
        </w:rPr>
        <w:t>《绿色建筑评价标准》GB/T50378-2019</w:t>
      </w:r>
      <w:bookmarkEnd w:id="30"/>
      <w:r>
        <w:rPr>
          <w:rFonts w:hint="eastAsia"/>
          <w:lang w:val="en-US"/>
        </w:rPr>
        <w:t>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31" w:name="_Toc155190185"/>
      <w:r>
        <w:rPr>
          <w:rFonts w:hint="eastAsia"/>
        </w:rPr>
        <w:t>计算</w:t>
      </w:r>
      <w:bookmarkEnd w:id="28"/>
      <w:bookmarkEnd w:id="29"/>
      <w:r>
        <w:rPr>
          <w:rFonts w:hint="eastAsia"/>
        </w:rPr>
        <w:t>方法</w:t>
      </w:r>
      <w:bookmarkEnd w:id="31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2" w:name="_Toc155190186"/>
      <w:r>
        <w:rPr>
          <w:rFonts w:hint="eastAsia"/>
        </w:rPr>
        <w:t>参数定义</w:t>
      </w:r>
      <w:bookmarkEnd w:id="32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3" w:name="_Toc155190187"/>
      <w:r>
        <w:rPr>
          <w:rFonts w:hint="eastAsia"/>
        </w:rPr>
        <w:t>计算流程</w:t>
      </w:r>
      <w:bookmarkEnd w:id="33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>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>》。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4" w:name="_Hlk36153165"/>
      <w:r>
        <w:rPr>
          <w:rFonts w:hint="eastAsia"/>
          <w:szCs w:val="21"/>
        </w:rPr>
        <w:t>室内适应性舒适温度时间比例</w:t>
      </w:r>
      <w:bookmarkEnd w:id="34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5" w:name="_Toc155190188"/>
      <w:r>
        <w:rPr>
          <w:rFonts w:hint="eastAsia"/>
        </w:rPr>
        <w:t>计算参数</w:t>
      </w:r>
      <w:bookmarkEnd w:id="35"/>
    </w:p>
    <w:p>
      <w:pPr>
        <w:pStyle w:val="5"/>
      </w:pPr>
      <w:bookmarkStart w:id="36" w:name="_Toc155190189"/>
      <w:r>
        <w:rPr>
          <w:rFonts w:hint="eastAsia"/>
        </w:rPr>
        <w:t>室外月平均温度</w:t>
      </w:r>
      <w:bookmarkEnd w:id="36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7" w:name="站台城市"/>
      <w:r>
        <w:rPr>
          <w:rFonts w:hint="eastAsia" w:ascii="Calibri" w:hAnsi="Calibri"/>
          <w:kern w:val="2"/>
          <w:lang w:val="en-US"/>
        </w:rPr>
        <w:t>成都</w:t>
      </w:r>
      <w:bookmarkEnd w:id="37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8" w:name="月平均温度图"/>
      <w:bookmarkEnd w:id="38"/>
      <w:r>
        <w:rPr>
          <w:lang w:val="en-US"/>
        </w:rPr>
        <w:drawing>
          <wp:inline distT="0" distB="0" distL="0" distR="0">
            <wp:extent cx="5667375" cy="2847975"/>
            <wp:effectExtent l="0" t="0" r="0" b="0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>室外月平均温度</w:t>
      </w:r>
    </w:p>
    <w:p>
      <w:pPr>
        <w:pStyle w:val="5"/>
      </w:pPr>
      <w:bookmarkStart w:id="39" w:name="_Toc155190190"/>
      <w:r>
        <w:rPr>
          <w:rFonts w:hint="eastAsia"/>
        </w:rPr>
        <w:t>室内热舒适温度</w:t>
      </w:r>
      <w:bookmarkEnd w:id="39"/>
    </w:p>
    <w:p>
      <w:pPr>
        <w:pStyle w:val="3"/>
        <w:ind w:firstLine="420"/>
        <w:rPr>
          <w:lang w:val="en-US"/>
        </w:rPr>
      </w:pP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40" w:name="室内热舒适温度表"/>
            <w:r>
              <w:rPr>
                <w:rFonts w:hint="eastAsia"/>
              </w:rPr>
              <w:t>室外月平均温度</w:t>
            </w:r>
            <w:bookmarkEnd w:id="40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5.8</w:t>
            </w: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8.2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12.8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16.1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19.3~26.3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21.2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20.9~27.9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23.8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21.7~28.7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25.8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22.3~29.3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22.1~29.1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21.5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21.0~28.0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17.9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19.8~26.8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13.6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18.5~25.5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7.1</w:t>
            </w: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>
      <w:pPr>
        <w:pStyle w:val="5"/>
      </w:pPr>
      <w:bookmarkStart w:id="41" w:name="_Toc155190191"/>
      <w:r>
        <w:rPr>
          <w:rFonts w:hint="eastAsia"/>
        </w:rPr>
        <w:t>参评时间</w:t>
      </w:r>
      <w:r>
        <w:t>段</w:t>
      </w:r>
      <w:bookmarkEnd w:id="41"/>
    </w:p>
    <w:p>
      <w:pPr>
        <w:pStyle w:val="3"/>
        <w:ind w:firstLine="420"/>
        <w:rPr>
          <w:lang w:val="en-US"/>
        </w:rPr>
      </w:pPr>
      <w:bookmarkStart w:id="42" w:name="参评时间段"/>
      <w:r>
        <w:rPr>
          <w:rFonts w:hint="eastAsia"/>
          <w:lang w:val="en-US"/>
        </w:rPr>
        <w:t>1月1日至12月31日。</w:t>
      </w:r>
      <w:bookmarkEnd w:id="42"/>
    </w:p>
    <w:p>
      <w:pPr>
        <w:pStyle w:val="5"/>
      </w:pPr>
      <w:bookmarkStart w:id="43" w:name="_Toc155190192"/>
      <w:r>
        <w:rPr>
          <w:rFonts w:hint="eastAsia"/>
        </w:rPr>
        <w:t>围护结构热工性能参数</w:t>
      </w:r>
      <w:bookmarkEnd w:id="43"/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2</w:t>
      </w:r>
      <w:r>
        <w:fldChar w:fldCharType="end"/>
      </w:r>
      <w:r>
        <w:rPr>
          <w:rFonts w:hint="eastAsia"/>
        </w:rPr>
        <w:t>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0.48[默认]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3</w:t>
      </w:r>
      <w:r>
        <w:fldChar w:fldCharType="end"/>
      </w:r>
      <w:r>
        <w:rPr>
          <w:rFonts w:hint="eastAsia"/>
        </w:rPr>
        <w:t>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4</w:t>
      </w:r>
      <w:r>
        <w:fldChar w:fldCharType="end"/>
      </w:r>
      <w:r>
        <w:rPr>
          <w:rFonts w:hint="eastAsia"/>
        </w:rPr>
        <w:t>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5</w:t>
      </w:r>
      <w:r>
        <w:fldChar w:fldCharType="end"/>
      </w:r>
      <w:r>
        <w:rPr>
          <w:rFonts w:hint="eastAsia"/>
        </w:rPr>
        <w:t>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材料名称</w:t>
            </w:r>
          </w:p>
          <w:p>
            <w:pPr>
              <w:jc w:val="center"/>
            </w:pP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6</w:t>
      </w:r>
      <w:r>
        <w:fldChar w:fldCharType="end"/>
      </w:r>
      <w:r>
        <w:rPr>
          <w:rFonts w:hint="eastAsia"/>
        </w:rPr>
        <w:t>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7</w:t>
      </w:r>
      <w:r>
        <w:fldChar w:fldCharType="end"/>
      </w:r>
      <w:r>
        <w:rPr>
          <w:rFonts w:hint="eastAsia"/>
        </w:rPr>
        <w:t>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8</w:t>
      </w:r>
      <w:r>
        <w:fldChar w:fldCharType="end"/>
      </w:r>
      <w:r>
        <w:rPr>
          <w:rFonts w:hint="eastAsia"/>
        </w:rPr>
        <w:t>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9</w:t>
      </w:r>
      <w:r>
        <w:fldChar w:fldCharType="end"/>
      </w:r>
      <w:r>
        <w:rPr>
          <w:rFonts w:hint="eastAsia"/>
        </w:rPr>
        <w:t>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10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bookmarkStart w:id="44" w:name="_Toc36538848"/>
      <w:bookmarkStart w:id="45" w:name="_Toc451436145"/>
      <w:bookmarkStart w:id="46" w:name="_Toc452108765"/>
      <w:bookmarkStart w:id="47" w:name="_Toc451698937"/>
      <w:r>
        <w:rPr>
          <w:rFonts w:hint="eastAsia"/>
        </w:rPr>
        <w:t>表</w:t>
      </w:r>
      <w:r>
        <w:fldChar w:fldCharType="begin"/>
      </w:r>
      <w:r>
        <w:rPr>
          <w:rFonts w:hint="eastAsia"/>
        </w:rPr>
        <w:instrText xml:space="preserve">STYLEREF 2 \s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rPr>
          <w:rFonts w:hint="eastAsia"/>
        </w:rPr>
        <w:instrText xml:space="preserve">SEQ 表 \* ARABIC \s 2</w:instrText>
      </w:r>
      <w:r>
        <w:fldChar w:fldCharType="separate"/>
      </w:r>
      <w:r>
        <w:t>11</w:t>
      </w:r>
      <w:r>
        <w:fldChar w:fldCharType="end"/>
      </w:r>
      <w:bookmarkStart w:id="48" w:name="表名"/>
      <w:r>
        <w:rPr>
          <w:rFonts w:hint="eastAsia"/>
        </w:rPr>
        <w:t>内窗</w:t>
      </w:r>
      <w:bookmarkEnd w:id="44"/>
      <w:bookmarkEnd w:id="48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bookmarkStart w:id="49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45"/>
      <w:bookmarkEnd w:id="46"/>
      <w:bookmarkEnd w:id="47"/>
      <w:bookmarkEnd w:id="49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50" w:name="围护结构"/>
      <w:bookmarkEnd w:id="50"/>
    </w:p>
    <w:p>
      <w:pPr>
        <w:pStyle w:val="5"/>
      </w:pPr>
      <w:bookmarkStart w:id="51" w:name="_Toc155190193"/>
      <w:r>
        <w:rPr>
          <w:rFonts w:hint="eastAsia"/>
        </w:rPr>
        <w:t>房间类型参数</w:t>
      </w:r>
      <w:bookmarkEnd w:id="51"/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照明功率</w:t>
            </w:r>
          </w:p>
          <w:p>
            <w:pPr>
              <w:jc w:val="center"/>
            </w:pP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t>电器设备</w:t>
            </w:r>
          </w:p>
          <w:p>
            <w:pPr>
              <w:jc w:val="center"/>
            </w:pP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7" w:type="dxa"/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tcW w:w="1262" w:type="dxa"/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tcW w:w="1290" w:type="dxa"/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bookmarkStart w:id="52" w:name="标题"/>
      <w:r>
        <w:rPr>
          <w:lang w:val="en-US"/>
        </w:rPr>
        <w:t>工作日/节假日设备逐时使用率(%)</w:t>
      </w:r>
      <w:bookmarkEnd w:id="52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3"/>
        <w:ind w:firstLine="0" w:firstLineChars="0"/>
        <w:rPr>
          <w:b/>
          <w:lang w:val="en-US"/>
        </w:rPr>
      </w:pPr>
      <w:bookmarkStart w:id="53" w:name="房间类型"/>
      <w:bookmarkEnd w:id="53"/>
    </w:p>
    <w:p>
      <w:pPr>
        <w:pStyle w:val="2"/>
      </w:pPr>
      <w:bookmarkStart w:id="54" w:name="_Toc155190194"/>
      <w:bookmarkStart w:id="55" w:name="_Toc452108768"/>
      <w:bookmarkStart w:id="56" w:name="_Toc3745"/>
      <w:r>
        <w:rPr>
          <w:rFonts w:hint="eastAsia"/>
        </w:rPr>
        <w:t>结果</w:t>
      </w:r>
      <w:r>
        <w:t>分析</w:t>
      </w:r>
      <w:bookmarkEnd w:id="54"/>
      <w:bookmarkEnd w:id="55"/>
      <w:bookmarkEnd w:id="56"/>
    </w:p>
    <w:p>
      <w:pPr>
        <w:pStyle w:val="4"/>
      </w:pPr>
      <w:bookmarkStart w:id="57" w:name="_Toc155190195"/>
      <w:r>
        <w:rPr>
          <w:rFonts w:hint="eastAsia"/>
        </w:rPr>
        <w:t>室内适应性热舒适温度达标比例统计</w:t>
      </w:r>
      <w:bookmarkEnd w:id="57"/>
      <w:bookmarkStart w:id="58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7"/>
        <w:gridCol w:w="1075"/>
        <w:gridCol w:w="335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tcW w:w="3356" w:type="dxa"/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1</w:t>
            </w:r>
          </w:p>
        </w:tc>
        <w:tc>
          <w:tcPr>
            <w:tcW w:w="1992" w:type="dxa"/>
            <w:vAlign w:val="center"/>
          </w:tcPr>
          <w:p>
            <w:r>
              <w:t>1001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639.6</w:t>
            </w:r>
          </w:p>
        </w:tc>
        <w:tc>
          <w:tcPr>
            <w:tcW w:w="3356" w:type="dxa"/>
            <w:vAlign w:val="center"/>
          </w:tcPr>
          <w:p>
            <w:r>
              <w:t>38.46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257.4</w:t>
            </w:r>
          </w:p>
        </w:tc>
        <w:tc>
          <w:tcPr>
            <w:tcW w:w="3356" w:type="dxa"/>
            <w:vAlign w:val="center"/>
          </w:tcPr>
          <w:p>
            <w:r>
              <w:t>37.41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265.8</w:t>
            </w:r>
          </w:p>
        </w:tc>
        <w:tc>
          <w:tcPr>
            <w:tcW w:w="3356" w:type="dxa"/>
            <w:vAlign w:val="center"/>
          </w:tcPr>
          <w:p>
            <w:r>
              <w:t>38.00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68.7</w:t>
            </w:r>
          </w:p>
        </w:tc>
        <w:tc>
          <w:tcPr>
            <w:tcW w:w="3356" w:type="dxa"/>
            <w:vAlign w:val="center"/>
          </w:tcPr>
          <w:p>
            <w:r>
              <w:t>39.10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66.8</w:t>
            </w:r>
          </w:p>
        </w:tc>
        <w:tc>
          <w:tcPr>
            <w:tcW w:w="3356" w:type="dxa"/>
            <w:vAlign w:val="center"/>
          </w:tcPr>
          <w:p>
            <w:r>
              <w:t>37.50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48.8</w:t>
            </w:r>
          </w:p>
        </w:tc>
        <w:tc>
          <w:tcPr>
            <w:tcW w:w="3356" w:type="dxa"/>
            <w:vAlign w:val="center"/>
          </w:tcPr>
          <w:p>
            <w:r>
              <w:t>37.92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37.1</w:t>
            </w:r>
          </w:p>
        </w:tc>
        <w:tc>
          <w:tcPr>
            <w:tcW w:w="3356" w:type="dxa"/>
            <w:vAlign w:val="center"/>
          </w:tcPr>
          <w:p>
            <w:r>
              <w:t>38.74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35.5</w:t>
            </w:r>
          </w:p>
        </w:tc>
        <w:tc>
          <w:tcPr>
            <w:tcW w:w="3356" w:type="dxa"/>
            <w:vAlign w:val="center"/>
          </w:tcPr>
          <w:p>
            <w:r>
              <w:t>39.02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1009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31.6</w:t>
            </w:r>
          </w:p>
        </w:tc>
        <w:tc>
          <w:tcPr>
            <w:tcW w:w="3356" w:type="dxa"/>
            <w:vAlign w:val="center"/>
          </w:tcPr>
          <w:p>
            <w:r>
              <w:t>39.99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31.2</w:t>
            </w:r>
          </w:p>
        </w:tc>
        <w:tc>
          <w:tcPr>
            <w:tcW w:w="3356" w:type="dxa"/>
            <w:vAlign w:val="center"/>
          </w:tcPr>
          <w:p>
            <w:r>
              <w:t>38.33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23.9</w:t>
            </w:r>
          </w:p>
        </w:tc>
        <w:tc>
          <w:tcPr>
            <w:tcW w:w="3356" w:type="dxa"/>
            <w:vAlign w:val="center"/>
          </w:tcPr>
          <w:p>
            <w:r>
              <w:t>38.96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22.6</w:t>
            </w:r>
          </w:p>
        </w:tc>
        <w:tc>
          <w:tcPr>
            <w:tcW w:w="3356" w:type="dxa"/>
            <w:vAlign w:val="center"/>
          </w:tcPr>
          <w:p>
            <w:r>
              <w:t>39.83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17.6</w:t>
            </w:r>
          </w:p>
        </w:tc>
        <w:tc>
          <w:tcPr>
            <w:tcW w:w="3356" w:type="dxa"/>
            <w:vAlign w:val="center"/>
          </w:tcPr>
          <w:p>
            <w:r>
              <w:t>38.76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15.2</w:t>
            </w:r>
          </w:p>
        </w:tc>
        <w:tc>
          <w:tcPr>
            <w:tcW w:w="3356" w:type="dxa"/>
            <w:vAlign w:val="center"/>
          </w:tcPr>
          <w:p>
            <w:r>
              <w:t>37.72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13.2</w:t>
            </w:r>
          </w:p>
        </w:tc>
        <w:tc>
          <w:tcPr>
            <w:tcW w:w="3356" w:type="dxa"/>
            <w:vAlign w:val="center"/>
          </w:tcPr>
          <w:p>
            <w:r>
              <w:t>39.29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13.0</w:t>
            </w:r>
          </w:p>
        </w:tc>
        <w:tc>
          <w:tcPr>
            <w:tcW w:w="3356" w:type="dxa"/>
            <w:vAlign w:val="center"/>
          </w:tcPr>
          <w:p>
            <w:r>
              <w:t>40.24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11.7</w:t>
            </w:r>
          </w:p>
        </w:tc>
        <w:tc>
          <w:tcPr>
            <w:tcW w:w="3356" w:type="dxa"/>
            <w:vAlign w:val="center"/>
          </w:tcPr>
          <w:p>
            <w:r>
              <w:t>39.50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8.5</w:t>
            </w:r>
          </w:p>
        </w:tc>
        <w:tc>
          <w:tcPr>
            <w:tcW w:w="3356" w:type="dxa"/>
            <w:vAlign w:val="center"/>
          </w:tcPr>
          <w:p>
            <w:r>
              <w:t>39.20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1019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7.5</w:t>
            </w:r>
          </w:p>
        </w:tc>
        <w:tc>
          <w:tcPr>
            <w:tcW w:w="3356" w:type="dxa"/>
            <w:vAlign w:val="center"/>
          </w:tcPr>
          <w:p>
            <w:r>
              <w:t>38.71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1020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6.5</w:t>
            </w:r>
          </w:p>
        </w:tc>
        <w:tc>
          <w:tcPr>
            <w:tcW w:w="3356" w:type="dxa"/>
            <w:vAlign w:val="center"/>
          </w:tcPr>
          <w:p>
            <w:r>
              <w:t>38.78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1021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5.3</w:t>
            </w:r>
          </w:p>
        </w:tc>
        <w:tc>
          <w:tcPr>
            <w:tcW w:w="3356" w:type="dxa"/>
            <w:vAlign w:val="center"/>
          </w:tcPr>
          <w:p>
            <w:r>
              <w:t>38.93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1022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5.3</w:t>
            </w:r>
          </w:p>
        </w:tc>
        <w:tc>
          <w:tcPr>
            <w:tcW w:w="3356" w:type="dxa"/>
            <w:vAlign w:val="center"/>
          </w:tcPr>
          <w:p>
            <w:r>
              <w:t>40.16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1023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2.9</w:t>
            </w:r>
          </w:p>
        </w:tc>
        <w:tc>
          <w:tcPr>
            <w:tcW w:w="3356" w:type="dxa"/>
            <w:vAlign w:val="center"/>
          </w:tcPr>
          <w:p>
            <w:r>
              <w:t>39.12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restart"/>
            <w:vAlign w:val="center"/>
          </w:tcPr>
          <w:p>
            <w:r>
              <w:t>2</w:t>
            </w:r>
          </w:p>
        </w:tc>
        <w:tc>
          <w:tcPr>
            <w:tcW w:w="1992" w:type="dxa"/>
            <w:vAlign w:val="center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14.2</w:t>
            </w:r>
          </w:p>
        </w:tc>
        <w:tc>
          <w:tcPr>
            <w:tcW w:w="3356" w:type="dxa"/>
            <w:vAlign w:val="center"/>
          </w:tcPr>
          <w:p>
            <w:r>
              <w:t>37.80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352.9</w:t>
            </w:r>
          </w:p>
        </w:tc>
        <w:tc>
          <w:tcPr>
            <w:tcW w:w="3356" w:type="dxa"/>
            <w:vAlign w:val="center"/>
          </w:tcPr>
          <w:p>
            <w:r>
              <w:t>39.03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266.3</w:t>
            </w:r>
          </w:p>
        </w:tc>
        <w:tc>
          <w:tcPr>
            <w:tcW w:w="3356" w:type="dxa"/>
            <w:vAlign w:val="center"/>
          </w:tcPr>
          <w:p>
            <w:r>
              <w:t>44.43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86.6</w:t>
            </w:r>
          </w:p>
        </w:tc>
        <w:tc>
          <w:tcPr>
            <w:tcW w:w="3356" w:type="dxa"/>
            <w:vAlign w:val="center"/>
          </w:tcPr>
          <w:p>
            <w:r>
              <w:t>39.16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71.3</w:t>
            </w:r>
          </w:p>
        </w:tc>
        <w:tc>
          <w:tcPr>
            <w:tcW w:w="3356" w:type="dxa"/>
            <w:vAlign w:val="center"/>
          </w:tcPr>
          <w:p>
            <w:r>
              <w:t>38.78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64.6</w:t>
            </w:r>
          </w:p>
        </w:tc>
        <w:tc>
          <w:tcPr>
            <w:tcW w:w="3356" w:type="dxa"/>
            <w:vAlign w:val="center"/>
          </w:tcPr>
          <w:p>
            <w:r>
              <w:t>38.87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39.5</w:t>
            </w:r>
          </w:p>
        </w:tc>
        <w:tc>
          <w:tcPr>
            <w:tcW w:w="3356" w:type="dxa"/>
            <w:vAlign w:val="center"/>
          </w:tcPr>
          <w:p>
            <w:r>
              <w:t>39.49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31.2</w:t>
            </w:r>
          </w:p>
        </w:tc>
        <w:tc>
          <w:tcPr>
            <w:tcW w:w="3356" w:type="dxa"/>
            <w:vAlign w:val="center"/>
          </w:tcPr>
          <w:p>
            <w:r>
              <w:t>38.97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2007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25.5</w:t>
            </w:r>
          </w:p>
        </w:tc>
        <w:tc>
          <w:tcPr>
            <w:tcW w:w="3356" w:type="dxa"/>
            <w:vAlign w:val="center"/>
          </w:tcPr>
          <w:p>
            <w:r>
              <w:t>47.96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2008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23.9</w:t>
            </w:r>
          </w:p>
        </w:tc>
        <w:tc>
          <w:tcPr>
            <w:tcW w:w="3356" w:type="dxa"/>
            <w:vAlign w:val="center"/>
          </w:tcPr>
          <w:p>
            <w:r>
              <w:t>39.34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2009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17.6</w:t>
            </w:r>
          </w:p>
        </w:tc>
        <w:tc>
          <w:tcPr>
            <w:tcW w:w="3356" w:type="dxa"/>
            <w:vAlign w:val="center"/>
          </w:tcPr>
          <w:p>
            <w:r>
              <w:t>45.54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2010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16.9</w:t>
            </w:r>
          </w:p>
        </w:tc>
        <w:tc>
          <w:tcPr>
            <w:tcW w:w="3356" w:type="dxa"/>
            <w:vAlign w:val="center"/>
          </w:tcPr>
          <w:p>
            <w:r>
              <w:t>47.95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2011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14.4</w:t>
            </w:r>
          </w:p>
        </w:tc>
        <w:tc>
          <w:tcPr>
            <w:tcW w:w="3356" w:type="dxa"/>
            <w:vAlign w:val="center"/>
          </w:tcPr>
          <w:p>
            <w:r>
              <w:t>47.12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2012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13.2</w:t>
            </w:r>
          </w:p>
        </w:tc>
        <w:tc>
          <w:tcPr>
            <w:tcW w:w="3356" w:type="dxa"/>
            <w:vAlign w:val="center"/>
          </w:tcPr>
          <w:p>
            <w:r>
              <w:t>39.77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2013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12.2</w:t>
            </w:r>
          </w:p>
        </w:tc>
        <w:tc>
          <w:tcPr>
            <w:tcW w:w="3356" w:type="dxa"/>
            <w:vAlign w:val="center"/>
          </w:tcPr>
          <w:p>
            <w:r>
              <w:t>48.38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2014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7.6</w:t>
            </w:r>
          </w:p>
        </w:tc>
        <w:tc>
          <w:tcPr>
            <w:tcW w:w="3356" w:type="dxa"/>
            <w:vAlign w:val="center"/>
          </w:tcPr>
          <w:p>
            <w:r>
              <w:t>47.34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2015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6.6</w:t>
            </w:r>
          </w:p>
        </w:tc>
        <w:tc>
          <w:tcPr>
            <w:tcW w:w="3356" w:type="dxa"/>
            <w:vAlign w:val="center"/>
          </w:tcPr>
          <w:p>
            <w:r>
              <w:t>47.41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0" w:type="dxa"/>
            <w:vMerge w:val="continue"/>
            <w:vAlign w:val="center"/>
          </w:tcPr>
          <w:p/>
        </w:tc>
        <w:tc>
          <w:tcPr>
            <w:tcW w:w="1992" w:type="dxa"/>
            <w:vAlign w:val="center"/>
          </w:tcPr>
          <w:p>
            <w:r>
              <w:t>2016</w:t>
            </w:r>
          </w:p>
        </w:tc>
        <w:tc>
          <w:tcPr>
            <w:tcW w:w="3186" w:type="dxa"/>
            <w:vAlign w:val="center"/>
          </w:tcPr>
          <w:p>
            <w:r>
              <w:t>房间</w:t>
            </w:r>
          </w:p>
        </w:tc>
        <w:tc>
          <w:tcPr>
            <w:tcW w:w="1075" w:type="dxa"/>
            <w:vAlign w:val="center"/>
          </w:tcPr>
          <w:p>
            <w:r>
              <w:t>2.9</w:t>
            </w:r>
          </w:p>
        </w:tc>
        <w:tc>
          <w:tcPr>
            <w:tcW w:w="3356" w:type="dxa"/>
            <w:vAlign w:val="center"/>
          </w:tcPr>
          <w:p>
            <w:r>
              <w:t>38.12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3" w:type="dxa"/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tcW w:w="3356" w:type="dxa"/>
            <w:vAlign w:val="center"/>
          </w:tcPr>
          <w:p>
            <w:r>
              <w:t>39.43%</w:t>
            </w:r>
          </w:p>
        </w:tc>
      </w:tr>
      <w:bookmarkEnd w:id="58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59" w:name="达标比例统计表"/>
      <w:bookmarkEnd w:id="59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60" w:name="_Toc155190196"/>
      <w:r>
        <w:rPr>
          <w:rFonts w:hint="eastAsia"/>
        </w:rPr>
        <w:t>结论</w:t>
      </w:r>
      <w:bookmarkEnd w:id="60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61" w:name="达标百分比"/>
      <w:r>
        <w:rPr>
          <w:rFonts w:hint="eastAsia"/>
          <w:lang w:val="en-US"/>
        </w:rPr>
        <w:t>39.43%</w:t>
      </w:r>
      <w:bookmarkEnd w:id="61"/>
      <w:r>
        <w:rPr>
          <w:rFonts w:hint="eastAsia"/>
          <w:lang w:val="en-US"/>
        </w:rPr>
        <w:t>，根据绿标5.2.9的第1条，应得</w:t>
      </w:r>
      <w:bookmarkStart w:id="62" w:name="得分"/>
      <w:r>
        <w:rPr>
          <w:rFonts w:hint="eastAsia"/>
          <w:lang w:val="en-US"/>
        </w:rPr>
        <w:t>2</w:t>
      </w:r>
      <w:bookmarkEnd w:id="62"/>
      <w:r>
        <w:rPr>
          <w:rFonts w:hint="eastAsia"/>
          <w:lang w:val="en-US"/>
        </w:rPr>
        <w:t>分。</w:t>
      </w:r>
    </w:p>
    <w:p>
      <w:pPr>
        <w:spacing w:line="240" w:lineRule="auto"/>
        <w:rPr>
          <w:szCs w:val="21"/>
          <w:lang w:val="en-US"/>
        </w:rPr>
      </w:pPr>
      <w:r>
        <w:rPr>
          <w:lang w:val="en-US"/>
        </w:rPr>
        <w:br w:type="page"/>
      </w:r>
    </w:p>
    <w:p>
      <w:pPr>
        <w:pStyle w:val="3"/>
        <w:ind w:firstLine="199" w:firstLineChars="95"/>
        <w:rPr>
          <w:lang w:val="en-US"/>
        </w:rPr>
      </w:pPr>
      <w:bookmarkStart w:id="63" w:name="房间逐时温度图"/>
      <w:bookmarkEnd w:id="63"/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color w:val="0000FF"/>
                <w:sz w:val="20"/>
                <w:u w:val="single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color w:val="0000FF"/>
                <w:sz w:val="20"/>
                <w:szCs w:val="21"/>
                <w:u w:val="single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14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15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</w:t>
          </w:r>
          <w:r>
            <w:rPr>
              <w:rFonts w:asciiTheme="minorEastAsia" w:hAnsiTheme="minorEastAsia" w:eastAsiaTheme="minorEastAsia"/>
              <w:sz w:val="20"/>
              <w:szCs w:val="21"/>
            </w:rPr>
            <w:t>2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QwZjZmMWEyMzI5NWM3ZjYzYzNmZDJiZTlkZmZlMTIifQ=="/>
  </w:docVars>
  <w:rsids>
    <w:rsidRoot w:val="00364509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19B1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5905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1F5EAC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2F3AD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51C09"/>
    <w:rsid w:val="00360EF7"/>
    <w:rsid w:val="003630EE"/>
    <w:rsid w:val="00364509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13F3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9560C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573F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15A12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152E0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0DB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0B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060CE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  <w:rsid w:val="00FF547F"/>
    <w:rsid w:val="593151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autoRedefine/>
    <w:uiPriority w:val="0"/>
    <w:pPr>
      <w:adjustRightInd w:val="0"/>
      <w:spacing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autoRedefine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qFormat/>
    <w:uiPriority w:val="0"/>
    <w:pPr>
      <w:shd w:val="clear" w:color="auto" w:fill="000080"/>
    </w:pPr>
  </w:style>
  <w:style w:type="paragraph" w:styleId="15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autoRedefine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autoRedefine/>
    <w:qFormat/>
    <w:uiPriority w:val="20"/>
    <w:rPr>
      <w:color w:val="CC0000"/>
    </w:rPr>
  </w:style>
  <w:style w:type="character" w:styleId="26">
    <w:name w:val="Hyperlink"/>
    <w:autoRedefine/>
    <w:qFormat/>
    <w:uiPriority w:val="99"/>
    <w:rPr>
      <w:color w:val="0000FF"/>
      <w:u w:val="single"/>
    </w:rPr>
  </w:style>
  <w:style w:type="character" w:customStyle="1" w:styleId="27">
    <w:name w:val="标题 1 Char"/>
    <w:link w:val="2"/>
    <w:autoRedefine/>
    <w:qFormat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autoRedefine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autoRedefine/>
    <w:qFormat/>
    <w:uiPriority w:val="99"/>
    <w:rPr>
      <w:sz w:val="21"/>
      <w:szCs w:val="18"/>
      <w:lang w:val="en-GB"/>
    </w:rPr>
  </w:style>
  <w:style w:type="paragraph" w:customStyle="1" w:styleId="30">
    <w:name w:val="lj正文"/>
    <w:autoRedefine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autoRedefine/>
    <w:qFormat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autoRedefine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autoRedefine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autoRedefine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autoRedefine/>
    <w:qFormat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autoRedefine/>
    <w:qFormat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sa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AE21-997A-4B85-8B6E-893C217D5F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Company>ths</Company>
  <Pages>15</Pages>
  <Words>1198</Words>
  <Characters>6832</Characters>
  <Lines>56</Lines>
  <Paragraphs>16</Paragraphs>
  <TotalTime>2</TotalTime>
  <ScaleCrop>false</ScaleCrop>
  <LinksUpToDate>false</LinksUpToDate>
  <CharactersWithSpaces>8014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2024-01-03T08:02:00Z</dcterms:created>
  <dc:creator>Versa</dc:creator>
  <cp:lastModifiedBy>I</cp:lastModifiedBy>
  <cp:lastPrinted>1900-12-31T16:00:00Z</cp:lastPrinted>
  <dcterms:modified xsi:type="dcterms:W3CDTF">2024-01-08T01:01:20Z</dcterms:modified>
  <dc:title>室内热舒适预计达标比例报告书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B0784C8AC85641038E0E54A0337F4C96_12</vt:lpwstr>
  </property>
</Properties>
</file>