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vAlign w:val="top"/>
          </w:tcPr>
          <w:p>
            <w:pPr>
              <w:pStyle w:val="14"/>
              <w:tabs>
                <w:tab w:val="clear" w:pos="4153"/>
                <w:tab w:val="clear" w:pos="8306"/>
              </w:tabs>
              <w:snapToGrid/>
              <w:jc w:val="both"/>
              <w:rPr>
                <w:rFonts w:ascii="宋体" w:hAnsi="宋体"/>
                <w:szCs w:val="21"/>
              </w:rPr>
            </w:pPr>
            <w:r>
              <w:rPr>
                <w:rFonts w:hint="eastAsia" w:ascii="宋体" w:hAnsi="宋体"/>
                <w:szCs w:val="21"/>
              </w:rPr>
              <w:t>破土而生</w:t>
            </w:r>
            <w:r>
              <w:rPr>
                <w:rFonts w:ascii="宋体" w:hAnsi="宋体" w:eastAsia="宋体" w:cs="宋体"/>
                <w:sz w:val="24"/>
                <w:szCs w:val="24"/>
              </w:rPr>
              <w:t>——</w:t>
            </w:r>
            <w:r>
              <w:rPr>
                <w:rFonts w:hint="eastAsia" w:ascii="宋体" w:hAnsi="宋体"/>
                <w:szCs w:val="21"/>
              </w:rPr>
              <w:t>低碳宜居视角下传统民居保护更新设计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vAlign w:val="top"/>
          </w:tcPr>
          <w:p>
            <w:pPr>
              <w:jc w:val="both"/>
              <w:rPr>
                <w:rFonts w:ascii="宋体" w:hAnsi="宋体"/>
                <w:szCs w:val="21"/>
              </w:rPr>
            </w:pPr>
            <w:r>
              <w:rPr>
                <w:rFonts w:hint="eastAsia"/>
                <w:lang w:val="en-US" w:eastAsia="zh-CN"/>
              </w:rPr>
              <w:t>陕西-</w:t>
            </w:r>
            <w:r>
              <w:t>渭南</w:t>
            </w:r>
            <w:r>
              <w:rPr>
                <w:rFonts w:hint="eastAsia"/>
                <w:lang w:val="en-US" w:eastAsia="zh-CN"/>
              </w:rPr>
              <w:t>-韩城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top"/>
          </w:tcPr>
          <w:p>
            <w:pPr>
              <w:jc w:val="both"/>
              <w:rPr>
                <w:rFonts w:ascii="宋体" w:hAnsi="宋体"/>
                <w:szCs w:val="21"/>
              </w:rPr>
            </w:pPr>
            <w:r>
              <w:rPr>
                <w:rFonts w:hint="eastAsia"/>
              </w:rPr>
              <w:t>YB1A60031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vAlign w:val="top"/>
          </w:tcPr>
          <w:p>
            <w:pPr>
              <w:pStyle w:val="14"/>
              <w:tabs>
                <w:tab w:val="clear" w:pos="4153"/>
                <w:tab w:val="clear" w:pos="8306"/>
              </w:tabs>
              <w:snapToGrid/>
              <w:jc w:val="both"/>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top"/>
          </w:tcPr>
          <w:p>
            <w:pPr>
              <w:jc w:val="both"/>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0" w:name="报告日期"/>
            <w:r>
              <w:rPr>
                <w:rFonts w:ascii="宋体" w:hAnsi="宋体"/>
                <w:szCs w:val="21"/>
              </w:rPr>
              <w:t>2024年1月2日</w:t>
            </w:r>
            <w:bookmarkEnd w:id="0"/>
          </w:p>
        </w:tc>
      </w:tr>
    </w:tbl>
    <w:p>
      <w:pPr>
        <w:rPr>
          <w:rFonts w:ascii="宋体" w:hAnsi="宋体"/>
          <w:lang w:val="en-US"/>
        </w:rPr>
      </w:pPr>
    </w:p>
    <w:p>
      <w:pPr>
        <w:jc w:val="center"/>
        <w:rPr>
          <w:rFonts w:ascii="宋体" w:hAnsi="宋体"/>
          <w:lang w:val="en-US"/>
        </w:rPr>
      </w:pPr>
      <w:bookmarkStart w:id="1" w:name="二维码"/>
      <w:bookmarkEnd w:id="1"/>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2" w:name="软件全称"/>
            <w:r>
              <w:rPr>
                <w:rFonts w:hint="eastAsia" w:ascii="宋体" w:hAnsi="宋体"/>
              </w:rPr>
              <w:t>住区热环境TERA2023</w:t>
            </w:r>
            <w:bookmarkEnd w:id="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3" w:name="软件版本"/>
            <w:r>
              <w:t>20220401</w:t>
            </w:r>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4" w:name="加密锁号"/>
            <w:bookmarkEnd w:id="4"/>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5" w:name="目录"/>
      <w:bookmarkEnd w:id="5"/>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"_Toc155124709" </w:instrText>
      </w:r>
      <w:r>
        <w:fldChar w:fldCharType="separate"/>
      </w:r>
      <w:r>
        <w:rPr>
          <w:rStyle w:val="25"/>
        </w:rPr>
        <w:t>1</w:t>
      </w:r>
      <w:r>
        <w:rPr>
          <w:rFonts w:asciiTheme="minorHAnsi" w:hAnsiTheme="minorHAnsi" w:eastAsiaTheme="minorEastAsia" w:cstheme="minorBidi"/>
          <w:b w:val="0"/>
          <w:bCs w:val="0"/>
          <w:szCs w:val="22"/>
        </w:rPr>
        <w:tab/>
      </w:r>
      <w:r>
        <w:rPr>
          <w:rStyle w:val="25"/>
        </w:rPr>
        <w:t>住区概况</w:t>
      </w:r>
      <w:r>
        <w:tab/>
      </w:r>
      <w:r>
        <w:fldChar w:fldCharType="begin"/>
      </w:r>
      <w:r>
        <w:instrText xml:space="preserve"> PAGEREF _Toc155124709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"_Toc155124710" </w:instrText>
      </w:r>
      <w:r>
        <w:fldChar w:fldCharType="separate"/>
      </w:r>
      <w:r>
        <w:rPr>
          <w:rStyle w:val="25"/>
        </w:rPr>
        <w:t>2</w:t>
      </w:r>
      <w:r>
        <w:rPr>
          <w:rFonts w:asciiTheme="minorHAnsi" w:hAnsiTheme="minorHAnsi" w:eastAsiaTheme="minorEastAsia" w:cstheme="minorBidi"/>
          <w:b w:val="0"/>
          <w:bCs w:val="0"/>
          <w:szCs w:val="22"/>
        </w:rPr>
        <w:tab/>
      </w:r>
      <w:r>
        <w:rPr>
          <w:rStyle w:val="25"/>
        </w:rPr>
        <w:t>设计依据</w:t>
      </w:r>
      <w:r>
        <w:tab/>
      </w:r>
      <w:r>
        <w:fldChar w:fldCharType="begin"/>
      </w:r>
      <w:r>
        <w:instrText xml:space="preserve"> PAGEREF _Toc155124710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"_Toc155124711" </w:instrText>
      </w:r>
      <w:r>
        <w:fldChar w:fldCharType="separate"/>
      </w:r>
      <w:r>
        <w:rPr>
          <w:rStyle w:val="25"/>
        </w:rPr>
        <w:t>3</w:t>
      </w:r>
      <w:r>
        <w:rPr>
          <w:rFonts w:asciiTheme="minorHAnsi" w:hAnsiTheme="minorHAnsi" w:eastAsiaTheme="minorEastAsia" w:cstheme="minorBidi"/>
          <w:b w:val="0"/>
          <w:bCs w:val="0"/>
          <w:szCs w:val="22"/>
        </w:rPr>
        <w:tab/>
      </w:r>
      <w:r>
        <w:rPr>
          <w:rStyle w:val="25"/>
        </w:rPr>
        <w:t>计算规定</w:t>
      </w:r>
      <w:r>
        <w:tab/>
      </w:r>
      <w:r>
        <w:fldChar w:fldCharType="begin"/>
      </w:r>
      <w:r>
        <w:instrText xml:space="preserve"> PAGEREF _Toc155124711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"_Toc155124712" </w:instrText>
      </w:r>
      <w:r>
        <w:fldChar w:fldCharType="separate"/>
      </w:r>
      <w:r>
        <w:rPr>
          <w:rStyle w:val="25"/>
          <w:lang w:val="en-GB"/>
        </w:rPr>
        <w:t>3.1</w:t>
      </w:r>
      <w:r>
        <w:rPr>
          <w:rFonts w:asciiTheme="minorHAnsi" w:hAnsiTheme="minorHAnsi" w:eastAsiaTheme="minorEastAsia" w:cstheme="minorBidi"/>
          <w:szCs w:val="22"/>
        </w:rPr>
        <w:tab/>
      </w:r>
      <w:r>
        <w:rPr>
          <w:rStyle w:val="25"/>
        </w:rPr>
        <w:t>强制条文</w:t>
      </w:r>
      <w:r>
        <w:tab/>
      </w:r>
      <w:r>
        <w:fldChar w:fldCharType="begin"/>
      </w:r>
      <w:r>
        <w:instrText xml:space="preserve"> PAGEREF _Toc155124712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"_Toc155124713" </w:instrText>
      </w:r>
      <w:r>
        <w:fldChar w:fldCharType="separate"/>
      </w:r>
      <w:r>
        <w:rPr>
          <w:rStyle w:val="25"/>
          <w:lang w:val="en-GB"/>
        </w:rPr>
        <w:t>3.2</w:t>
      </w:r>
      <w:r>
        <w:rPr>
          <w:rFonts w:asciiTheme="minorHAnsi" w:hAnsiTheme="minorHAnsi" w:eastAsiaTheme="minorEastAsia" w:cstheme="minorBidi"/>
          <w:szCs w:val="22"/>
        </w:rPr>
        <w:tab/>
      </w:r>
      <w:r>
        <w:rPr>
          <w:rStyle w:val="25"/>
        </w:rPr>
        <w:t>评价性设计</w:t>
      </w:r>
      <w:r>
        <w:tab/>
      </w:r>
      <w:r>
        <w:fldChar w:fldCharType="begin"/>
      </w:r>
      <w:r>
        <w:instrText xml:space="preserve"> PAGEREF _Toc155124713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"_Toc155124714" </w:instrText>
      </w:r>
      <w:r>
        <w:fldChar w:fldCharType="separate"/>
      </w:r>
      <w:r>
        <w:rPr>
          <w:rStyle w:val="25"/>
        </w:rPr>
        <w:t>4</w:t>
      </w:r>
      <w:r>
        <w:rPr>
          <w:rFonts w:asciiTheme="minorHAnsi" w:hAnsiTheme="minorHAnsi" w:eastAsiaTheme="minorEastAsia" w:cstheme="minorBidi"/>
          <w:b w:val="0"/>
          <w:bCs w:val="0"/>
          <w:szCs w:val="22"/>
        </w:rPr>
        <w:tab/>
      </w:r>
      <w:r>
        <w:rPr>
          <w:rStyle w:val="25"/>
        </w:rPr>
        <w:t>计算方法</w:t>
      </w:r>
      <w:r>
        <w:tab/>
      </w:r>
      <w:r>
        <w:fldChar w:fldCharType="begin"/>
      </w:r>
      <w:r>
        <w:instrText xml:space="preserve"> PAGEREF _Toc155124714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"_Toc155124715" </w:instrText>
      </w:r>
      <w:r>
        <w:fldChar w:fldCharType="separate"/>
      </w:r>
      <w:r>
        <w:rPr>
          <w:rStyle w:val="25"/>
        </w:rPr>
        <w:t>5</w:t>
      </w:r>
      <w:r>
        <w:rPr>
          <w:rFonts w:asciiTheme="minorHAnsi" w:hAnsiTheme="minorHAnsi" w:eastAsiaTheme="minorEastAsia" w:cstheme="minorBidi"/>
          <w:b w:val="0"/>
          <w:bCs w:val="0"/>
          <w:szCs w:val="22"/>
        </w:rPr>
        <w:tab/>
      </w:r>
      <w:r>
        <w:rPr>
          <w:rStyle w:val="25"/>
        </w:rPr>
        <w:t>计算参数</w:t>
      </w:r>
      <w:r>
        <w:tab/>
      </w:r>
      <w:r>
        <w:fldChar w:fldCharType="begin"/>
      </w:r>
      <w:r>
        <w:instrText xml:space="preserve"> PAGEREF _Toc155124715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"_Toc155124716" </w:instrText>
      </w:r>
      <w:r>
        <w:fldChar w:fldCharType="separate"/>
      </w:r>
      <w:r>
        <w:rPr>
          <w:rStyle w:val="25"/>
          <w:lang w:val="en-GB"/>
        </w:rPr>
        <w:t>5.1</w:t>
      </w:r>
      <w:r>
        <w:rPr>
          <w:rFonts w:asciiTheme="minorHAnsi" w:hAnsiTheme="minorHAnsi" w:eastAsiaTheme="minorEastAsia" w:cstheme="minorBidi"/>
          <w:szCs w:val="22"/>
        </w:rPr>
        <w:tab/>
      </w:r>
      <w:r>
        <w:rPr>
          <w:rStyle w:val="25"/>
        </w:rPr>
        <w:t>典型气象日气象参数</w:t>
      </w:r>
      <w:r>
        <w:tab/>
      </w:r>
      <w:r>
        <w:fldChar w:fldCharType="begin"/>
      </w:r>
      <w:r>
        <w:instrText xml:space="preserve"> PAGEREF _Toc155124716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"_Toc155124717" </w:instrText>
      </w:r>
      <w:r>
        <w:fldChar w:fldCharType="separate"/>
      </w:r>
      <w:r>
        <w:rPr>
          <w:rStyle w:val="25"/>
          <w:lang w:val="en-GB"/>
        </w:rPr>
        <w:t>5.2</w:t>
      </w:r>
      <w:r>
        <w:rPr>
          <w:rFonts w:asciiTheme="minorHAnsi" w:hAnsiTheme="minorHAnsi" w:eastAsiaTheme="minorEastAsia" w:cstheme="minorBidi"/>
          <w:szCs w:val="22"/>
        </w:rPr>
        <w:tab/>
      </w:r>
      <w:r>
        <w:rPr>
          <w:rStyle w:val="25"/>
        </w:rPr>
        <w:t>渗透面夏季逐时蒸发量</w:t>
      </w:r>
      <w:r>
        <w:tab/>
      </w:r>
      <w:r>
        <w:fldChar w:fldCharType="begin"/>
      </w:r>
      <w:r>
        <w:instrText xml:space="preserve"> PAGEREF _Toc155124717 \h </w:instrText>
      </w:r>
      <w:r>
        <w:fldChar w:fldCharType="separate"/>
      </w:r>
      <w:r>
        <w:t>8</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"_Toc155124718" </w:instrText>
      </w:r>
      <w:r>
        <w:fldChar w:fldCharType="separate"/>
      </w:r>
      <w:r>
        <w:rPr>
          <w:rStyle w:val="25"/>
        </w:rPr>
        <w:t>6</w:t>
      </w:r>
      <w:r>
        <w:rPr>
          <w:rFonts w:asciiTheme="minorHAnsi" w:hAnsiTheme="minorHAnsi" w:eastAsiaTheme="minorEastAsia" w:cstheme="minorBidi"/>
          <w:b w:val="0"/>
          <w:bCs w:val="0"/>
          <w:szCs w:val="22"/>
        </w:rPr>
        <w:tab/>
      </w:r>
      <w:r>
        <w:rPr>
          <w:rStyle w:val="25"/>
        </w:rPr>
        <w:t>指标概览</w:t>
      </w:r>
      <w:r>
        <w:tab/>
      </w:r>
      <w:r>
        <w:fldChar w:fldCharType="begin"/>
      </w:r>
      <w:r>
        <w:instrText xml:space="preserve"> PAGEREF _Toc155124718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"_Toc155124719" </w:instrText>
      </w:r>
      <w:r>
        <w:fldChar w:fldCharType="separate"/>
      </w:r>
      <w:r>
        <w:rPr>
          <w:rStyle w:val="25"/>
          <w:lang w:val="en-GB"/>
        </w:rPr>
        <w:t>6.1</w:t>
      </w:r>
      <w:r>
        <w:rPr>
          <w:rFonts w:asciiTheme="minorHAnsi" w:hAnsiTheme="minorHAnsi" w:eastAsiaTheme="minorEastAsia" w:cstheme="minorBidi"/>
          <w:szCs w:val="22"/>
        </w:rPr>
        <w:tab/>
      </w:r>
      <w:r>
        <w:rPr>
          <w:rStyle w:val="25"/>
        </w:rPr>
        <w:t>建筑列表</w:t>
      </w:r>
      <w:r>
        <w:tab/>
      </w:r>
      <w:r>
        <w:fldChar w:fldCharType="begin"/>
      </w:r>
      <w:r>
        <w:instrText xml:space="preserve"> PAGEREF _Toc155124719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"_Toc155124720" </w:instrText>
      </w:r>
      <w:r>
        <w:fldChar w:fldCharType="separate"/>
      </w:r>
      <w:r>
        <w:rPr>
          <w:rStyle w:val="25"/>
          <w:lang w:val="en-GB"/>
        </w:rPr>
        <w:t>6.2</w:t>
      </w:r>
      <w:r>
        <w:rPr>
          <w:rFonts w:asciiTheme="minorHAnsi" w:hAnsiTheme="minorHAnsi" w:eastAsiaTheme="minorEastAsia" w:cstheme="minorBidi"/>
          <w:szCs w:val="22"/>
        </w:rPr>
        <w:tab/>
      </w:r>
      <w:r>
        <w:rPr>
          <w:rStyle w:val="25"/>
        </w:rPr>
        <w:t>住区指标</w:t>
      </w:r>
      <w:r>
        <w:tab/>
      </w:r>
      <w:r>
        <w:fldChar w:fldCharType="begin"/>
      </w:r>
      <w:r>
        <w:instrText xml:space="preserve"> PAGEREF _Toc155124720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"_Toc155124721" </w:instrText>
      </w:r>
      <w:r>
        <w:fldChar w:fldCharType="separate"/>
      </w:r>
      <w:r>
        <w:rPr>
          <w:rStyle w:val="25"/>
        </w:rPr>
        <w:t>7</w:t>
      </w:r>
      <w:r>
        <w:rPr>
          <w:rFonts w:asciiTheme="minorHAnsi" w:hAnsiTheme="minorHAnsi" w:eastAsiaTheme="minorEastAsia" w:cstheme="minorBidi"/>
          <w:b w:val="0"/>
          <w:bCs w:val="0"/>
          <w:szCs w:val="22"/>
        </w:rPr>
        <w:tab/>
      </w:r>
      <w:r>
        <w:rPr>
          <w:rStyle w:val="25"/>
        </w:rPr>
        <w:t>强条检查</w:t>
      </w:r>
      <w:r>
        <w:tab/>
      </w:r>
      <w:r>
        <w:fldChar w:fldCharType="begin"/>
      </w:r>
      <w:r>
        <w:instrText xml:space="preserve"> PAGEREF _Toc155124721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"_Toc155124722" </w:instrText>
      </w:r>
      <w:r>
        <w:fldChar w:fldCharType="separate"/>
      </w:r>
      <w:r>
        <w:rPr>
          <w:rStyle w:val="25"/>
          <w:lang w:val="en-GB"/>
        </w:rPr>
        <w:t>7.1</w:t>
      </w:r>
      <w:r>
        <w:rPr>
          <w:rFonts w:asciiTheme="minorHAnsi" w:hAnsiTheme="minorHAnsi" w:eastAsiaTheme="minorEastAsia" w:cstheme="minorBidi"/>
          <w:szCs w:val="22"/>
        </w:rPr>
        <w:tab/>
      </w:r>
      <w:r>
        <w:rPr>
          <w:rStyle w:val="25"/>
        </w:rPr>
        <w:t>平均迎风面积比</w:t>
      </w:r>
      <w:r>
        <w:tab/>
      </w:r>
      <w:r>
        <w:fldChar w:fldCharType="begin"/>
      </w:r>
      <w:r>
        <w:instrText xml:space="preserve"> PAGEREF _Toc155124722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"_Toc155124723" </w:instrText>
      </w:r>
      <w:r>
        <w:fldChar w:fldCharType="separate"/>
      </w:r>
      <w:r>
        <w:rPr>
          <w:rStyle w:val="25"/>
          <w:lang w:val="en-GB"/>
        </w:rPr>
        <w:t>7.2</w:t>
      </w:r>
      <w:r>
        <w:rPr>
          <w:rFonts w:asciiTheme="minorHAnsi" w:hAnsiTheme="minorHAnsi" w:eastAsiaTheme="minorEastAsia" w:cstheme="minorBidi"/>
          <w:szCs w:val="22"/>
        </w:rPr>
        <w:tab/>
      </w:r>
      <w:r>
        <w:rPr>
          <w:rStyle w:val="25"/>
        </w:rPr>
        <w:t>活动场地遮阳覆盖率</w:t>
      </w:r>
      <w:r>
        <w:tab/>
      </w:r>
      <w:r>
        <w:fldChar w:fldCharType="begin"/>
      </w:r>
      <w:r>
        <w:instrText xml:space="preserve"> PAGEREF _Toc155124723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"_Toc155124724" </w:instrText>
      </w:r>
      <w:r>
        <w:fldChar w:fldCharType="separate"/>
      </w:r>
      <w:r>
        <w:rPr>
          <w:rStyle w:val="25"/>
        </w:rPr>
        <w:t>8</w:t>
      </w:r>
      <w:r>
        <w:rPr>
          <w:rFonts w:asciiTheme="minorHAnsi" w:hAnsiTheme="minorHAnsi" w:eastAsiaTheme="minorEastAsia" w:cstheme="minorBidi"/>
          <w:b w:val="0"/>
          <w:bCs w:val="0"/>
          <w:szCs w:val="22"/>
        </w:rPr>
        <w:tab/>
      </w:r>
      <w:r>
        <w:rPr>
          <w:rStyle w:val="25"/>
        </w:rPr>
        <w:t>评价性设计</w:t>
      </w:r>
      <w:r>
        <w:tab/>
      </w:r>
      <w:r>
        <w:fldChar w:fldCharType="begin"/>
      </w:r>
      <w:r>
        <w:instrText xml:space="preserve"> PAGEREF _Toc155124724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"_Toc155124725" </w:instrText>
      </w:r>
      <w:r>
        <w:fldChar w:fldCharType="separate"/>
      </w:r>
      <w:r>
        <w:rPr>
          <w:rStyle w:val="25"/>
          <w:lang w:val="en-GB"/>
        </w:rPr>
        <w:t>8.1</w:t>
      </w:r>
      <w:r>
        <w:rPr>
          <w:rFonts w:asciiTheme="minorHAnsi" w:hAnsiTheme="minorHAnsi" w:eastAsiaTheme="minorEastAsia" w:cstheme="minorBidi"/>
          <w:szCs w:val="22"/>
        </w:rPr>
        <w:tab/>
      </w:r>
      <w:r>
        <w:rPr>
          <w:rStyle w:val="25"/>
        </w:rPr>
        <w:t>平均热岛强度</w:t>
      </w:r>
      <w:r>
        <w:tab/>
      </w:r>
      <w:r>
        <w:fldChar w:fldCharType="begin"/>
      </w:r>
      <w:r>
        <w:instrText xml:space="preserve"> PAGEREF _Toc155124725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"_Toc155124726" </w:instrText>
      </w:r>
      <w:r>
        <w:fldChar w:fldCharType="separate"/>
      </w:r>
      <w:r>
        <w:rPr>
          <w:rStyle w:val="25"/>
          <w:lang w:val="en-GB"/>
        </w:rPr>
        <w:t>8.2</w:t>
      </w:r>
      <w:r>
        <w:rPr>
          <w:rFonts w:asciiTheme="minorHAnsi" w:hAnsiTheme="minorHAnsi" w:eastAsiaTheme="minorEastAsia" w:cstheme="minorBidi"/>
          <w:szCs w:val="22"/>
        </w:rPr>
        <w:tab/>
      </w:r>
      <w:r>
        <w:rPr>
          <w:rStyle w:val="25"/>
        </w:rPr>
        <w:t>湿球黑球温度</w:t>
      </w:r>
      <w:r>
        <w:tab/>
      </w:r>
      <w:r>
        <w:fldChar w:fldCharType="begin"/>
      </w:r>
      <w:r>
        <w:instrText xml:space="preserve"> PAGEREF _Toc155124726 \h </w:instrText>
      </w:r>
      <w:r>
        <w:fldChar w:fldCharType="separate"/>
      </w:r>
      <w:r>
        <w:t>11</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"_Toc155124727" </w:instrText>
      </w:r>
      <w:r>
        <w:fldChar w:fldCharType="separate"/>
      </w:r>
      <w:r>
        <w:rPr>
          <w:rStyle w:val="25"/>
        </w:rPr>
        <w:t>9</w:t>
      </w:r>
      <w:r>
        <w:rPr>
          <w:rFonts w:asciiTheme="minorHAnsi" w:hAnsiTheme="minorHAnsi" w:eastAsiaTheme="minorEastAsia" w:cstheme="minorBidi"/>
          <w:b w:val="0"/>
          <w:bCs w:val="0"/>
          <w:szCs w:val="22"/>
        </w:rPr>
        <w:tab/>
      </w:r>
      <w:r>
        <w:rPr>
          <w:rStyle w:val="25"/>
        </w:rPr>
        <w:t>结论</w:t>
      </w:r>
      <w:r>
        <w:tab/>
      </w:r>
      <w:r>
        <w:fldChar w:fldCharType="begin"/>
      </w:r>
      <w:r>
        <w:instrText xml:space="preserve"> PAGEREF _Toc155124727 \h </w:instrText>
      </w:r>
      <w:r>
        <w:fldChar w:fldCharType="separate"/>
      </w:r>
      <w:r>
        <w:t>11</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6" w:name="_Toc155124709"/>
      <w:r>
        <w:rPr>
          <w:rFonts w:hint="eastAsia"/>
        </w:rPr>
        <w:t>住区概况</w:t>
      </w:r>
      <w:bookmarkEnd w:id="6"/>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7" w:name="工程名称1"/>
            <w:r>
              <w:rPr>
                <w:rFonts w:hint="eastAsia" w:ascii="宋体" w:hAnsi="宋体"/>
              </w:rPr>
              <w:t>破土而生</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8" w:name="工程地点"/>
            <w:r>
              <w:t>渭南</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9" w:name="纬度"/>
            <w:r>
              <w:t>34.50</w:t>
            </w:r>
            <w:bookmarkEnd w:id="9"/>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0" w:name="经度"/>
            <w:r>
              <w:t>109.50</w:t>
            </w:r>
            <w:bookmarkEnd w:id="10"/>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1" w:name="气候区"/>
            <w:r>
              <w:t>IIB</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2" w:name="主导风向"/>
            <w:r>
              <w:t>东</w:t>
            </w:r>
            <w:bookmarkEnd w:id="12"/>
          </w:p>
        </w:tc>
      </w:tr>
    </w:tbl>
    <w:p>
      <w:pPr>
        <w:pStyle w:val="3"/>
        <w:ind w:firstLine="420"/>
        <w:rPr>
          <w:lang w:val="en-US"/>
        </w:rPr>
      </w:pPr>
    </w:p>
    <w:p>
      <w:pPr>
        <w:pStyle w:val="3"/>
        <w:ind w:firstLine="420"/>
        <w:jc w:val="center"/>
        <w:rPr>
          <w:lang w:val="en-US"/>
        </w:rPr>
      </w:pPr>
      <w:bookmarkStart w:id="13" w:name="总图鸟瞰图"/>
      <w:bookmarkEnd w:id="13"/>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4" w:name="OLE_LINK4"/>
      <w:bookmarkStart w:id="15" w:name="OLE_LINK3"/>
      <w:r>
        <w:rPr>
          <w:rFonts w:hint="eastAsia" w:ascii="宋体" w:hAnsi="宋体"/>
        </w:rPr>
        <w:t>图</w:t>
      </w:r>
      <w:r>
        <w:rPr>
          <w:rFonts w:ascii="宋体" w:hAnsi="宋体"/>
        </w:rPr>
        <w:t>1</w:t>
      </w:r>
      <w:r>
        <w:rPr>
          <w:rFonts w:hint="eastAsia" w:ascii="宋体" w:hAnsi="宋体"/>
        </w:rPr>
        <w:t>.1 场地鸟瞰图</w:t>
      </w:r>
      <w:bookmarkEnd w:id="14"/>
      <w:bookmarkEnd w:id="15"/>
    </w:p>
    <w:p>
      <w:pPr>
        <w:pStyle w:val="3"/>
        <w:ind w:firstLine="420"/>
        <w:rPr>
          <w:lang w:val="en-US"/>
        </w:rPr>
      </w:pPr>
    </w:p>
    <w:p>
      <w:pPr>
        <w:pStyle w:val="3"/>
        <w:ind w:firstLine="420"/>
        <w:jc w:val="center"/>
        <w:rPr>
          <w:lang w:val="en-US"/>
        </w:rPr>
      </w:pPr>
      <w:bookmarkStart w:id="16" w:name="总图平面图"/>
      <w:bookmarkEnd w:id="16"/>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17" w:name="_Toc155124710"/>
      <w:bookmarkStart w:id="18" w:name="TitleFormat"/>
      <w:r>
        <w:rPr>
          <w:rFonts w:hint="eastAsia"/>
        </w:rPr>
        <w:t>设计依据</w:t>
      </w:r>
      <w:bookmarkEnd w:id="17"/>
    </w:p>
    <w:p>
      <w:pPr>
        <w:widowControl w:val="0"/>
        <w:spacing w:line="360" w:lineRule="auto"/>
        <w:jc w:val="both"/>
        <w:rPr>
          <w:kern w:val="2"/>
          <w:szCs w:val="24"/>
          <w:lang w:val="en-US"/>
        </w:rPr>
      </w:pPr>
      <w:bookmarkStart w:id="19" w:name="计算依据"/>
      <w:r>
        <w:t>1. 《绿色建筑评价标准》GB/T 50378-2019</w:t>
      </w:r>
      <w:r>
        <w:br w:type="textWrapping"/>
      </w:r>
      <w:r>
        <w:t>2. 《城市居住区热环境设计标准》JGJ 286-2013</w:t>
      </w:r>
      <w:bookmarkEnd w:id="18"/>
      <w:bookmarkEnd w:id="19"/>
    </w:p>
    <w:p>
      <w:pPr>
        <w:pStyle w:val="2"/>
      </w:pPr>
      <w:bookmarkStart w:id="20" w:name="_Toc155124711"/>
      <w:r>
        <w:rPr>
          <w:rFonts w:hint="eastAsia"/>
        </w:rPr>
        <w:t>计算规定</w:t>
      </w:r>
      <w:bookmarkEnd w:id="20"/>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1" w:name="_Toc155124712"/>
      <w:bookmarkStart w:id="22" w:name="_Toc16494769"/>
      <w:r>
        <w:rPr>
          <w:rFonts w:hint="eastAsia"/>
        </w:rPr>
        <w:t>强制条文</w:t>
      </w:r>
      <w:bookmarkEnd w:id="21"/>
      <w:bookmarkEnd w:id="22"/>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3" w:name="_Toc155124713"/>
      <w:bookmarkStart w:id="24" w:name="_Toc16494771"/>
      <w:r>
        <w:rPr>
          <w:rFonts w:hint="eastAsia"/>
        </w:rPr>
        <w:t>评价性设计</w:t>
      </w:r>
      <w:bookmarkEnd w:id="23"/>
      <w:bookmarkEnd w:id="24"/>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5" w:name="_Toc155124714"/>
      <w:r>
        <w:rPr>
          <w:rFonts w:hint="eastAsia"/>
        </w:rPr>
        <w:t>计算方法</w:t>
      </w:r>
      <w:bookmarkEnd w:id="25"/>
    </w:p>
    <w:p>
      <w:pPr>
        <w:widowControl w:val="0"/>
        <w:spacing w:line="360" w:lineRule="auto"/>
        <w:jc w:val="both"/>
        <w:rPr>
          <w:kern w:val="2"/>
          <w:szCs w:val="21"/>
          <w:lang w:val="en-US"/>
        </w:rPr>
      </w:pPr>
      <w:bookmarkStart w:id="26" w:name="计算方法"/>
      <w:bookmarkEnd w:id="26"/>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9pt;width:396.3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21.9pt;width:108.3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21.9pt;width:294.9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21.9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4.4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3pt;width:108.3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21.9pt;width:28.8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21.9pt;width:28.8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21.9pt;width:43.2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21.9pt;width:43.2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21.9pt;width:28.8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21.9pt;width:43.2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21.9pt;width:65.1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21.9pt;width:36.3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21.9pt;width:28.8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4.4pt;width:14.4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21.9pt;width:28.8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4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4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9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27" w:name="_Toc155124715"/>
      <w:r>
        <w:rPr>
          <w:rFonts w:hint="eastAsia"/>
        </w:rPr>
        <w:t>计算参数</w:t>
      </w:r>
      <w:bookmarkEnd w:id="27"/>
    </w:p>
    <w:p>
      <w:pPr>
        <w:pStyle w:val="4"/>
      </w:pPr>
      <w:bookmarkStart w:id="28" w:name="_Toc155124716"/>
      <w:r>
        <w:rPr>
          <w:rFonts w:hint="eastAsia"/>
        </w:rPr>
        <w:t>典型气象日气象参数</w:t>
      </w:r>
      <w:bookmarkEnd w:id="2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22.0</w:t>
            </w:r>
          </w:p>
        </w:tc>
        <w:tc>
          <w:tcPr>
            <w:tcW w:w="1341" w:type="dxa"/>
            <w:vAlign w:val="center"/>
          </w:tcPr>
          <w:p>
            <w:pPr>
              <w:jc w:val="center"/>
            </w:pPr>
            <w:r>
              <w:t>28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0.0</w:t>
            </w:r>
          </w:p>
        </w:tc>
        <w:tc>
          <w:tcPr>
            <w:tcW w:w="1341" w:type="dxa"/>
            <w:vMerge w:val="restart"/>
            <w:vAlign w:val="center"/>
          </w:tcPr>
          <w:p>
            <w:pPr>
              <w:jc w:val="center"/>
            </w:pPr>
            <w:r>
              <w:t>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21.3</w:t>
            </w:r>
          </w:p>
        </w:tc>
        <w:tc>
          <w:tcPr>
            <w:tcW w:w="1341" w:type="dxa"/>
            <w:vAlign w:val="center"/>
          </w:tcPr>
          <w:p>
            <w:pPr>
              <w:jc w:val="center"/>
            </w:pPr>
            <w:r>
              <w:t>26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20.8</w:t>
            </w:r>
          </w:p>
        </w:tc>
        <w:tc>
          <w:tcPr>
            <w:tcW w:w="1341" w:type="dxa"/>
            <w:vAlign w:val="center"/>
          </w:tcPr>
          <w:p>
            <w:pPr>
              <w:jc w:val="center"/>
            </w:pPr>
            <w:r>
              <w:t>24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20.5</w:t>
            </w:r>
          </w:p>
        </w:tc>
        <w:tc>
          <w:tcPr>
            <w:tcW w:w="1341" w:type="dxa"/>
            <w:vAlign w:val="center"/>
          </w:tcPr>
          <w:p>
            <w:pPr>
              <w:jc w:val="center"/>
            </w:pPr>
            <w:r>
              <w:t>23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20.5</w:t>
            </w:r>
          </w:p>
        </w:tc>
        <w:tc>
          <w:tcPr>
            <w:tcW w:w="1341" w:type="dxa"/>
            <w:vAlign w:val="center"/>
          </w:tcPr>
          <w:p>
            <w:pPr>
              <w:jc w:val="center"/>
            </w:pPr>
            <w:r>
              <w:t>21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20.8</w:t>
            </w:r>
          </w:p>
        </w:tc>
        <w:tc>
          <w:tcPr>
            <w:tcW w:w="1341" w:type="dxa"/>
            <w:vAlign w:val="center"/>
          </w:tcPr>
          <w:p>
            <w:pPr>
              <w:jc w:val="center"/>
            </w:pPr>
            <w:r>
              <w:t>20</w:t>
            </w:r>
          </w:p>
        </w:tc>
        <w:tc>
          <w:tcPr>
            <w:tcW w:w="1341" w:type="dxa"/>
            <w:vAlign w:val="center"/>
          </w:tcPr>
          <w:p>
            <w:pPr>
              <w:jc w:val="center"/>
            </w:pPr>
            <w:r>
              <w:t>36.11</w:t>
            </w:r>
          </w:p>
        </w:tc>
        <w:tc>
          <w:tcPr>
            <w:tcW w:w="1341" w:type="dxa"/>
            <w:vAlign w:val="center"/>
          </w:tcPr>
          <w:p>
            <w:pPr>
              <w:jc w:val="center"/>
            </w:pPr>
            <w:r>
              <w:t>36.11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21.3</w:t>
            </w:r>
          </w:p>
        </w:tc>
        <w:tc>
          <w:tcPr>
            <w:tcW w:w="1341" w:type="dxa"/>
            <w:vAlign w:val="center"/>
          </w:tcPr>
          <w:p>
            <w:pPr>
              <w:jc w:val="center"/>
            </w:pPr>
            <w:r>
              <w:t>20</w:t>
            </w:r>
          </w:p>
        </w:tc>
        <w:tc>
          <w:tcPr>
            <w:tcW w:w="1341" w:type="dxa"/>
            <w:vAlign w:val="center"/>
          </w:tcPr>
          <w:p>
            <w:pPr>
              <w:jc w:val="center"/>
            </w:pPr>
            <w:r>
              <w:t>158.33</w:t>
            </w:r>
          </w:p>
        </w:tc>
        <w:tc>
          <w:tcPr>
            <w:tcW w:w="1341" w:type="dxa"/>
            <w:vAlign w:val="center"/>
          </w:tcPr>
          <w:p>
            <w:pPr>
              <w:jc w:val="center"/>
            </w:pPr>
            <w:r>
              <w:t>111.11</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22.1</w:t>
            </w:r>
          </w:p>
        </w:tc>
        <w:tc>
          <w:tcPr>
            <w:tcW w:w="1341" w:type="dxa"/>
            <w:vAlign w:val="center"/>
          </w:tcPr>
          <w:p>
            <w:pPr>
              <w:jc w:val="center"/>
            </w:pPr>
            <w:r>
              <w:t>19</w:t>
            </w:r>
          </w:p>
        </w:tc>
        <w:tc>
          <w:tcPr>
            <w:tcW w:w="1341" w:type="dxa"/>
            <w:vAlign w:val="center"/>
          </w:tcPr>
          <w:p>
            <w:pPr>
              <w:jc w:val="center"/>
            </w:pPr>
            <w:r>
              <w:t>297.22</w:t>
            </w:r>
          </w:p>
        </w:tc>
        <w:tc>
          <w:tcPr>
            <w:tcW w:w="1341" w:type="dxa"/>
            <w:vAlign w:val="center"/>
          </w:tcPr>
          <w:p>
            <w:pPr>
              <w:jc w:val="center"/>
            </w:pPr>
            <w:r>
              <w:t>183.33</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23.2</w:t>
            </w:r>
          </w:p>
        </w:tc>
        <w:tc>
          <w:tcPr>
            <w:tcW w:w="1341" w:type="dxa"/>
            <w:vAlign w:val="center"/>
          </w:tcPr>
          <w:p>
            <w:pPr>
              <w:jc w:val="center"/>
            </w:pPr>
            <w:r>
              <w:t>18</w:t>
            </w:r>
          </w:p>
        </w:tc>
        <w:tc>
          <w:tcPr>
            <w:tcW w:w="1341" w:type="dxa"/>
            <w:vAlign w:val="center"/>
          </w:tcPr>
          <w:p>
            <w:pPr>
              <w:jc w:val="center"/>
            </w:pPr>
            <w:r>
              <w:t>444.44</w:t>
            </w:r>
          </w:p>
        </w:tc>
        <w:tc>
          <w:tcPr>
            <w:tcW w:w="1341" w:type="dxa"/>
            <w:vAlign w:val="center"/>
          </w:tcPr>
          <w:p>
            <w:pPr>
              <w:jc w:val="center"/>
            </w:pPr>
            <w:r>
              <w:t>250.00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24.5</w:t>
            </w:r>
          </w:p>
        </w:tc>
        <w:tc>
          <w:tcPr>
            <w:tcW w:w="1341" w:type="dxa"/>
            <w:vAlign w:val="center"/>
          </w:tcPr>
          <w:p>
            <w:pPr>
              <w:jc w:val="center"/>
            </w:pPr>
            <w:r>
              <w:t>18</w:t>
            </w:r>
          </w:p>
        </w:tc>
        <w:tc>
          <w:tcPr>
            <w:tcW w:w="1341" w:type="dxa"/>
            <w:vAlign w:val="center"/>
          </w:tcPr>
          <w:p>
            <w:pPr>
              <w:jc w:val="center"/>
            </w:pPr>
            <w:r>
              <w:t>580.56</w:t>
            </w:r>
          </w:p>
        </w:tc>
        <w:tc>
          <w:tcPr>
            <w:tcW w:w="1341" w:type="dxa"/>
            <w:vAlign w:val="center"/>
          </w:tcPr>
          <w:p>
            <w:pPr>
              <w:jc w:val="center"/>
            </w:pPr>
            <w:r>
              <w:t>308.33</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25.8</w:t>
            </w:r>
          </w:p>
        </w:tc>
        <w:tc>
          <w:tcPr>
            <w:tcW w:w="1341" w:type="dxa"/>
            <w:vAlign w:val="center"/>
          </w:tcPr>
          <w:p>
            <w:pPr>
              <w:jc w:val="center"/>
            </w:pPr>
            <w:r>
              <w:t>18</w:t>
            </w:r>
          </w:p>
        </w:tc>
        <w:tc>
          <w:tcPr>
            <w:tcW w:w="1341" w:type="dxa"/>
            <w:vAlign w:val="center"/>
          </w:tcPr>
          <w:p>
            <w:pPr>
              <w:jc w:val="center"/>
            </w:pPr>
            <w:r>
              <w:t>686.11</w:t>
            </w:r>
          </w:p>
        </w:tc>
        <w:tc>
          <w:tcPr>
            <w:tcW w:w="1341" w:type="dxa"/>
            <w:vAlign w:val="center"/>
          </w:tcPr>
          <w:p>
            <w:pPr>
              <w:jc w:val="center"/>
            </w:pPr>
            <w:r>
              <w:t>350.00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27.0</w:t>
            </w:r>
          </w:p>
        </w:tc>
        <w:tc>
          <w:tcPr>
            <w:tcW w:w="1341" w:type="dxa"/>
            <w:vAlign w:val="center"/>
          </w:tcPr>
          <w:p>
            <w:pPr>
              <w:jc w:val="center"/>
            </w:pPr>
            <w:r>
              <w:t>18</w:t>
            </w:r>
          </w:p>
        </w:tc>
        <w:tc>
          <w:tcPr>
            <w:tcW w:w="1341" w:type="dxa"/>
            <w:vAlign w:val="center"/>
          </w:tcPr>
          <w:p>
            <w:pPr>
              <w:jc w:val="center"/>
            </w:pPr>
            <w:r>
              <w:t>747.22</w:t>
            </w:r>
          </w:p>
        </w:tc>
        <w:tc>
          <w:tcPr>
            <w:tcW w:w="1341" w:type="dxa"/>
            <w:vAlign w:val="center"/>
          </w:tcPr>
          <w:p>
            <w:pPr>
              <w:jc w:val="center"/>
            </w:pPr>
            <w:r>
              <w:t>372.22</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28.1</w:t>
            </w:r>
          </w:p>
        </w:tc>
        <w:tc>
          <w:tcPr>
            <w:tcW w:w="1341" w:type="dxa"/>
            <w:vAlign w:val="center"/>
          </w:tcPr>
          <w:p>
            <w:pPr>
              <w:jc w:val="center"/>
            </w:pPr>
            <w:r>
              <w:t>20</w:t>
            </w:r>
          </w:p>
        </w:tc>
        <w:tc>
          <w:tcPr>
            <w:tcW w:w="1341" w:type="dxa"/>
            <w:vAlign w:val="center"/>
          </w:tcPr>
          <w:p>
            <w:pPr>
              <w:jc w:val="center"/>
            </w:pPr>
            <w:r>
              <w:t>750.00</w:t>
            </w:r>
          </w:p>
        </w:tc>
        <w:tc>
          <w:tcPr>
            <w:tcW w:w="1341" w:type="dxa"/>
            <w:vAlign w:val="center"/>
          </w:tcPr>
          <w:p>
            <w:pPr>
              <w:jc w:val="center"/>
            </w:pPr>
            <w:r>
              <w:t>372.22</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28.9</w:t>
            </w:r>
          </w:p>
        </w:tc>
        <w:tc>
          <w:tcPr>
            <w:tcW w:w="1341" w:type="dxa"/>
            <w:vAlign w:val="center"/>
          </w:tcPr>
          <w:p>
            <w:pPr>
              <w:jc w:val="center"/>
            </w:pPr>
            <w:r>
              <w:t>22</w:t>
            </w:r>
          </w:p>
        </w:tc>
        <w:tc>
          <w:tcPr>
            <w:tcW w:w="1341" w:type="dxa"/>
            <w:vAlign w:val="center"/>
          </w:tcPr>
          <w:p>
            <w:pPr>
              <w:jc w:val="center"/>
            </w:pPr>
            <w:r>
              <w:t>700.00</w:t>
            </w:r>
          </w:p>
        </w:tc>
        <w:tc>
          <w:tcPr>
            <w:tcW w:w="1341" w:type="dxa"/>
            <w:vAlign w:val="center"/>
          </w:tcPr>
          <w:p>
            <w:pPr>
              <w:jc w:val="center"/>
            </w:pPr>
            <w:r>
              <w:t>352.78</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29.3</w:t>
            </w:r>
          </w:p>
        </w:tc>
        <w:tc>
          <w:tcPr>
            <w:tcW w:w="1341" w:type="dxa"/>
            <w:vAlign w:val="center"/>
          </w:tcPr>
          <w:p>
            <w:pPr>
              <w:jc w:val="center"/>
            </w:pPr>
            <w:r>
              <w:t>26</w:t>
            </w:r>
          </w:p>
        </w:tc>
        <w:tc>
          <w:tcPr>
            <w:tcW w:w="1341" w:type="dxa"/>
            <w:vAlign w:val="center"/>
          </w:tcPr>
          <w:p>
            <w:pPr>
              <w:jc w:val="center"/>
            </w:pPr>
            <w:r>
              <w:t>600.00</w:t>
            </w:r>
          </w:p>
        </w:tc>
        <w:tc>
          <w:tcPr>
            <w:tcW w:w="1341" w:type="dxa"/>
            <w:vAlign w:val="center"/>
          </w:tcPr>
          <w:p>
            <w:pPr>
              <w:jc w:val="center"/>
            </w:pPr>
            <w:r>
              <w:t>316.67</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29.3</w:t>
            </w:r>
          </w:p>
        </w:tc>
        <w:tc>
          <w:tcPr>
            <w:tcW w:w="1341" w:type="dxa"/>
            <w:vAlign w:val="center"/>
          </w:tcPr>
          <w:p>
            <w:pPr>
              <w:jc w:val="center"/>
            </w:pPr>
            <w:r>
              <w:t>30</w:t>
            </w:r>
          </w:p>
        </w:tc>
        <w:tc>
          <w:tcPr>
            <w:tcW w:w="1341" w:type="dxa"/>
            <w:vAlign w:val="center"/>
          </w:tcPr>
          <w:p>
            <w:pPr>
              <w:jc w:val="center"/>
            </w:pPr>
            <w:r>
              <w:t>469.44</w:t>
            </w:r>
          </w:p>
        </w:tc>
        <w:tc>
          <w:tcPr>
            <w:tcW w:w="1341" w:type="dxa"/>
            <w:vAlign w:val="center"/>
          </w:tcPr>
          <w:p>
            <w:pPr>
              <w:jc w:val="center"/>
            </w:pPr>
            <w:r>
              <w:t>261.11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29.1</w:t>
            </w:r>
          </w:p>
        </w:tc>
        <w:tc>
          <w:tcPr>
            <w:tcW w:w="1341" w:type="dxa"/>
            <w:vAlign w:val="center"/>
          </w:tcPr>
          <w:p>
            <w:pPr>
              <w:jc w:val="center"/>
            </w:pPr>
            <w:r>
              <w:t>35</w:t>
            </w:r>
          </w:p>
        </w:tc>
        <w:tc>
          <w:tcPr>
            <w:tcW w:w="1341" w:type="dxa"/>
            <w:vAlign w:val="center"/>
          </w:tcPr>
          <w:p>
            <w:pPr>
              <w:jc w:val="center"/>
            </w:pPr>
            <w:r>
              <w:t>322.22</w:t>
            </w:r>
          </w:p>
        </w:tc>
        <w:tc>
          <w:tcPr>
            <w:tcW w:w="1341" w:type="dxa"/>
            <w:vAlign w:val="center"/>
          </w:tcPr>
          <w:p>
            <w:pPr>
              <w:jc w:val="center"/>
            </w:pPr>
            <w:r>
              <w:t>194.44</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28.6</w:t>
            </w:r>
          </w:p>
        </w:tc>
        <w:tc>
          <w:tcPr>
            <w:tcW w:w="1341" w:type="dxa"/>
            <w:vAlign w:val="center"/>
          </w:tcPr>
          <w:p>
            <w:pPr>
              <w:jc w:val="center"/>
            </w:pPr>
            <w:r>
              <w:t>40</w:t>
            </w:r>
          </w:p>
        </w:tc>
        <w:tc>
          <w:tcPr>
            <w:tcW w:w="1341" w:type="dxa"/>
            <w:vAlign w:val="center"/>
          </w:tcPr>
          <w:p>
            <w:pPr>
              <w:jc w:val="center"/>
            </w:pPr>
            <w:r>
              <w:t>177.78</w:t>
            </w:r>
          </w:p>
        </w:tc>
        <w:tc>
          <w:tcPr>
            <w:tcW w:w="1341" w:type="dxa"/>
            <w:vAlign w:val="center"/>
          </w:tcPr>
          <w:p>
            <w:pPr>
              <w:jc w:val="center"/>
            </w:pPr>
            <w:r>
              <w:t>116.67</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28.0</w:t>
            </w:r>
          </w:p>
        </w:tc>
        <w:tc>
          <w:tcPr>
            <w:tcW w:w="1341" w:type="dxa"/>
            <w:vAlign w:val="center"/>
          </w:tcPr>
          <w:p>
            <w:pPr>
              <w:jc w:val="center"/>
            </w:pPr>
            <w:r>
              <w:t>44</w:t>
            </w:r>
          </w:p>
        </w:tc>
        <w:tc>
          <w:tcPr>
            <w:tcW w:w="1341" w:type="dxa"/>
            <w:vAlign w:val="center"/>
          </w:tcPr>
          <w:p>
            <w:pPr>
              <w:jc w:val="center"/>
            </w:pPr>
            <w:r>
              <w:t>52.78</w:t>
            </w:r>
          </w:p>
        </w:tc>
        <w:tc>
          <w:tcPr>
            <w:tcW w:w="1341" w:type="dxa"/>
            <w:vAlign w:val="center"/>
          </w:tcPr>
          <w:p>
            <w:pPr>
              <w:jc w:val="center"/>
            </w:pPr>
            <w:r>
              <w:t>36.11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27.3</w:t>
            </w:r>
          </w:p>
        </w:tc>
        <w:tc>
          <w:tcPr>
            <w:tcW w:w="1341" w:type="dxa"/>
            <w:vAlign w:val="center"/>
          </w:tcPr>
          <w:p>
            <w:pPr>
              <w:jc w:val="center"/>
            </w:pPr>
            <w:r>
              <w:t>47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26.6</w:t>
            </w:r>
          </w:p>
        </w:tc>
        <w:tc>
          <w:tcPr>
            <w:tcW w:w="1341" w:type="dxa"/>
            <w:vAlign w:val="center"/>
          </w:tcPr>
          <w:p>
            <w:pPr>
              <w:jc w:val="center"/>
            </w:pPr>
            <w:r>
              <w:t>49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26.0</w:t>
            </w:r>
          </w:p>
        </w:tc>
        <w:tc>
          <w:tcPr>
            <w:tcW w:w="1341" w:type="dxa"/>
            <w:vAlign w:val="center"/>
          </w:tcPr>
          <w:p>
            <w:pPr>
              <w:jc w:val="center"/>
            </w:pPr>
            <w:r>
              <w:t>49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25.3</w:t>
            </w:r>
          </w:p>
        </w:tc>
        <w:tc>
          <w:tcPr>
            <w:tcW w:w="1341" w:type="dxa"/>
            <w:vAlign w:val="center"/>
          </w:tcPr>
          <w:p>
            <w:pPr>
              <w:jc w:val="center"/>
            </w:pPr>
            <w:r>
              <w:t>48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24.8</w:t>
            </w:r>
          </w:p>
        </w:tc>
        <w:tc>
          <w:tcPr>
            <w:tcW w:w="1341" w:type="dxa"/>
            <w:vAlign w:val="center"/>
          </w:tcPr>
          <w:p>
            <w:pPr>
              <w:jc w:val="center"/>
            </w:pPr>
            <w:r>
              <w:t>47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25.0</w:t>
            </w:r>
          </w:p>
        </w:tc>
        <w:tc>
          <w:tcPr>
            <w:tcW w:w="1341" w:type="dxa"/>
            <w:vAlign w:val="center"/>
          </w:tcPr>
          <w:p>
            <w:pPr>
              <w:jc w:val="center"/>
            </w:pPr>
            <w:r>
              <w:t>30</w:t>
            </w:r>
          </w:p>
        </w:tc>
        <w:tc>
          <w:tcPr>
            <w:tcW w:w="1341" w:type="dxa"/>
            <w:vAlign w:val="center"/>
          </w:tcPr>
          <w:p>
            <w:pPr>
              <w:jc w:val="center"/>
            </w:pPr>
            <w:r>
              <w:t>250.93</w:t>
            </w:r>
          </w:p>
        </w:tc>
        <w:tc>
          <w:tcPr>
            <w:tcW w:w="1341" w:type="dxa"/>
            <w:vAlign w:val="center"/>
          </w:tcPr>
          <w:p>
            <w:pPr>
              <w:jc w:val="center"/>
            </w:pPr>
            <w:r>
              <w:t>135.88</w:t>
            </w:r>
          </w:p>
        </w:tc>
        <w:tc>
          <w:tcPr>
            <w:tcW w:w="1341" w:type="dxa"/>
            <w:vAlign w:val="center"/>
          </w:tcPr>
          <w:p>
            <w:pPr>
              <w:jc w:val="center"/>
            </w:pPr>
            <w:r>
              <w:t>1.8</w:t>
            </w:r>
          </w:p>
        </w:tc>
        <w:tc>
          <w:tcPr>
            <w:tcW w:w="1341" w:type="dxa"/>
            <w:vMerge w:val="continue"/>
            <w:vAlign w:val="center"/>
          </w:tcPr>
          <w:p>
            <w:pPr>
              <w:jc w:val="center"/>
            </w:pPr>
          </w:p>
        </w:tc>
      </w:tr>
    </w:tbl>
    <w:p>
      <w:pPr>
        <w:pStyle w:val="3"/>
        <w:ind w:firstLine="0" w:firstLineChars="0"/>
        <w:rPr>
          <w:lang w:val="en-US"/>
        </w:rPr>
      </w:pPr>
      <w:bookmarkStart w:id="29" w:name="气象参数"/>
      <w:bookmarkEnd w:id="29"/>
    </w:p>
    <w:p>
      <w:pPr>
        <w:pStyle w:val="4"/>
      </w:pPr>
      <w:bookmarkStart w:id="30" w:name="_Toc155124717"/>
      <w:r>
        <w:rPr>
          <w:rFonts w:hint="eastAsia"/>
        </w:rPr>
        <w:t>渗透面夏季逐时蒸发量</w:t>
      </w:r>
      <w:bookmarkEnd w:id="3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1" w:name="蒸发量参数"/>
      <w:bookmarkEnd w:id="31"/>
    </w:p>
    <w:p>
      <w:pPr>
        <w:pStyle w:val="2"/>
      </w:pPr>
      <w:bookmarkStart w:id="32" w:name="_Toc155124718"/>
      <w:r>
        <w:rPr>
          <w:rFonts w:hint="eastAsia"/>
        </w:rPr>
        <w:t>指标概览</w:t>
      </w:r>
      <w:bookmarkEnd w:id="32"/>
    </w:p>
    <w:p>
      <w:pPr>
        <w:pStyle w:val="4"/>
      </w:pPr>
      <w:bookmarkStart w:id="33" w:name="_Toc155124719"/>
      <w:r>
        <w:rPr>
          <w:rFonts w:hint="eastAsia"/>
        </w:rPr>
        <w:t>建筑列表</w:t>
      </w:r>
      <w:bookmarkEnd w:id="3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bl>
    <w:p>
      <w:pPr>
        <w:pStyle w:val="3"/>
        <w:ind w:firstLine="420"/>
        <w:rPr>
          <w:lang w:val="en-US"/>
        </w:rPr>
      </w:pPr>
      <w:bookmarkStart w:id="34" w:name="建筑列表"/>
      <w:bookmarkEnd w:id="34"/>
    </w:p>
    <w:p>
      <w:pPr>
        <w:pStyle w:val="4"/>
      </w:pPr>
      <w:bookmarkStart w:id="35" w:name="_Toc155124720"/>
      <w:r>
        <w:rPr>
          <w:rFonts w:hint="eastAsia"/>
        </w:rPr>
        <w:t>住区指标</w:t>
      </w:r>
      <w:bookmarkEnd w:id="3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98701.36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82750.06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15.30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9582.72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821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10.94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36" w:name="住区指标概览"/>
      <w:bookmarkEnd w:id="36"/>
    </w:p>
    <w:p>
      <w:pPr>
        <w:pStyle w:val="2"/>
      </w:pPr>
      <w:bookmarkStart w:id="37" w:name="_Toc16494776"/>
      <w:bookmarkStart w:id="38" w:name="_Toc155124721"/>
      <w:r>
        <w:rPr>
          <w:rFonts w:hint="eastAsia"/>
        </w:rPr>
        <w:t>强</w:t>
      </w:r>
      <w:bookmarkEnd w:id="37"/>
      <w:r>
        <w:rPr>
          <w:rFonts w:hint="eastAsia"/>
        </w:rPr>
        <w:t>条</w:t>
      </w:r>
      <w:r>
        <w:t>检查</w:t>
      </w:r>
      <w:bookmarkEnd w:id="38"/>
    </w:p>
    <w:p>
      <w:pPr>
        <w:pStyle w:val="4"/>
      </w:pPr>
      <w:bookmarkStart w:id="39" w:name="_Toc155124722"/>
      <w:bookmarkStart w:id="40" w:name="_Toc16494777"/>
      <w:r>
        <w:rPr>
          <w:rFonts w:hint="eastAsia"/>
        </w:rPr>
        <w:t>平均迎风面积比</w:t>
      </w:r>
      <w:bookmarkEnd w:id="39"/>
      <w:bookmarkEnd w:id="4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迎风面积(㎡)</w:t>
            </w:r>
          </w:p>
        </w:tc>
        <w:tc>
          <w:tcPr>
            <w:tcW w:w="1866" w:type="dxa"/>
            <w:shd w:val="clear" w:color="auto" w:fill="E6E6E6"/>
            <w:vAlign w:val="center"/>
          </w:tcPr>
          <w:p>
            <w:pPr>
              <w:jc w:val="center"/>
            </w:pPr>
            <w:r>
              <w:t>最大可能</w:t>
            </w:r>
            <w:r>
              <w:br w:type="textWrapping"/>
            </w:r>
            <w:r>
              <w:t>迎风面积(㎡)</w:t>
            </w:r>
          </w:p>
        </w:tc>
        <w:tc>
          <w:tcPr>
            <w:tcW w:w="1866" w:type="dxa"/>
            <w:shd w:val="clear" w:color="auto" w:fill="E6E6E6"/>
            <w:vAlign w:val="center"/>
          </w:tcPr>
          <w:p>
            <w:pPr>
              <w:jc w:val="center"/>
            </w:pPr>
            <w:r>
              <w:t>最大可能</w:t>
            </w:r>
            <w:r>
              <w:br w:type="textWrapping"/>
            </w:r>
            <w:r>
              <w:t>迎风方向(°)</w:t>
            </w:r>
          </w:p>
        </w:tc>
        <w:tc>
          <w:tcPr>
            <w:tcW w:w="1866" w:type="dxa"/>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平均迎风面积比</w:t>
            </w:r>
          </w:p>
        </w:tc>
        <w:tc>
          <w:tcPr>
            <w:tcW w:w="7464" w:type="dxa"/>
            <w:gridSpan w:val="4"/>
            <w:vAlign w:val="center"/>
          </w:tcPr>
          <w:p>
            <w:r>
              <w:rPr>
                <w:b/>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1" w:name="平均迎风面积比"/>
      <w:bookmarkEnd w:id="41"/>
    </w:p>
    <w:p>
      <w:pPr>
        <w:pStyle w:val="4"/>
      </w:pPr>
      <w:bookmarkStart w:id="42" w:name="_Toc155124723"/>
      <w:bookmarkStart w:id="43" w:name="_Toc16494778"/>
      <w:r>
        <w:rPr>
          <w:rFonts w:hint="eastAsia"/>
        </w:rPr>
        <w:t>活动场地遮阳覆盖率</w:t>
      </w:r>
      <w:bookmarkEnd w:id="42"/>
      <w:bookmarkEnd w:id="4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场地</w:t>
            </w:r>
          </w:p>
        </w:tc>
        <w:tc>
          <w:tcPr>
            <w:tcW w:w="1866" w:type="dxa"/>
            <w:shd w:val="clear" w:color="auto" w:fill="E6E6E6"/>
            <w:vAlign w:val="center"/>
          </w:tcPr>
          <w:p>
            <w:pPr>
              <w:jc w:val="center"/>
            </w:pPr>
            <w:r>
              <w:t>遮阳面积(㎡)</w:t>
            </w:r>
          </w:p>
        </w:tc>
        <w:tc>
          <w:tcPr>
            <w:tcW w:w="1866" w:type="dxa"/>
            <w:shd w:val="clear" w:color="auto" w:fill="E6E6E6"/>
            <w:vAlign w:val="center"/>
          </w:tcPr>
          <w:p>
            <w:pPr>
              <w:jc w:val="center"/>
            </w:pPr>
            <w:r>
              <w:t>场地面积(㎡)</w:t>
            </w:r>
          </w:p>
        </w:tc>
        <w:tc>
          <w:tcPr>
            <w:tcW w:w="1866" w:type="dxa"/>
            <w:shd w:val="clear" w:color="auto" w:fill="E6E6E6"/>
            <w:vAlign w:val="center"/>
          </w:tcPr>
          <w:p>
            <w:pPr>
              <w:jc w:val="center"/>
            </w:pPr>
            <w:r>
              <w:t>遮阳覆盖率(%)</w:t>
            </w:r>
          </w:p>
        </w:tc>
        <w:tc>
          <w:tcPr>
            <w:tcW w:w="1866" w:type="dxa"/>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人行道</w:t>
            </w:r>
          </w:p>
        </w:tc>
        <w:tc>
          <w:tcPr>
            <w:tcW w:w="1866" w:type="dxa"/>
            <w:vAlign w:val="center"/>
          </w:tcPr>
          <w:p>
            <w:r>
              <w:t>3.1</w:t>
            </w:r>
          </w:p>
        </w:tc>
        <w:tc>
          <w:tcPr>
            <w:tcW w:w="1866" w:type="dxa"/>
            <w:vAlign w:val="center"/>
          </w:tcPr>
          <w:p>
            <w:r>
              <w:t>15.3</w:t>
            </w:r>
          </w:p>
        </w:tc>
        <w:tc>
          <w:tcPr>
            <w:tcW w:w="1866" w:type="dxa"/>
            <w:vAlign w:val="center"/>
          </w:tcPr>
          <w:p>
            <w:r>
              <w:t>20</w:t>
            </w:r>
          </w:p>
        </w:tc>
        <w:tc>
          <w:tcPr>
            <w:tcW w:w="1866" w:type="dxa"/>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《城市居住区热环境设计标准》4.2.1条</w:t>
            </w:r>
          </w:p>
        </w:tc>
      </w:tr>
      <w:tr>
        <w:tblPrEx>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各类活动场地遮阳覆盖率不得低于标准要求限值</w:t>
            </w:r>
          </w:p>
        </w:tc>
      </w:tr>
      <w:tr>
        <w:tblPrEx>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4" w:name="活动场地遮阳覆盖率"/>
      <w:bookmarkEnd w:id="44"/>
    </w:p>
    <w:p>
      <w:pPr>
        <w:pStyle w:val="3"/>
        <w:ind w:firstLine="420"/>
        <w:rPr>
          <w:lang w:val="en-US"/>
        </w:rPr>
      </w:pPr>
    </w:p>
    <w:p>
      <w:pPr>
        <w:pStyle w:val="2"/>
      </w:pPr>
      <w:bookmarkStart w:id="45" w:name="_Toc155124724"/>
      <w:bookmarkStart w:id="46" w:name="_Toc16494783"/>
      <w:r>
        <w:rPr>
          <w:rFonts w:hint="eastAsia"/>
        </w:rPr>
        <w:t>评价性设计</w:t>
      </w:r>
      <w:bookmarkEnd w:id="45"/>
      <w:bookmarkEnd w:id="46"/>
    </w:p>
    <w:p>
      <w:pPr>
        <w:pStyle w:val="4"/>
      </w:pPr>
      <w:bookmarkStart w:id="47" w:name="_Toc155124725"/>
      <w:bookmarkStart w:id="48" w:name="_Toc16494784"/>
      <w:r>
        <w:rPr>
          <w:rFonts w:hint="eastAsia"/>
        </w:rPr>
        <w:t>平均热岛强度</w:t>
      </w:r>
      <w:bookmarkEnd w:id="47"/>
      <w:bookmarkEnd w:id="4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25.0</w:t>
            </w:r>
          </w:p>
        </w:tc>
        <w:tc>
          <w:tcPr>
            <w:tcW w:w="1166" w:type="dxa"/>
            <w:vAlign w:val="center"/>
          </w:tcPr>
          <w:p>
            <w:r>
              <w:t>4.6</w:t>
            </w:r>
          </w:p>
        </w:tc>
        <w:tc>
          <w:tcPr>
            <w:tcW w:w="1166" w:type="dxa"/>
            <w:vAlign w:val="center"/>
          </w:tcPr>
          <w:p>
            <w:r>
              <w:t>6.1</w:t>
            </w:r>
          </w:p>
        </w:tc>
        <w:tc>
          <w:tcPr>
            <w:tcW w:w="1166" w:type="dxa"/>
            <w:vAlign w:val="center"/>
          </w:tcPr>
          <w:p>
            <w:r>
              <w:t>0.0</w:t>
            </w:r>
          </w:p>
        </w:tc>
        <w:tc>
          <w:tcPr>
            <w:tcW w:w="1166" w:type="dxa"/>
            <w:vAlign w:val="center"/>
          </w:tcPr>
          <w:p>
            <w:r>
              <w:t>23.5</w:t>
            </w:r>
          </w:p>
        </w:tc>
        <w:tc>
          <w:tcPr>
            <w:tcW w:w="1166" w:type="dxa"/>
            <w:vAlign w:val="center"/>
          </w:tcPr>
          <w:p>
            <w:r>
              <w:t>24.5</w:t>
            </w:r>
          </w:p>
        </w:tc>
        <w:tc>
          <w:tcPr>
            <w:tcW w:w="1166" w:type="dxa"/>
            <w:vAlign w:val="center"/>
          </w:tcPr>
          <w:p>
            <w:r>
              <w:t>-1.004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25.0</w:t>
            </w:r>
          </w:p>
        </w:tc>
        <w:tc>
          <w:tcPr>
            <w:tcW w:w="1166" w:type="dxa"/>
            <w:vAlign w:val="center"/>
          </w:tcPr>
          <w:p>
            <w:r>
              <w:t>6.5</w:t>
            </w:r>
          </w:p>
        </w:tc>
        <w:tc>
          <w:tcPr>
            <w:tcW w:w="1166" w:type="dxa"/>
            <w:vAlign w:val="center"/>
          </w:tcPr>
          <w:p>
            <w:r>
              <w:t>6.1</w:t>
            </w:r>
          </w:p>
        </w:tc>
        <w:tc>
          <w:tcPr>
            <w:tcW w:w="1166" w:type="dxa"/>
            <w:vAlign w:val="center"/>
          </w:tcPr>
          <w:p>
            <w:r>
              <w:t>0.0</w:t>
            </w:r>
          </w:p>
        </w:tc>
        <w:tc>
          <w:tcPr>
            <w:tcW w:w="1166" w:type="dxa"/>
            <w:vAlign w:val="center"/>
          </w:tcPr>
          <w:p>
            <w:r>
              <w:t>25.4</w:t>
            </w:r>
          </w:p>
        </w:tc>
        <w:tc>
          <w:tcPr>
            <w:tcW w:w="1166" w:type="dxa"/>
            <w:vAlign w:val="center"/>
          </w:tcPr>
          <w:p>
            <w:r>
              <w:t>25.8</w:t>
            </w:r>
          </w:p>
        </w:tc>
        <w:tc>
          <w:tcPr>
            <w:tcW w:w="1166" w:type="dxa"/>
            <w:vAlign w:val="center"/>
          </w:tcPr>
          <w:p>
            <w:r>
              <w:t>-0.413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25.0</w:t>
            </w:r>
          </w:p>
        </w:tc>
        <w:tc>
          <w:tcPr>
            <w:tcW w:w="1166" w:type="dxa"/>
            <w:vAlign w:val="center"/>
          </w:tcPr>
          <w:p>
            <w:r>
              <w:t>8.4</w:t>
            </w:r>
          </w:p>
        </w:tc>
        <w:tc>
          <w:tcPr>
            <w:tcW w:w="1166" w:type="dxa"/>
            <w:vAlign w:val="center"/>
          </w:tcPr>
          <w:p>
            <w:r>
              <w:t>7.0</w:t>
            </w:r>
          </w:p>
        </w:tc>
        <w:tc>
          <w:tcPr>
            <w:tcW w:w="1166" w:type="dxa"/>
            <w:vAlign w:val="center"/>
          </w:tcPr>
          <w:p>
            <w:r>
              <w:t>0.0</w:t>
            </w:r>
          </w:p>
        </w:tc>
        <w:tc>
          <w:tcPr>
            <w:tcW w:w="1166" w:type="dxa"/>
            <w:vAlign w:val="center"/>
          </w:tcPr>
          <w:p>
            <w:r>
              <w:t>26.5</w:t>
            </w:r>
          </w:p>
        </w:tc>
        <w:tc>
          <w:tcPr>
            <w:tcW w:w="1166" w:type="dxa"/>
            <w:vAlign w:val="center"/>
          </w:tcPr>
          <w:p>
            <w:r>
              <w:t>27.0</w:t>
            </w:r>
          </w:p>
        </w:tc>
        <w:tc>
          <w:tcPr>
            <w:tcW w:w="1166" w:type="dxa"/>
            <w:vAlign w:val="center"/>
          </w:tcPr>
          <w:p>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25.0</w:t>
            </w:r>
          </w:p>
        </w:tc>
        <w:tc>
          <w:tcPr>
            <w:tcW w:w="1166" w:type="dxa"/>
            <w:vAlign w:val="center"/>
          </w:tcPr>
          <w:p>
            <w:r>
              <w:t>10.3</w:t>
            </w:r>
          </w:p>
        </w:tc>
        <w:tc>
          <w:tcPr>
            <w:tcW w:w="1166" w:type="dxa"/>
            <w:vAlign w:val="center"/>
          </w:tcPr>
          <w:p>
            <w:r>
              <w:t>6.8</w:t>
            </w:r>
          </w:p>
        </w:tc>
        <w:tc>
          <w:tcPr>
            <w:tcW w:w="1166" w:type="dxa"/>
            <w:vAlign w:val="center"/>
          </w:tcPr>
          <w:p>
            <w:r>
              <w:t>0.0</w:t>
            </w:r>
          </w:p>
        </w:tc>
        <w:tc>
          <w:tcPr>
            <w:tcW w:w="1166" w:type="dxa"/>
            <w:vAlign w:val="center"/>
          </w:tcPr>
          <w:p>
            <w:r>
              <w:t>28.5</w:t>
            </w:r>
          </w:p>
        </w:tc>
        <w:tc>
          <w:tcPr>
            <w:tcW w:w="1166" w:type="dxa"/>
            <w:vAlign w:val="center"/>
          </w:tcPr>
          <w:p>
            <w:r>
              <w:t>28.1</w:t>
            </w:r>
          </w:p>
        </w:tc>
        <w:tc>
          <w:tcPr>
            <w:tcW w:w="1166" w:type="dxa"/>
            <w:vAlign w:val="center"/>
          </w:tcPr>
          <w:p>
            <w:r>
              <w:t>0.395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25.0</w:t>
            </w:r>
          </w:p>
        </w:tc>
        <w:tc>
          <w:tcPr>
            <w:tcW w:w="1166" w:type="dxa"/>
            <w:vAlign w:val="center"/>
          </w:tcPr>
          <w:p>
            <w:r>
              <w:t>11.7</w:t>
            </w:r>
          </w:p>
        </w:tc>
        <w:tc>
          <w:tcPr>
            <w:tcW w:w="1166" w:type="dxa"/>
            <w:vAlign w:val="center"/>
          </w:tcPr>
          <w:p>
            <w:r>
              <w:t>6.6</w:t>
            </w:r>
          </w:p>
        </w:tc>
        <w:tc>
          <w:tcPr>
            <w:tcW w:w="1166" w:type="dxa"/>
            <w:vAlign w:val="center"/>
          </w:tcPr>
          <w:p>
            <w:r>
              <w:t>0.0</w:t>
            </w:r>
          </w:p>
        </w:tc>
        <w:tc>
          <w:tcPr>
            <w:tcW w:w="1166" w:type="dxa"/>
            <w:vAlign w:val="center"/>
          </w:tcPr>
          <w:p>
            <w:r>
              <w:t>30.1</w:t>
            </w:r>
          </w:p>
        </w:tc>
        <w:tc>
          <w:tcPr>
            <w:tcW w:w="1166" w:type="dxa"/>
            <w:vAlign w:val="center"/>
          </w:tcPr>
          <w:p>
            <w:r>
              <w:t>28.9</w:t>
            </w:r>
          </w:p>
        </w:tc>
        <w:tc>
          <w:tcPr>
            <w:tcW w:w="1166" w:type="dxa"/>
            <w:vAlign w:val="center"/>
          </w:tcPr>
          <w:p>
            <w:r>
              <w:t>1.213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25.0</w:t>
            </w:r>
          </w:p>
        </w:tc>
        <w:tc>
          <w:tcPr>
            <w:tcW w:w="1166" w:type="dxa"/>
            <w:vAlign w:val="center"/>
          </w:tcPr>
          <w:p>
            <w:r>
              <w:t>12.6</w:t>
            </w:r>
          </w:p>
        </w:tc>
        <w:tc>
          <w:tcPr>
            <w:tcW w:w="1166" w:type="dxa"/>
            <w:vAlign w:val="center"/>
          </w:tcPr>
          <w:p>
            <w:r>
              <w:t>6.3</w:t>
            </w:r>
          </w:p>
        </w:tc>
        <w:tc>
          <w:tcPr>
            <w:tcW w:w="1166" w:type="dxa"/>
            <w:vAlign w:val="center"/>
          </w:tcPr>
          <w:p>
            <w:r>
              <w:t>0.0</w:t>
            </w:r>
          </w:p>
        </w:tc>
        <w:tc>
          <w:tcPr>
            <w:tcW w:w="1166" w:type="dxa"/>
            <w:vAlign w:val="center"/>
          </w:tcPr>
          <w:p>
            <w:r>
              <w:t>31.3</w:t>
            </w:r>
          </w:p>
        </w:tc>
        <w:tc>
          <w:tcPr>
            <w:tcW w:w="1166" w:type="dxa"/>
            <w:vAlign w:val="center"/>
          </w:tcPr>
          <w:p>
            <w:r>
              <w:t>29.3</w:t>
            </w:r>
          </w:p>
        </w:tc>
        <w:tc>
          <w:tcPr>
            <w:tcW w:w="1166" w:type="dxa"/>
            <w:vAlign w:val="center"/>
          </w:tcPr>
          <w:p>
            <w:r>
              <w:t>2.036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25.0</w:t>
            </w:r>
          </w:p>
        </w:tc>
        <w:tc>
          <w:tcPr>
            <w:tcW w:w="1166" w:type="dxa"/>
            <w:vAlign w:val="center"/>
          </w:tcPr>
          <w:p>
            <w:r>
              <w:t>12.9</w:t>
            </w:r>
          </w:p>
        </w:tc>
        <w:tc>
          <w:tcPr>
            <w:tcW w:w="1166" w:type="dxa"/>
            <w:vAlign w:val="center"/>
          </w:tcPr>
          <w:p>
            <w:r>
              <w:t>6.0</w:t>
            </w:r>
          </w:p>
        </w:tc>
        <w:tc>
          <w:tcPr>
            <w:tcW w:w="1166" w:type="dxa"/>
            <w:vAlign w:val="center"/>
          </w:tcPr>
          <w:p>
            <w:r>
              <w:t>0.0</w:t>
            </w:r>
          </w:p>
        </w:tc>
        <w:tc>
          <w:tcPr>
            <w:tcW w:w="1166" w:type="dxa"/>
            <w:vAlign w:val="center"/>
          </w:tcPr>
          <w:p>
            <w:r>
              <w:t>32.0</w:t>
            </w:r>
          </w:p>
        </w:tc>
        <w:tc>
          <w:tcPr>
            <w:tcW w:w="1166" w:type="dxa"/>
            <w:vAlign w:val="center"/>
          </w:tcPr>
          <w:p>
            <w:r>
              <w:t>29.3</w:t>
            </w:r>
          </w:p>
        </w:tc>
        <w:tc>
          <w:tcPr>
            <w:tcW w:w="1166" w:type="dxa"/>
            <w:vAlign w:val="center"/>
          </w:tcPr>
          <w:p>
            <w:r>
              <w:t>2.660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25.0</w:t>
            </w:r>
          </w:p>
        </w:tc>
        <w:tc>
          <w:tcPr>
            <w:tcW w:w="1166" w:type="dxa"/>
            <w:vAlign w:val="center"/>
          </w:tcPr>
          <w:p>
            <w:r>
              <w:t>12.7</w:t>
            </w:r>
          </w:p>
        </w:tc>
        <w:tc>
          <w:tcPr>
            <w:tcW w:w="1166" w:type="dxa"/>
            <w:vAlign w:val="center"/>
          </w:tcPr>
          <w:p>
            <w:r>
              <w:t>5.6</w:t>
            </w:r>
          </w:p>
        </w:tc>
        <w:tc>
          <w:tcPr>
            <w:tcW w:w="1166" w:type="dxa"/>
            <w:vAlign w:val="center"/>
          </w:tcPr>
          <w:p>
            <w:r>
              <w:t>0.0</w:t>
            </w:r>
          </w:p>
        </w:tc>
        <w:tc>
          <w:tcPr>
            <w:tcW w:w="1166" w:type="dxa"/>
            <w:vAlign w:val="center"/>
          </w:tcPr>
          <w:p>
            <w:r>
              <w:t>32.1</w:t>
            </w:r>
          </w:p>
        </w:tc>
        <w:tc>
          <w:tcPr>
            <w:tcW w:w="1166" w:type="dxa"/>
            <w:vAlign w:val="center"/>
          </w:tcPr>
          <w:p>
            <w:r>
              <w:t>29.1</w:t>
            </w:r>
          </w:p>
        </w:tc>
        <w:tc>
          <w:tcPr>
            <w:tcW w:w="1166" w:type="dxa"/>
            <w:vAlign w:val="center"/>
          </w:tcPr>
          <w:p>
            <w:r>
              <w:t>2.964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25.0</w:t>
            </w:r>
          </w:p>
        </w:tc>
        <w:tc>
          <w:tcPr>
            <w:tcW w:w="1166" w:type="dxa"/>
            <w:vAlign w:val="center"/>
          </w:tcPr>
          <w:p>
            <w:r>
              <w:t>11.9</w:t>
            </w:r>
          </w:p>
        </w:tc>
        <w:tc>
          <w:tcPr>
            <w:tcW w:w="1166" w:type="dxa"/>
            <w:vAlign w:val="center"/>
          </w:tcPr>
          <w:p>
            <w:r>
              <w:t>5.4</w:t>
            </w:r>
          </w:p>
        </w:tc>
        <w:tc>
          <w:tcPr>
            <w:tcW w:w="1166" w:type="dxa"/>
            <w:vAlign w:val="center"/>
          </w:tcPr>
          <w:p>
            <w:r>
              <w:t>0.0</w:t>
            </w:r>
          </w:p>
        </w:tc>
        <w:tc>
          <w:tcPr>
            <w:tcW w:w="1166" w:type="dxa"/>
            <w:vAlign w:val="center"/>
          </w:tcPr>
          <w:p>
            <w:r>
              <w:t>31.6</w:t>
            </w:r>
          </w:p>
        </w:tc>
        <w:tc>
          <w:tcPr>
            <w:tcW w:w="1166" w:type="dxa"/>
            <w:vAlign w:val="center"/>
          </w:tcPr>
          <w:p>
            <w:r>
              <w:t>28.6</w:t>
            </w:r>
          </w:p>
        </w:tc>
        <w:tc>
          <w:tcPr>
            <w:tcW w:w="1166" w:type="dxa"/>
            <w:vAlign w:val="center"/>
          </w:tcPr>
          <w:p>
            <w:r>
              <w:t>2.997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25.0</w:t>
            </w:r>
          </w:p>
        </w:tc>
        <w:tc>
          <w:tcPr>
            <w:tcW w:w="1166" w:type="dxa"/>
            <w:vAlign w:val="center"/>
          </w:tcPr>
          <w:p>
            <w:r>
              <w:t>10.8</w:t>
            </w:r>
          </w:p>
        </w:tc>
        <w:tc>
          <w:tcPr>
            <w:tcW w:w="1166" w:type="dxa"/>
            <w:vAlign w:val="center"/>
          </w:tcPr>
          <w:p>
            <w:r>
              <w:t>5.2</w:t>
            </w:r>
          </w:p>
        </w:tc>
        <w:tc>
          <w:tcPr>
            <w:tcW w:w="1166" w:type="dxa"/>
            <w:vAlign w:val="center"/>
          </w:tcPr>
          <w:p>
            <w:r>
              <w:t>0.0</w:t>
            </w:r>
          </w:p>
        </w:tc>
        <w:tc>
          <w:tcPr>
            <w:tcW w:w="1166" w:type="dxa"/>
            <w:vAlign w:val="center"/>
          </w:tcPr>
          <w:p>
            <w:r>
              <w:t>30.7</w:t>
            </w:r>
          </w:p>
        </w:tc>
        <w:tc>
          <w:tcPr>
            <w:tcW w:w="1166" w:type="dxa"/>
            <w:vAlign w:val="center"/>
          </w:tcPr>
          <w:p>
            <w:r>
              <w:t>28.0</w:t>
            </w:r>
          </w:p>
        </w:tc>
        <w:tc>
          <w:tcPr>
            <w:tcW w:w="1166" w:type="dxa"/>
            <w:vAlign w:val="center"/>
          </w:tcPr>
          <w:p>
            <w:r>
              <w:t>2.656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19:00</w:t>
            </w:r>
          </w:p>
        </w:tc>
        <w:tc>
          <w:tcPr>
            <w:tcW w:w="1166" w:type="dxa"/>
            <w:vAlign w:val="center"/>
          </w:tcPr>
          <w:p>
            <w:r>
              <w:t>25.0</w:t>
            </w:r>
          </w:p>
        </w:tc>
        <w:tc>
          <w:tcPr>
            <w:tcW w:w="1166" w:type="dxa"/>
            <w:vAlign w:val="center"/>
          </w:tcPr>
          <w:p>
            <w:r>
              <w:t>9.6</w:t>
            </w:r>
          </w:p>
        </w:tc>
        <w:tc>
          <w:tcPr>
            <w:tcW w:w="1166" w:type="dxa"/>
            <w:vAlign w:val="center"/>
          </w:tcPr>
          <w:p>
            <w:r>
              <w:t>5.0</w:t>
            </w:r>
          </w:p>
        </w:tc>
        <w:tc>
          <w:tcPr>
            <w:tcW w:w="1166" w:type="dxa"/>
            <w:vAlign w:val="center"/>
          </w:tcPr>
          <w:p>
            <w:r>
              <w:t>0.0</w:t>
            </w:r>
          </w:p>
        </w:tc>
        <w:tc>
          <w:tcPr>
            <w:tcW w:w="1166" w:type="dxa"/>
            <w:vAlign w:val="center"/>
          </w:tcPr>
          <w:p>
            <w:r>
              <w:t>29.6</w:t>
            </w:r>
          </w:p>
        </w:tc>
        <w:tc>
          <w:tcPr>
            <w:tcW w:w="1166" w:type="dxa"/>
            <w:vAlign w:val="center"/>
          </w:tcPr>
          <w:p>
            <w:r>
              <w:t>27.3</w:t>
            </w:r>
          </w:p>
        </w:tc>
        <w:tc>
          <w:tcPr>
            <w:tcW w:w="1166" w:type="dxa"/>
            <w:vAlign w:val="center"/>
          </w:tcPr>
          <w:p>
            <w:r>
              <w:t>2.251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1.39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49" w:name="平均热岛强度"/>
      <w:bookmarkEnd w:id="49"/>
    </w:p>
    <w:p>
      <w:pPr>
        <w:pStyle w:val="3"/>
        <w:ind w:firstLine="0" w:firstLineChars="0"/>
        <w:rPr>
          <w:lang w:val="en-US"/>
        </w:rPr>
      </w:pPr>
      <w:bookmarkStart w:id="50" w:name="平均热岛强度图片"/>
      <w:bookmarkEnd w:id="50"/>
      <w:r>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628900"/>
                    </a:xfrm>
                    <a:prstGeom prst="rect">
                      <a:avLst/>
                    </a:prstGeom>
                  </pic:spPr>
                </pic:pic>
              </a:graphicData>
            </a:graphic>
          </wp:inline>
        </w:drawing>
      </w:r>
    </w:p>
    <w:p>
      <w:pPr>
        <w:pStyle w:val="4"/>
      </w:pPr>
      <w:bookmarkStart w:id="51" w:name="_Toc16494785"/>
      <w:bookmarkStart w:id="52" w:name="_Toc155124726"/>
      <w:r>
        <w:rPr>
          <w:rFonts w:hint="eastAsia"/>
        </w:rPr>
        <w:t>湿球黑球温度</w:t>
      </w:r>
      <w:bookmarkEnd w:id="51"/>
      <w:bookmarkEnd w:id="52"/>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时刻</w:t>
            </w:r>
          </w:p>
        </w:tc>
        <w:tc>
          <w:tcPr>
            <w:tcW w:w="1556" w:type="dxa"/>
            <w:shd w:val="clear" w:color="auto" w:fill="E6E6E6"/>
            <w:vAlign w:val="center"/>
          </w:tcPr>
          <w:p>
            <w:pPr>
              <w:jc w:val="center"/>
            </w:pPr>
            <w:r>
              <w:t>居住区温度</w:t>
            </w:r>
            <w:r>
              <w:br w:type="textWrapping"/>
            </w:r>
            <w:r>
              <w:t>(℃)</w:t>
            </w:r>
          </w:p>
        </w:tc>
        <w:tc>
          <w:tcPr>
            <w:tcW w:w="1556" w:type="dxa"/>
            <w:shd w:val="clear" w:color="auto" w:fill="E6E6E6"/>
            <w:vAlign w:val="center"/>
          </w:tcPr>
          <w:p>
            <w:pPr>
              <w:jc w:val="center"/>
            </w:pPr>
            <w:r>
              <w:t>空气相对湿度</w:t>
            </w:r>
          </w:p>
        </w:tc>
        <w:tc>
          <w:tcPr>
            <w:tcW w:w="1556" w:type="dxa"/>
            <w:shd w:val="clear" w:color="auto" w:fill="E6E6E6"/>
            <w:vAlign w:val="center"/>
          </w:tcPr>
          <w:p>
            <w:pPr>
              <w:jc w:val="center"/>
            </w:pPr>
            <w:r>
              <w:t>太阳辐射照度</w:t>
            </w:r>
            <w:r>
              <w:br w:type="textWrapping"/>
            </w:r>
            <w:r>
              <w:t>(W/㎡)</w:t>
            </w:r>
          </w:p>
        </w:tc>
        <w:tc>
          <w:tcPr>
            <w:tcW w:w="1556" w:type="dxa"/>
            <w:shd w:val="clear" w:color="auto" w:fill="E6E6E6"/>
            <w:vAlign w:val="center"/>
          </w:tcPr>
          <w:p>
            <w:pPr>
              <w:jc w:val="center"/>
            </w:pPr>
            <w:r>
              <w:t>地表短波辐射</w:t>
            </w:r>
            <w:r>
              <w:br w:type="textWrapping"/>
            </w:r>
            <w:r>
              <w:t>(W/㎡)</w:t>
            </w:r>
          </w:p>
        </w:tc>
        <w:tc>
          <w:tcPr>
            <w:tcW w:w="1556" w:type="dxa"/>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9:00</w:t>
            </w:r>
          </w:p>
        </w:tc>
        <w:tc>
          <w:tcPr>
            <w:tcW w:w="1556" w:type="dxa"/>
            <w:vAlign w:val="center"/>
          </w:tcPr>
          <w:p>
            <w:r>
              <w:t>23.5</w:t>
            </w:r>
          </w:p>
        </w:tc>
        <w:tc>
          <w:tcPr>
            <w:tcW w:w="1556" w:type="dxa"/>
            <w:vAlign w:val="center"/>
          </w:tcPr>
          <w:p>
            <w:r>
              <w:t>0.2</w:t>
            </w:r>
          </w:p>
        </w:tc>
        <w:tc>
          <w:tcPr>
            <w:tcW w:w="1556" w:type="dxa"/>
            <w:vAlign w:val="center"/>
          </w:tcPr>
          <w:p>
            <w:r>
              <w:t>494.1</w:t>
            </w:r>
          </w:p>
        </w:tc>
        <w:tc>
          <w:tcPr>
            <w:tcW w:w="1556" w:type="dxa"/>
            <w:vAlign w:val="center"/>
          </w:tcPr>
          <w:p>
            <w:r>
              <w:t>128.5</w:t>
            </w:r>
          </w:p>
        </w:tc>
        <w:tc>
          <w:tcPr>
            <w:tcW w:w="1556" w:type="dxa"/>
            <w:vAlign w:val="center"/>
          </w:tcPr>
          <w:p>
            <w:r>
              <w:t>11.5</w:t>
            </w:r>
          </w:p>
        </w:tc>
      </w:tr>
      <w:tr>
        <w:tblPrEx>
          <w:tblCellMar>
            <w:top w:w="0" w:type="dxa"/>
            <w:left w:w="108" w:type="dxa"/>
            <w:bottom w:w="0" w:type="dxa"/>
            <w:right w:w="108" w:type="dxa"/>
          </w:tblCellMar>
        </w:tblPrEx>
        <w:tc>
          <w:tcPr>
            <w:tcW w:w="1550" w:type="dxa"/>
            <w:shd w:val="clear" w:color="auto" w:fill="E6E6E6"/>
            <w:vAlign w:val="center"/>
          </w:tcPr>
          <w:p>
            <w:r>
              <w:t>10:00</w:t>
            </w:r>
          </w:p>
        </w:tc>
        <w:tc>
          <w:tcPr>
            <w:tcW w:w="1556" w:type="dxa"/>
            <w:vAlign w:val="center"/>
          </w:tcPr>
          <w:p>
            <w:r>
              <w:t>25.4</w:t>
            </w:r>
          </w:p>
        </w:tc>
        <w:tc>
          <w:tcPr>
            <w:tcW w:w="1556" w:type="dxa"/>
            <w:vAlign w:val="center"/>
          </w:tcPr>
          <w:p>
            <w:r>
              <w:t>0.2</w:t>
            </w:r>
          </w:p>
        </w:tc>
        <w:tc>
          <w:tcPr>
            <w:tcW w:w="1556" w:type="dxa"/>
            <w:vAlign w:val="center"/>
          </w:tcPr>
          <w:p>
            <w:r>
              <w:t>594.6</w:t>
            </w:r>
          </w:p>
        </w:tc>
        <w:tc>
          <w:tcPr>
            <w:tcW w:w="1556" w:type="dxa"/>
            <w:vAlign w:val="center"/>
          </w:tcPr>
          <w:p>
            <w:r>
              <w:t>154.6</w:t>
            </w:r>
          </w:p>
        </w:tc>
        <w:tc>
          <w:tcPr>
            <w:tcW w:w="1556" w:type="dxa"/>
            <w:vAlign w:val="center"/>
          </w:tcPr>
          <w:p>
            <w:r>
              <w:t>13.8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11:00</w:t>
            </w:r>
          </w:p>
        </w:tc>
        <w:tc>
          <w:tcPr>
            <w:tcW w:w="1556" w:type="dxa"/>
            <w:vAlign w:val="center"/>
          </w:tcPr>
          <w:p>
            <w:r>
              <w:t>26.5</w:t>
            </w:r>
          </w:p>
        </w:tc>
        <w:tc>
          <w:tcPr>
            <w:tcW w:w="1556" w:type="dxa"/>
            <w:vAlign w:val="center"/>
          </w:tcPr>
          <w:p>
            <w:r>
              <w:t>0.2</w:t>
            </w:r>
          </w:p>
        </w:tc>
        <w:tc>
          <w:tcPr>
            <w:tcW w:w="1556" w:type="dxa"/>
            <w:vAlign w:val="center"/>
          </w:tcPr>
          <w:p>
            <w:r>
              <w:t>654.7</w:t>
            </w:r>
          </w:p>
        </w:tc>
        <w:tc>
          <w:tcPr>
            <w:tcW w:w="1556" w:type="dxa"/>
            <w:vAlign w:val="center"/>
          </w:tcPr>
          <w:p>
            <w:r>
              <w:t>170.2</w:t>
            </w:r>
          </w:p>
        </w:tc>
        <w:tc>
          <w:tcPr>
            <w:tcW w:w="1556" w:type="dxa"/>
            <w:vAlign w:val="center"/>
          </w:tcPr>
          <w:p>
            <w:r>
              <w:t>15.3</w:t>
            </w:r>
          </w:p>
        </w:tc>
      </w:tr>
      <w:tr>
        <w:tblPrEx>
          <w:tblCellMar>
            <w:top w:w="0" w:type="dxa"/>
            <w:left w:w="108" w:type="dxa"/>
            <w:bottom w:w="0" w:type="dxa"/>
            <w:right w:w="108" w:type="dxa"/>
          </w:tblCellMar>
        </w:tblPrEx>
        <w:tc>
          <w:tcPr>
            <w:tcW w:w="1550" w:type="dxa"/>
            <w:shd w:val="clear" w:color="auto" w:fill="E6E6E6"/>
            <w:vAlign w:val="center"/>
          </w:tcPr>
          <w:p>
            <w:r>
              <w:t>12:00</w:t>
            </w:r>
          </w:p>
        </w:tc>
        <w:tc>
          <w:tcPr>
            <w:tcW w:w="1556" w:type="dxa"/>
            <w:vAlign w:val="center"/>
          </w:tcPr>
          <w:p>
            <w:r>
              <w:t>28.5</w:t>
            </w:r>
          </w:p>
        </w:tc>
        <w:tc>
          <w:tcPr>
            <w:tcW w:w="1556" w:type="dxa"/>
            <w:vAlign w:val="center"/>
          </w:tcPr>
          <w:p>
            <w:r>
              <w:t>0.2</w:t>
            </w:r>
          </w:p>
        </w:tc>
        <w:tc>
          <w:tcPr>
            <w:tcW w:w="1556" w:type="dxa"/>
            <w:vAlign w:val="center"/>
          </w:tcPr>
          <w:p>
            <w:r>
              <w:t>665.4</w:t>
            </w:r>
          </w:p>
        </w:tc>
        <w:tc>
          <w:tcPr>
            <w:tcW w:w="1556" w:type="dxa"/>
            <w:vAlign w:val="center"/>
          </w:tcPr>
          <w:p>
            <w:r>
              <w:t>173.0</w:t>
            </w:r>
          </w:p>
        </w:tc>
        <w:tc>
          <w:tcPr>
            <w:tcW w:w="1556" w:type="dxa"/>
            <w:vAlign w:val="center"/>
          </w:tcPr>
          <w:p>
            <w:r>
              <w:t>17.8</w:t>
            </w:r>
          </w:p>
        </w:tc>
      </w:tr>
      <w:tr>
        <w:tblPrEx>
          <w:tblCellMar>
            <w:top w:w="0" w:type="dxa"/>
            <w:left w:w="108" w:type="dxa"/>
            <w:bottom w:w="0" w:type="dxa"/>
            <w:right w:w="108" w:type="dxa"/>
          </w:tblCellMar>
        </w:tblPrEx>
        <w:tc>
          <w:tcPr>
            <w:tcW w:w="1550" w:type="dxa"/>
            <w:shd w:val="clear" w:color="auto" w:fill="E6E6E6"/>
            <w:vAlign w:val="center"/>
          </w:tcPr>
          <w:p>
            <w:r>
              <w:t>13:00</w:t>
            </w:r>
          </w:p>
        </w:tc>
        <w:tc>
          <w:tcPr>
            <w:tcW w:w="1556" w:type="dxa"/>
            <w:vAlign w:val="center"/>
          </w:tcPr>
          <w:p>
            <w:r>
              <w:t>30.1</w:t>
            </w:r>
          </w:p>
        </w:tc>
        <w:tc>
          <w:tcPr>
            <w:tcW w:w="1556" w:type="dxa"/>
            <w:vAlign w:val="center"/>
          </w:tcPr>
          <w:p>
            <w:r>
              <w:t>0.2</w:t>
            </w:r>
          </w:p>
        </w:tc>
        <w:tc>
          <w:tcPr>
            <w:tcW w:w="1556" w:type="dxa"/>
            <w:vAlign w:val="center"/>
          </w:tcPr>
          <w:p>
            <w:r>
              <w:t>609.7</w:t>
            </w:r>
          </w:p>
        </w:tc>
        <w:tc>
          <w:tcPr>
            <w:tcW w:w="1556" w:type="dxa"/>
            <w:vAlign w:val="center"/>
          </w:tcPr>
          <w:p>
            <w:r>
              <w:t>158.5</w:t>
            </w:r>
          </w:p>
        </w:tc>
        <w:tc>
          <w:tcPr>
            <w:tcW w:w="1556" w:type="dxa"/>
            <w:vAlign w:val="center"/>
          </w:tcPr>
          <w:p>
            <w:r>
              <w:t>19.7</w:t>
            </w:r>
          </w:p>
        </w:tc>
      </w:tr>
      <w:tr>
        <w:tblPrEx>
          <w:tblCellMar>
            <w:top w:w="0" w:type="dxa"/>
            <w:left w:w="108" w:type="dxa"/>
            <w:bottom w:w="0" w:type="dxa"/>
            <w:right w:w="108" w:type="dxa"/>
          </w:tblCellMar>
        </w:tblPrEx>
        <w:tc>
          <w:tcPr>
            <w:tcW w:w="1550" w:type="dxa"/>
            <w:shd w:val="clear" w:color="auto" w:fill="E6E6E6"/>
            <w:vAlign w:val="center"/>
          </w:tcPr>
          <w:p>
            <w:r>
              <w:t>14:00</w:t>
            </w:r>
          </w:p>
        </w:tc>
        <w:tc>
          <w:tcPr>
            <w:tcW w:w="1556" w:type="dxa"/>
            <w:vAlign w:val="center"/>
          </w:tcPr>
          <w:p>
            <w:r>
              <w:t>31.3</w:t>
            </w:r>
          </w:p>
        </w:tc>
        <w:tc>
          <w:tcPr>
            <w:tcW w:w="1556" w:type="dxa"/>
            <w:vAlign w:val="center"/>
          </w:tcPr>
          <w:p>
            <w:r>
              <w:t>0.2</w:t>
            </w:r>
          </w:p>
        </w:tc>
        <w:tc>
          <w:tcPr>
            <w:tcW w:w="1556" w:type="dxa"/>
            <w:vAlign w:val="center"/>
          </w:tcPr>
          <w:p>
            <w:r>
              <w:t>510.2</w:t>
            </w:r>
          </w:p>
        </w:tc>
        <w:tc>
          <w:tcPr>
            <w:tcW w:w="1556" w:type="dxa"/>
            <w:vAlign w:val="center"/>
          </w:tcPr>
          <w:p>
            <w:r>
              <w:t>132.7</w:t>
            </w:r>
          </w:p>
        </w:tc>
        <w:tc>
          <w:tcPr>
            <w:tcW w:w="1556" w:type="dxa"/>
            <w:vAlign w:val="center"/>
          </w:tcPr>
          <w:p>
            <w:r>
              <w:t>21.3</w:t>
            </w:r>
          </w:p>
        </w:tc>
      </w:tr>
      <w:tr>
        <w:tblPrEx>
          <w:tblCellMar>
            <w:top w:w="0" w:type="dxa"/>
            <w:left w:w="108" w:type="dxa"/>
            <w:bottom w:w="0" w:type="dxa"/>
            <w:right w:w="108" w:type="dxa"/>
          </w:tblCellMar>
        </w:tblPrEx>
        <w:tc>
          <w:tcPr>
            <w:tcW w:w="1550" w:type="dxa"/>
            <w:shd w:val="clear" w:color="auto" w:fill="E6E6E6"/>
            <w:vAlign w:val="center"/>
          </w:tcPr>
          <w:p>
            <w:r>
              <w:t>15:00</w:t>
            </w:r>
          </w:p>
        </w:tc>
        <w:tc>
          <w:tcPr>
            <w:tcW w:w="1556" w:type="dxa"/>
            <w:vAlign w:val="center"/>
          </w:tcPr>
          <w:p>
            <w:r>
              <w:t>32.0</w:t>
            </w:r>
          </w:p>
        </w:tc>
        <w:tc>
          <w:tcPr>
            <w:tcW w:w="1556" w:type="dxa"/>
            <w:vAlign w:val="center"/>
          </w:tcPr>
          <w:p>
            <w:r>
              <w:t>0.3</w:t>
            </w:r>
          </w:p>
        </w:tc>
        <w:tc>
          <w:tcPr>
            <w:tcW w:w="1556" w:type="dxa"/>
            <w:vAlign w:val="center"/>
          </w:tcPr>
          <w:p>
            <w:r>
              <w:t>395.9</w:t>
            </w:r>
          </w:p>
        </w:tc>
        <w:tc>
          <w:tcPr>
            <w:tcW w:w="1556" w:type="dxa"/>
            <w:vAlign w:val="center"/>
          </w:tcPr>
          <w:p>
            <w:r>
              <w:t>102.9</w:t>
            </w:r>
          </w:p>
        </w:tc>
        <w:tc>
          <w:tcPr>
            <w:tcW w:w="1556" w:type="dxa"/>
            <w:vAlign w:val="center"/>
          </w:tcPr>
          <w:p>
            <w:r>
              <w:t>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16:00</w:t>
            </w:r>
          </w:p>
        </w:tc>
        <w:tc>
          <w:tcPr>
            <w:tcW w:w="1556" w:type="dxa"/>
            <w:vAlign w:val="center"/>
          </w:tcPr>
          <w:p>
            <w:r>
              <w:t>32.1</w:t>
            </w:r>
          </w:p>
        </w:tc>
        <w:tc>
          <w:tcPr>
            <w:tcW w:w="1556" w:type="dxa"/>
            <w:vAlign w:val="center"/>
          </w:tcPr>
          <w:p>
            <w:r>
              <w:t>0.3</w:t>
            </w:r>
          </w:p>
        </w:tc>
        <w:tc>
          <w:tcPr>
            <w:tcW w:w="1556" w:type="dxa"/>
            <w:vAlign w:val="center"/>
          </w:tcPr>
          <w:p>
            <w:r>
              <w:t>272.3</w:t>
            </w:r>
          </w:p>
        </w:tc>
        <w:tc>
          <w:tcPr>
            <w:tcW w:w="1556" w:type="dxa"/>
            <w:vAlign w:val="center"/>
          </w:tcPr>
          <w:p>
            <w:r>
              <w:t>70.8</w:t>
            </w:r>
          </w:p>
        </w:tc>
        <w:tc>
          <w:tcPr>
            <w:tcW w:w="1556" w:type="dxa"/>
            <w:vAlign w:val="center"/>
          </w:tcPr>
          <w:p>
            <w:r>
              <w:t>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17:00</w:t>
            </w:r>
          </w:p>
        </w:tc>
        <w:tc>
          <w:tcPr>
            <w:tcW w:w="1556" w:type="dxa"/>
            <w:vAlign w:val="center"/>
          </w:tcPr>
          <w:p>
            <w:r>
              <w:t>31.6</w:t>
            </w:r>
          </w:p>
        </w:tc>
        <w:tc>
          <w:tcPr>
            <w:tcW w:w="1556" w:type="dxa"/>
            <w:vAlign w:val="center"/>
          </w:tcPr>
          <w:p>
            <w:r>
              <w:t>0.3</w:t>
            </w:r>
          </w:p>
        </w:tc>
        <w:tc>
          <w:tcPr>
            <w:tcW w:w="1556" w:type="dxa"/>
            <w:vAlign w:val="center"/>
          </w:tcPr>
          <w:p>
            <w:r>
              <w:t>146.0</w:t>
            </w:r>
          </w:p>
        </w:tc>
        <w:tc>
          <w:tcPr>
            <w:tcW w:w="1556" w:type="dxa"/>
            <w:vAlign w:val="center"/>
          </w:tcPr>
          <w:p>
            <w:r>
              <w:t>38.0</w:t>
            </w:r>
          </w:p>
        </w:tc>
        <w:tc>
          <w:tcPr>
            <w:tcW w:w="1556" w:type="dxa"/>
            <w:vAlign w:val="center"/>
          </w:tcPr>
          <w:p>
            <w:r>
              <w:t>22.3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18:00</w:t>
            </w:r>
          </w:p>
        </w:tc>
        <w:tc>
          <w:tcPr>
            <w:tcW w:w="1556" w:type="dxa"/>
            <w:vAlign w:val="center"/>
          </w:tcPr>
          <w:p>
            <w:r>
              <w:t>30.7</w:t>
            </w:r>
          </w:p>
        </w:tc>
        <w:tc>
          <w:tcPr>
            <w:tcW w:w="1556" w:type="dxa"/>
            <w:vAlign w:val="center"/>
          </w:tcPr>
          <w:p>
            <w:r>
              <w:t>0.4</w:t>
            </w:r>
          </w:p>
        </w:tc>
        <w:tc>
          <w:tcPr>
            <w:tcW w:w="1556" w:type="dxa"/>
            <w:vAlign w:val="center"/>
          </w:tcPr>
          <w:p>
            <w:r>
              <w:t>42.1</w:t>
            </w:r>
          </w:p>
        </w:tc>
        <w:tc>
          <w:tcPr>
            <w:tcW w:w="1556" w:type="dxa"/>
            <w:vAlign w:val="center"/>
          </w:tcPr>
          <w:p>
            <w:r>
              <w:t>10.9</w:t>
            </w:r>
          </w:p>
        </w:tc>
        <w:tc>
          <w:tcPr>
            <w:tcW w:w="1556" w:type="dxa"/>
            <w:vAlign w:val="center"/>
          </w:tcPr>
          <w:p>
            <w:r>
              <w:t>21.6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19:00</w:t>
            </w:r>
          </w:p>
        </w:tc>
        <w:tc>
          <w:tcPr>
            <w:tcW w:w="1556" w:type="dxa"/>
            <w:vAlign w:val="center"/>
          </w:tcPr>
          <w:p>
            <w:r>
              <w:t>29.6</w:t>
            </w:r>
          </w:p>
        </w:tc>
        <w:tc>
          <w:tcPr>
            <w:tcW w:w="1556" w:type="dxa"/>
            <w:vAlign w:val="center"/>
          </w:tcPr>
          <w:p>
            <w:r>
              <w:t>0.4</w:t>
            </w:r>
          </w:p>
        </w:tc>
        <w:tc>
          <w:tcPr>
            <w:tcW w:w="1556" w:type="dxa"/>
            <w:vAlign w:val="center"/>
          </w:tcPr>
          <w:p>
            <w:r>
              <w:t>0.0</w:t>
            </w:r>
          </w:p>
        </w:tc>
        <w:tc>
          <w:tcPr>
            <w:tcW w:w="1556" w:type="dxa"/>
            <w:vAlign w:val="center"/>
          </w:tcPr>
          <w:p>
            <w:r>
              <w:t>0.0</w:t>
            </w:r>
          </w:p>
        </w:tc>
        <w:tc>
          <w:tcPr>
            <w:tcW w:w="1556" w:type="dxa"/>
            <w:vAlign w:val="center"/>
          </w:tcPr>
          <w:p>
            <w:r>
              <w:t>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最大湿球</w:t>
            </w:r>
            <w:r>
              <w:br w:type="textWrapping"/>
            </w:r>
            <w:r>
              <w:t>黑球强度(℃)</w:t>
            </w:r>
          </w:p>
        </w:tc>
        <w:tc>
          <w:tcPr>
            <w:tcW w:w="7780" w:type="dxa"/>
            <w:gridSpan w:val="5"/>
            <w:vAlign w:val="center"/>
          </w:tcPr>
          <w:p>
            <w:r>
              <w:t>22.52</w:t>
            </w:r>
          </w:p>
        </w:tc>
      </w:tr>
      <w:tr>
        <w:tblPrEx>
          <w:tblCellMar>
            <w:top w:w="0" w:type="dxa"/>
            <w:left w:w="108" w:type="dxa"/>
            <w:bottom w:w="0" w:type="dxa"/>
            <w:right w:w="108" w:type="dxa"/>
          </w:tblCellMar>
        </w:tblPrEx>
        <w:tc>
          <w:tcPr>
            <w:tcW w:w="1550" w:type="dxa"/>
            <w:shd w:val="clear" w:color="auto" w:fill="E6E6E6"/>
            <w:vAlign w:val="center"/>
          </w:tcPr>
          <w:p>
            <w:r>
              <w:t>依据</w:t>
            </w:r>
          </w:p>
        </w:tc>
        <w:tc>
          <w:tcPr>
            <w:tcW w:w="7780" w:type="dxa"/>
            <w:gridSpan w:val="5"/>
            <w:vAlign w:val="center"/>
          </w:tcPr>
          <w:p>
            <w:r>
              <w:t>《城市居住区热环境设计标准》3.3.1条规定指标，按照5.0.1条的公式计算</w:t>
            </w:r>
          </w:p>
        </w:tc>
      </w:tr>
      <w:tr>
        <w:tblPrEx>
          <w:tblCellMar>
            <w:top w:w="0" w:type="dxa"/>
            <w:left w:w="108" w:type="dxa"/>
            <w:bottom w:w="0" w:type="dxa"/>
            <w:right w:w="108" w:type="dxa"/>
          </w:tblCellMar>
        </w:tblPrEx>
        <w:tc>
          <w:tcPr>
            <w:tcW w:w="1550" w:type="dxa"/>
            <w:shd w:val="clear" w:color="auto" w:fill="E6E6E6"/>
            <w:vAlign w:val="center"/>
          </w:tcPr>
          <w:p>
            <w:r>
              <w:t>标准要求</w:t>
            </w:r>
          </w:p>
        </w:tc>
        <w:tc>
          <w:tcPr>
            <w:tcW w:w="7780" w:type="dxa"/>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结论</w:t>
            </w:r>
          </w:p>
        </w:tc>
        <w:tc>
          <w:tcPr>
            <w:tcW w:w="7780" w:type="dxa"/>
            <w:gridSpan w:val="5"/>
            <w:vAlign w:val="center"/>
          </w:tcPr>
          <w:p>
            <w:r>
              <w:t>满足</w:t>
            </w:r>
          </w:p>
        </w:tc>
      </w:tr>
    </w:tbl>
    <w:p>
      <w:pPr>
        <w:pStyle w:val="3"/>
        <w:ind w:firstLine="420"/>
        <w:rPr>
          <w:lang w:val="en-US"/>
        </w:rPr>
      </w:pPr>
      <w:bookmarkStart w:id="53" w:name="湿球黑球温度"/>
      <w:bookmarkEnd w:id="53"/>
    </w:p>
    <w:p>
      <w:pPr>
        <w:pStyle w:val="3"/>
        <w:ind w:firstLine="0" w:firstLineChars="0"/>
        <w:rPr>
          <w:lang w:val="en-US"/>
        </w:rPr>
      </w:pPr>
      <w:bookmarkStart w:id="54" w:name="湿球黑球温度图片"/>
      <w:bookmarkEnd w:id="54"/>
      <w:r>
        <w:drawing>
          <wp:inline distT="0" distB="0" distL="0" distR="0">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2714625"/>
                    </a:xfrm>
                    <a:prstGeom prst="rect">
                      <a:avLst/>
                    </a:prstGeom>
                  </pic:spPr>
                </pic:pic>
              </a:graphicData>
            </a:graphic>
          </wp:inline>
        </w:drawing>
      </w:r>
    </w:p>
    <w:p>
      <w:pPr>
        <w:pStyle w:val="2"/>
      </w:pPr>
      <w:bookmarkStart w:id="55" w:name="_Toc155124727"/>
      <w:bookmarkStart w:id="56" w:name="_Toc16494786"/>
      <w:r>
        <w:rPr>
          <w:rFonts w:hint="eastAsia"/>
        </w:rPr>
        <w:t>结论</w:t>
      </w:r>
      <w:bookmarkEnd w:id="55"/>
      <w:bookmarkEnd w:id="56"/>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57" w:name="结论"/>
            <w:bookmarkEnd w:id="57"/>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58" w:name="平均迎风面积比结论"/>
            <w:r>
              <w:rPr>
                <w:rFonts w:hint="eastAsia"/>
                <w:b/>
              </w:rPr>
              <w:t>满足</w:t>
            </w:r>
            <w:bookmarkEnd w:id="58"/>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59" w:name="活动场地遮阳覆盖率结论"/>
            <w:r>
              <w:rPr>
                <w:rFonts w:hint="eastAsia"/>
                <w:b/>
              </w:rPr>
              <w:t>满足</w:t>
            </w:r>
            <w:bookmarkEnd w:id="59"/>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0" w:name="平均热岛强度结论"/>
            <w:r>
              <w:t>满足</w:t>
            </w:r>
            <w:bookmarkEnd w:id="60"/>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1" w:name="湿球黑球温度结论"/>
            <w:r>
              <w:t>满足</w:t>
            </w:r>
            <w:bookmarkEnd w:id="61"/>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62" w:name="总结论"/>
            <w:r>
              <w:rPr>
                <w:rFonts w:hint="eastAsia"/>
                <w:b/>
              </w:rPr>
              <w:t>满足</w:t>
            </w:r>
            <w:bookmarkEnd w:id="62"/>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jNzQ0ODRmYjhiYzE2OTdkMzMzMzk2ZTU2ZTU1ZDkifQ=="/>
  </w:docVars>
  <w:rsids>
    <w:rsidRoot w:val="004721A5"/>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1CD4"/>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721A5"/>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864F6"/>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27298"/>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3410C"/>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4954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autoRedefine/>
    <w:qFormat/>
    <w:uiPriority w:val="0"/>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autoRedefine/>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autoRedefine/>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page number"/>
    <w:basedOn w:val="22"/>
    <w:autoRedefine/>
    <w:qFormat/>
    <w:uiPriority w:val="0"/>
  </w:style>
  <w:style w:type="character" w:styleId="25">
    <w:name w:val="Hyperlink"/>
    <w:uiPriority w:val="99"/>
    <w:rPr>
      <w:color w:val="0000FF"/>
      <w:u w:val="single"/>
    </w:rPr>
  </w:style>
  <w:style w:type="character" w:customStyle="1" w:styleId="26">
    <w:name w:val="标题 字符"/>
    <w:basedOn w:val="22"/>
    <w:link w:val="19"/>
    <w:autoRedefine/>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png"/><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Company>ths</Company>
  <Pages>12</Pages>
  <Words>1090</Words>
  <Characters>6215</Characters>
  <Lines>51</Lines>
  <Paragraphs>14</Paragraphs>
  <TotalTime>0</TotalTime>
  <ScaleCrop>false</ScaleCrop>
  <LinksUpToDate>false</LinksUpToDate>
  <CharactersWithSpaces>7291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2024-01-02T14:03:00Z</dcterms:created>
  <dc:creator>Hyper PC</dc:creator>
  <cp:lastModifiedBy>星河</cp:lastModifiedBy>
  <cp:lastPrinted>2411-12-31T16:00:00Z</cp:lastPrinted>
  <dcterms:modified xsi:type="dcterms:W3CDTF">2024-01-07T13:52:21Z</dcterms:modified>
  <dc:title>住区热环境评价性设计计算书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D8FCA15637AA447C9A3E81717A9AEBBD_12</vt:lpwstr>
  </property>
</Properties>
</file>