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bookmarkStart w:id="40" w:name="_GoBack"/>
      <w:bookmarkEnd w:id="40"/>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vAlign w:val="top"/>
          </w:tcPr>
          <w:p>
            <w:pPr>
              <w:pStyle w:val="14"/>
              <w:tabs>
                <w:tab w:val="clear" w:pos="4153"/>
                <w:tab w:val="clear" w:pos="8306"/>
              </w:tabs>
              <w:snapToGrid/>
              <w:jc w:val="both"/>
              <w:rPr>
                <w:szCs w:val="21"/>
              </w:rPr>
            </w:pPr>
            <w:r>
              <w:rPr>
                <w:rFonts w:hint="eastAsia" w:ascii="宋体" w:hAnsi="宋体"/>
                <w:szCs w:val="21"/>
              </w:rPr>
              <w:t>破土而生</w:t>
            </w:r>
            <w:r>
              <w:rPr>
                <w:rFonts w:ascii="宋体" w:hAnsi="宋体" w:eastAsia="宋体" w:cs="宋体"/>
                <w:sz w:val="24"/>
                <w:szCs w:val="24"/>
              </w:rPr>
              <w:t>——</w:t>
            </w:r>
            <w:r>
              <w:rPr>
                <w:rFonts w:hint="eastAsia" w:ascii="宋体" w:hAnsi="宋体"/>
                <w:szCs w:val="21"/>
              </w:rPr>
              <w:t>低碳宜居视角下传统民居保护更新设计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vAlign w:val="top"/>
          </w:tcPr>
          <w:p>
            <w:pPr>
              <w:jc w:val="both"/>
              <w:rPr>
                <w:szCs w:val="21"/>
              </w:rPr>
            </w:pPr>
            <w:r>
              <w:rPr>
                <w:rFonts w:hint="eastAsia"/>
                <w:lang w:val="en-US" w:eastAsia="zh-CN"/>
              </w:rPr>
              <w:t>陕西-</w:t>
            </w:r>
            <w:r>
              <w:t>渭南</w:t>
            </w:r>
            <w:r>
              <w:rPr>
                <w:rFonts w:hint="eastAsia"/>
                <w:lang w:val="en-US" w:eastAsia="zh-CN"/>
              </w:rPr>
              <w:t>-韩城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vAlign w:val="top"/>
          </w:tcPr>
          <w:p>
            <w:pPr>
              <w:jc w:val="both"/>
              <w:rPr>
                <w:szCs w:val="21"/>
              </w:rPr>
            </w:pPr>
            <w:r>
              <w:rPr>
                <w:rFonts w:hint="eastAsia"/>
              </w:rPr>
              <w:t>YB1A60031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0" w:name="报告日期"/>
            <w:r>
              <w:rPr>
                <w:rFonts w:hint="eastAsia"/>
                <w:szCs w:val="21"/>
              </w:rPr>
              <w:t>2024年01月04日</w:t>
            </w:r>
            <w:bookmarkEnd w:id="0"/>
          </w:p>
        </w:tc>
      </w:tr>
    </w:tbl>
    <w:p>
      <w:pPr>
        <w:jc w:val="center"/>
        <w:rPr>
          <w:b/>
          <w:sz w:val="56"/>
        </w:rPr>
      </w:pPr>
      <w:bookmarkStart w:id="1" w:name="二维码"/>
      <w:bookmarkEnd w:id="1"/>
      <w:r>
        <w:drawing>
          <wp:inline distT="0" distB="0" distL="0" distR="0">
            <wp:extent cx="1514475" cy="1514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2" w:name="采用软件"/>
            <w:r>
              <w:t>建筑通风Vent2023</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3" w:name="软件版本"/>
            <w:r>
              <w:rPr>
                <w:rFonts w:cs="Times New Roman"/>
                <w:kern w:val="0"/>
                <w:sz w:val="18"/>
                <w:szCs w:val="18"/>
                <w:lang w:val="en-GB"/>
              </w:rPr>
              <w:t>20220401</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4" w:name="加密锁号"/>
            <w:bookmarkEnd w:id="4"/>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5"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"_Toc155283114"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ascii="黑体" w:hAnsi="黑体" w:eastAsia="黑体"/>
          <w:kern w:val="32"/>
        </w:rPr>
        <w:t>项目概况</w:t>
      </w:r>
      <w:r>
        <w:tab/>
      </w:r>
      <w:r>
        <w:fldChar w:fldCharType="begin"/>
      </w:r>
      <w:r>
        <w:instrText xml:space="preserve"> PAGEREF _Toc155283114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"_Toc155283115" </w:instrText>
      </w:r>
      <w:r>
        <w:fldChar w:fldCharType="separate"/>
      </w:r>
      <w:r>
        <w:rPr>
          <w:rStyle w:val="22"/>
          <w:rFonts w:ascii="黑体" w:hAnsi="黑体"/>
        </w:rPr>
        <w:t>1.1</w:t>
      </w:r>
      <w:r>
        <w:rPr>
          <w:rFonts w:asciiTheme="minorHAnsi" w:hAnsiTheme="minorHAnsi" w:eastAsiaTheme="minorEastAsia" w:cstheme="minorBidi"/>
          <w:szCs w:val="22"/>
        </w:rPr>
        <w:tab/>
      </w:r>
      <w:r>
        <w:rPr>
          <w:rStyle w:val="22"/>
        </w:rPr>
        <w:t>建筑基本信息</w:t>
      </w:r>
      <w:r>
        <w:tab/>
      </w:r>
      <w:r>
        <w:fldChar w:fldCharType="begin"/>
      </w:r>
      <w:r>
        <w:instrText xml:space="preserve"> PAGEREF _Toc155283115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"_Toc155283116" </w:instrText>
      </w:r>
      <w:r>
        <w:fldChar w:fldCharType="separate"/>
      </w:r>
      <w:r>
        <w:rPr>
          <w:rStyle w:val="22"/>
          <w:rFonts w:ascii="黑体" w:hAnsi="黑体"/>
        </w:rPr>
        <w:t>1.2</w:t>
      </w:r>
      <w:r>
        <w:rPr>
          <w:rFonts w:asciiTheme="minorHAnsi" w:hAnsiTheme="minorHAnsi" w:eastAsiaTheme="minorEastAsia" w:cstheme="minorBidi"/>
          <w:szCs w:val="22"/>
        </w:rPr>
        <w:tab/>
      </w:r>
      <w:r>
        <w:rPr>
          <w:rStyle w:val="22"/>
        </w:rPr>
        <w:t>建筑平面图</w:t>
      </w:r>
      <w:r>
        <w:tab/>
      </w:r>
      <w:r>
        <w:fldChar w:fldCharType="begin"/>
      </w:r>
      <w:r>
        <w:instrText xml:space="preserve"> PAGEREF _Toc155283116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"_Toc155283117" </w:instrText>
      </w:r>
      <w:r>
        <w:fldChar w:fldCharType="separate"/>
      </w:r>
      <w:r>
        <w:rPr>
          <w:rStyle w:val="22"/>
          <w:rFonts w:ascii="黑体" w:hAnsi="黑体"/>
        </w:rPr>
        <w:t>1.3</w:t>
      </w:r>
      <w:r>
        <w:rPr>
          <w:rFonts w:asciiTheme="minorHAnsi" w:hAnsiTheme="minorHAnsi" w:eastAsiaTheme="minorEastAsia" w:cstheme="minorBidi"/>
          <w:szCs w:val="22"/>
        </w:rPr>
        <w:tab/>
      </w:r>
      <w:r>
        <w:rPr>
          <w:rStyle w:val="22"/>
        </w:rPr>
        <w:t>建筑三维轴测图</w:t>
      </w:r>
      <w:r>
        <w:tab/>
      </w:r>
      <w:r>
        <w:fldChar w:fldCharType="begin"/>
      </w:r>
      <w:r>
        <w:instrText xml:space="preserve"> PAGEREF _Toc155283117 \h </w:instrText>
      </w:r>
      <w:r>
        <w:fldChar w:fldCharType="separate"/>
      </w:r>
      <w:r>
        <w:t>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"_Toc155283118" </w:instrText>
      </w:r>
      <w:r>
        <w:fldChar w:fldCharType="separate"/>
      </w:r>
      <w:r>
        <w:rPr>
          <w:rStyle w:val="22"/>
          <w:rFonts w:ascii="Arial" w:hAnsi="Arial" w:eastAsia="黑体"/>
          <w:kern w:val="32"/>
        </w:rPr>
        <w:t>2</w:t>
      </w:r>
      <w:r>
        <w:rPr>
          <w:rFonts w:asciiTheme="minorHAnsi" w:hAnsiTheme="minorHAnsi" w:eastAsiaTheme="minorEastAsia" w:cstheme="minorBidi"/>
          <w:szCs w:val="22"/>
        </w:rPr>
        <w:tab/>
      </w:r>
      <w:r>
        <w:rPr>
          <w:rStyle w:val="22"/>
          <w:rFonts w:ascii="黑体" w:hAnsi="黑体" w:eastAsia="黑体"/>
          <w:kern w:val="32"/>
        </w:rPr>
        <w:t>参考标准</w:t>
      </w:r>
      <w:r>
        <w:tab/>
      </w:r>
      <w:r>
        <w:fldChar w:fldCharType="begin"/>
      </w:r>
      <w:r>
        <w:instrText xml:space="preserve"> PAGEREF _Toc155283118 \h </w:instrText>
      </w:r>
      <w:r>
        <w:fldChar w:fldCharType="separate"/>
      </w:r>
      <w:r>
        <w:t>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"_Toc155283119" </w:instrText>
      </w:r>
      <w:r>
        <w:fldChar w:fldCharType="separate"/>
      </w:r>
      <w:r>
        <w:rPr>
          <w:rStyle w:val="22"/>
          <w:rFonts w:ascii="Arial" w:hAnsi="Arial" w:eastAsia="黑体"/>
          <w:kern w:val="32"/>
        </w:rPr>
        <w:t>3</w:t>
      </w:r>
      <w:r>
        <w:rPr>
          <w:rFonts w:asciiTheme="minorHAnsi" w:hAnsiTheme="minorHAnsi" w:eastAsiaTheme="minorEastAsia" w:cstheme="minorBidi"/>
          <w:szCs w:val="22"/>
        </w:rPr>
        <w:tab/>
      </w:r>
      <w:r>
        <w:rPr>
          <w:rStyle w:val="22"/>
          <w:rFonts w:ascii="黑体" w:hAnsi="黑体" w:eastAsia="黑体"/>
          <w:kern w:val="32"/>
        </w:rPr>
        <w:t>评价标准</w:t>
      </w:r>
      <w:r>
        <w:tab/>
      </w:r>
      <w:r>
        <w:fldChar w:fldCharType="begin"/>
      </w:r>
      <w:r>
        <w:instrText xml:space="preserve"> PAGEREF _Toc155283119 \h </w:instrText>
      </w:r>
      <w:r>
        <w:fldChar w:fldCharType="separate"/>
      </w:r>
      <w:r>
        <w:t>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"_Toc155283120" </w:instrText>
      </w:r>
      <w:r>
        <w:fldChar w:fldCharType="separate"/>
      </w:r>
      <w:r>
        <w:rPr>
          <w:rStyle w:val="22"/>
          <w:rFonts w:ascii="Arial" w:hAnsi="Arial" w:eastAsia="黑体"/>
          <w:kern w:val="32"/>
        </w:rPr>
        <w:t>4</w:t>
      </w:r>
      <w:r>
        <w:rPr>
          <w:rFonts w:asciiTheme="minorHAnsi" w:hAnsiTheme="minorHAnsi" w:eastAsiaTheme="minorEastAsia" w:cstheme="minorBidi"/>
          <w:szCs w:val="22"/>
        </w:rPr>
        <w:tab/>
      </w:r>
      <w:r>
        <w:rPr>
          <w:rStyle w:val="22"/>
          <w:rFonts w:ascii="黑体" w:hAnsi="黑体" w:eastAsia="黑体"/>
          <w:kern w:val="32"/>
        </w:rPr>
        <w:t>计算原理</w:t>
      </w:r>
      <w:r>
        <w:tab/>
      </w:r>
      <w:r>
        <w:fldChar w:fldCharType="begin"/>
      </w:r>
      <w:r>
        <w:instrText xml:space="preserve"> PAGEREF _Toc155283120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"_Toc155283121" </w:instrText>
      </w:r>
      <w:r>
        <w:fldChar w:fldCharType="separate"/>
      </w:r>
      <w:r>
        <w:rPr>
          <w:rStyle w:val="22"/>
          <w:rFonts w:ascii="Arial" w:hAnsi="Arial"/>
          <w:kern w:val="32"/>
        </w:rPr>
        <w:t>5</w:t>
      </w:r>
      <w:r>
        <w:rPr>
          <w:rFonts w:asciiTheme="minorHAnsi" w:hAnsiTheme="minorHAnsi" w:eastAsiaTheme="minorEastAsia" w:cstheme="minorBidi"/>
          <w:szCs w:val="22"/>
        </w:rPr>
        <w:tab/>
      </w:r>
      <w:r>
        <w:rPr>
          <w:rStyle w:val="22"/>
          <w:kern w:val="32"/>
        </w:rPr>
        <w:t>计算参数</w:t>
      </w:r>
      <w:r>
        <w:tab/>
      </w:r>
      <w:r>
        <w:fldChar w:fldCharType="begin"/>
      </w:r>
      <w:r>
        <w:instrText xml:space="preserve"> PAGEREF _Toc155283121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"_Toc155283122" </w:instrText>
      </w:r>
      <w:r>
        <w:fldChar w:fldCharType="separate"/>
      </w:r>
      <w:r>
        <w:rPr>
          <w:rStyle w:val="22"/>
          <w:rFonts w:ascii="黑体" w:hAnsi="黑体"/>
        </w:rPr>
        <w:t>5.1</w:t>
      </w:r>
      <w:r>
        <w:rPr>
          <w:rFonts w:asciiTheme="minorHAnsi" w:hAnsiTheme="minorHAnsi" w:eastAsiaTheme="minorEastAsia" w:cstheme="minorBidi"/>
          <w:szCs w:val="22"/>
        </w:rPr>
        <w:tab/>
      </w:r>
      <w:r>
        <w:rPr>
          <w:rStyle w:val="22"/>
        </w:rPr>
        <w:t>渗透风量</w:t>
      </w:r>
      <w:r>
        <w:tab/>
      </w:r>
      <w:r>
        <w:fldChar w:fldCharType="begin"/>
      </w:r>
      <w:r>
        <w:instrText xml:space="preserve"> PAGEREF _Toc155283122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"_Toc155283123" </w:instrText>
      </w:r>
      <w:r>
        <w:fldChar w:fldCharType="separate"/>
      </w:r>
      <w:r>
        <w:rPr>
          <w:rStyle w:val="22"/>
          <w:rFonts w:ascii="黑体" w:hAnsi="黑体"/>
        </w:rPr>
        <w:t>5.2</w:t>
      </w:r>
      <w:r>
        <w:rPr>
          <w:rFonts w:asciiTheme="minorHAnsi" w:hAnsiTheme="minorHAnsi" w:eastAsiaTheme="minorEastAsia" w:cstheme="minorBidi"/>
          <w:szCs w:val="22"/>
        </w:rPr>
        <w:tab/>
      </w:r>
      <w:r>
        <w:rPr>
          <w:rStyle w:val="22"/>
        </w:rPr>
        <w:t>室内颗粒物源强</w:t>
      </w:r>
      <w:r>
        <w:tab/>
      </w:r>
      <w:r>
        <w:fldChar w:fldCharType="begin"/>
      </w:r>
      <w:r>
        <w:instrText xml:space="preserve"> PAGEREF _Toc155283123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"_Toc155283124" </w:instrText>
      </w:r>
      <w:r>
        <w:fldChar w:fldCharType="separate"/>
      </w:r>
      <w:r>
        <w:rPr>
          <w:rStyle w:val="22"/>
          <w:rFonts w:ascii="黑体" w:hAnsi="黑体"/>
        </w:rPr>
        <w:t>5.3</w:t>
      </w:r>
      <w:r>
        <w:rPr>
          <w:rFonts w:asciiTheme="minorHAnsi" w:hAnsiTheme="minorHAnsi" w:eastAsiaTheme="minorEastAsia" w:cstheme="minorBidi"/>
          <w:szCs w:val="22"/>
        </w:rPr>
        <w:tab/>
      </w:r>
      <w:r>
        <w:rPr>
          <w:rStyle w:val="22"/>
        </w:rPr>
        <w:t>室外颗粒物污染源浓度</w:t>
      </w:r>
      <w:r>
        <w:tab/>
      </w:r>
      <w:r>
        <w:fldChar w:fldCharType="begin"/>
      </w:r>
      <w:r>
        <w:instrText xml:space="preserve"> PAGEREF _Toc155283124 \h </w:instrText>
      </w:r>
      <w:r>
        <w:fldChar w:fldCharType="separate"/>
      </w:r>
      <w:r>
        <w:t>6</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"_Toc155283125" </w:instrText>
      </w:r>
      <w:r>
        <w:fldChar w:fldCharType="separate"/>
      </w:r>
      <w:r>
        <w:rPr>
          <w:rStyle w:val="22"/>
          <w:rFonts w:ascii="黑体" w:hAnsi="黑体"/>
        </w:rPr>
        <w:t>5.4</w:t>
      </w:r>
      <w:r>
        <w:rPr>
          <w:rFonts w:asciiTheme="minorHAnsi" w:hAnsiTheme="minorHAnsi" w:eastAsiaTheme="minorEastAsia" w:cstheme="minorBidi"/>
          <w:szCs w:val="22"/>
        </w:rPr>
        <w:tab/>
      </w:r>
      <w:r>
        <w:rPr>
          <w:rStyle w:val="22"/>
        </w:rPr>
        <w:t>房间通风净化</w:t>
      </w:r>
      <w:r>
        <w:tab/>
      </w:r>
      <w:r>
        <w:fldChar w:fldCharType="begin"/>
      </w:r>
      <w:r>
        <w:instrText xml:space="preserve"> PAGEREF _Toc155283125 \h </w:instrText>
      </w:r>
      <w:r>
        <w:fldChar w:fldCharType="separate"/>
      </w:r>
      <w:r>
        <w:t>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"_Toc155283126" </w:instrText>
      </w:r>
      <w:r>
        <w:fldChar w:fldCharType="separate"/>
      </w:r>
      <w:r>
        <w:rPr>
          <w:rStyle w:val="22"/>
          <w:rFonts w:ascii="Arial" w:hAnsi="Arial" w:eastAsia="黑体"/>
          <w:kern w:val="32"/>
        </w:rPr>
        <w:t>6</w:t>
      </w:r>
      <w:r>
        <w:rPr>
          <w:rFonts w:asciiTheme="minorHAnsi" w:hAnsiTheme="minorHAnsi" w:eastAsiaTheme="minorEastAsia" w:cstheme="minorBidi"/>
          <w:szCs w:val="22"/>
        </w:rPr>
        <w:tab/>
      </w:r>
      <w:r>
        <w:rPr>
          <w:rStyle w:val="22"/>
          <w:rFonts w:ascii="黑体" w:hAnsi="黑体" w:eastAsia="黑体"/>
          <w:kern w:val="32"/>
        </w:rPr>
        <w:t>计算结果</w:t>
      </w:r>
      <w:r>
        <w:tab/>
      </w:r>
      <w:r>
        <w:fldChar w:fldCharType="begin"/>
      </w:r>
      <w:r>
        <w:instrText xml:space="preserve"> PAGEREF _Toc155283126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"_Toc155283127" </w:instrText>
      </w:r>
      <w:r>
        <w:fldChar w:fldCharType="separate"/>
      </w:r>
      <w:r>
        <w:rPr>
          <w:rStyle w:val="22"/>
          <w:rFonts w:ascii="黑体" w:hAnsi="黑体"/>
        </w:rPr>
        <w:t>6.1</w:t>
      </w:r>
      <w:r>
        <w:rPr>
          <w:rFonts w:asciiTheme="minorHAnsi" w:hAnsiTheme="minorHAnsi" w:eastAsiaTheme="minorEastAsia" w:cstheme="minorBidi"/>
          <w:szCs w:val="22"/>
        </w:rPr>
        <w:tab/>
      </w:r>
      <w:r>
        <w:rPr>
          <w:rStyle w:val="22"/>
        </w:rPr>
        <w:t>颗粒物年均值</w:t>
      </w:r>
      <w:r>
        <w:tab/>
      </w:r>
      <w:r>
        <w:fldChar w:fldCharType="begin"/>
      </w:r>
      <w:r>
        <w:instrText xml:space="preserve"> PAGEREF _Toc155283127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"_Toc155283128" </w:instrText>
      </w:r>
      <w:r>
        <w:fldChar w:fldCharType="separate"/>
      </w:r>
      <w:r>
        <w:rPr>
          <w:rStyle w:val="22"/>
          <w:rFonts w:ascii="黑体" w:hAnsi="黑体"/>
        </w:rPr>
        <w:t>6.2</w:t>
      </w:r>
      <w:r>
        <w:rPr>
          <w:rFonts w:asciiTheme="minorHAnsi" w:hAnsiTheme="minorHAnsi" w:eastAsiaTheme="minorEastAsia" w:cstheme="minorBidi"/>
          <w:szCs w:val="22"/>
        </w:rPr>
        <w:tab/>
      </w:r>
      <w:r>
        <w:rPr>
          <w:rStyle w:val="22"/>
        </w:rPr>
        <w:t>颗粒物日均值</w:t>
      </w:r>
      <w:r>
        <w:tab/>
      </w:r>
      <w:r>
        <w:fldChar w:fldCharType="begin"/>
      </w:r>
      <w:r>
        <w:instrText xml:space="preserve"> PAGEREF _Toc155283128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"_Toc155283129" </w:instrText>
      </w:r>
      <w:r>
        <w:fldChar w:fldCharType="separate"/>
      </w:r>
      <w:r>
        <w:rPr>
          <w:rStyle w:val="22"/>
          <w:rFonts w:ascii="Arial" w:hAnsi="Arial" w:eastAsia="黑体"/>
          <w:kern w:val="32"/>
        </w:rPr>
        <w:t>7</w:t>
      </w:r>
      <w:r>
        <w:rPr>
          <w:rFonts w:asciiTheme="minorHAnsi" w:hAnsiTheme="minorHAnsi" w:eastAsiaTheme="minorEastAsia" w:cstheme="minorBidi"/>
          <w:szCs w:val="22"/>
        </w:rPr>
        <w:tab/>
      </w:r>
      <w:r>
        <w:rPr>
          <w:rStyle w:val="22"/>
          <w:rFonts w:ascii="黑体" w:hAnsi="黑体" w:eastAsia="黑体"/>
          <w:kern w:val="32"/>
        </w:rPr>
        <w:t>结论</w:t>
      </w:r>
      <w:r>
        <w:tab/>
      </w:r>
      <w:r>
        <w:fldChar w:fldCharType="begin"/>
      </w:r>
      <w:r>
        <w:instrText xml:space="preserve"> PAGEREF _Toc155283129 \h </w:instrText>
      </w:r>
      <w:r>
        <w:fldChar w:fldCharType="separate"/>
      </w:r>
      <w:r>
        <w:t>8</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5"/>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6" w:name="_Toc155283114"/>
      <w:r>
        <w:rPr>
          <w:rFonts w:hint="eastAsia" w:ascii="黑体" w:hAnsi="黑体" w:eastAsia="黑体"/>
          <w:kern w:val="32"/>
          <w:sz w:val="28"/>
          <w:szCs w:val="28"/>
        </w:rPr>
        <w:t>项目概况</w:t>
      </w:r>
      <w:bookmarkEnd w:id="6"/>
    </w:p>
    <w:p>
      <w:pPr>
        <w:pStyle w:val="3"/>
        <w:rPr>
          <w:sz w:val="24"/>
          <w:szCs w:val="24"/>
        </w:rPr>
      </w:pPr>
      <w:bookmarkStart w:id="7" w:name="_Toc155283115"/>
      <w:r>
        <w:rPr>
          <w:rFonts w:hint="eastAsia"/>
          <w:sz w:val="24"/>
          <w:szCs w:val="24"/>
        </w:rPr>
        <w:t>建筑基本信息</w:t>
      </w:r>
      <w:bookmarkEnd w:id="7"/>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8" w:name="地区"/>
            <w:r>
              <w:t>渭南</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9" w:name="建筑面积"/>
            <w:r>
              <w:t>267.98</w:t>
            </w:r>
            <w:bookmarkEnd w:id="9"/>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0" w:name="建筑层高"/>
            <w:r>
              <w:t>7.200</w:t>
            </w:r>
            <w:bookmarkEnd w:id="10"/>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1" w:name="_Toc155283116"/>
      <w:r>
        <w:rPr>
          <w:rFonts w:hint="eastAsia"/>
          <w:sz w:val="24"/>
          <w:szCs w:val="24"/>
        </w:rPr>
        <w:t>建筑</w:t>
      </w:r>
      <w:r>
        <w:rPr>
          <w:rFonts w:hint="eastAsia"/>
          <w:sz w:val="24"/>
          <w:szCs w:val="24"/>
          <w:lang w:eastAsia="zh-CN"/>
        </w:rPr>
        <w:t>平面</w:t>
      </w:r>
      <w:r>
        <w:rPr>
          <w:rFonts w:hint="eastAsia"/>
          <w:sz w:val="24"/>
          <w:szCs w:val="24"/>
        </w:rPr>
        <w:t>图</w:t>
      </w:r>
      <w:bookmarkEnd w:id="11"/>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2" w:name="平面图"/>
      <w:bookmarkEnd w:id="12"/>
      <w:r>
        <w:drawing>
          <wp:inline distT="0" distB="0" distL="0" distR="0">
            <wp:extent cx="5667375" cy="52578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2578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3" w:name="_Toc155283117"/>
      <w:r>
        <w:rPr>
          <w:rFonts w:hint="eastAsia"/>
          <w:sz w:val="24"/>
          <w:szCs w:val="24"/>
        </w:rPr>
        <w:t>建筑三维轴测图</w:t>
      </w:r>
      <w:bookmarkEnd w:id="13"/>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4" w:name="三维视图"/>
            <w:r>
              <w:t>请先在[模型观察]命令中保存图片！</w:t>
            </w:r>
            <w:bookmarkEnd w:id="14"/>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5" w:name="_Toc155283118"/>
      <w:r>
        <w:rPr>
          <w:rFonts w:hint="eastAsia" w:ascii="黑体" w:hAnsi="黑体" w:eastAsia="黑体"/>
          <w:kern w:val="32"/>
          <w:sz w:val="28"/>
          <w:szCs w:val="28"/>
        </w:rPr>
        <w:t>参考标准</w:t>
      </w:r>
      <w:bookmarkEnd w:id="15"/>
    </w:p>
    <w:p>
      <w:pPr>
        <w:pStyle w:val="37"/>
        <w:numPr>
          <w:ilvl w:val="2"/>
          <w:numId w:val="3"/>
        </w:numPr>
        <w:spacing w:line="400" w:lineRule="exact"/>
        <w:ind w:firstLineChars="0"/>
        <w:rPr>
          <w:rFonts w:ascii="Times New Roman" w:hAnsi="Times New Roman"/>
        </w:rPr>
      </w:pPr>
      <w:bookmarkStart w:id="16" w:name="标准名称"/>
      <w:r>
        <w:t>《绿色建筑评价标准》GB/T 50378-2019</w:t>
      </w:r>
      <w:bookmarkEnd w:id="16"/>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7" w:name="_Toc155283119"/>
      <w:r>
        <w:rPr>
          <w:rFonts w:hint="eastAsia" w:ascii="黑体" w:hAnsi="黑体" w:eastAsia="黑体"/>
          <w:kern w:val="32"/>
          <w:sz w:val="28"/>
          <w:szCs w:val="28"/>
        </w:rPr>
        <w:t>评价标准</w:t>
      </w:r>
      <w:bookmarkEnd w:id="17"/>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18" w:name="标准名称1"/>
      <w:r>
        <w:t>《绿色建筑评价标准》GB/T 50378-2019</w:t>
      </w:r>
      <w:bookmarkEnd w:id="18"/>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9" w:name="_Toc155283120"/>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8pt;width:410.4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0" w:name="_Toc155283121"/>
      <w:r>
        <w:rPr>
          <w:rFonts w:hint="eastAsia"/>
          <w:kern w:val="32"/>
          <w:sz w:val="28"/>
          <w:szCs w:val="28"/>
        </w:rPr>
        <w:t>计算参数</w:t>
      </w:r>
      <w:bookmarkEnd w:id="20"/>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1" w:name="_Toc155283122"/>
      <w:r>
        <w:rPr>
          <w:rFonts w:hint="eastAsia"/>
          <w:sz w:val="24"/>
          <w:szCs w:val="24"/>
        </w:rPr>
        <w:t>渗透风量</w:t>
      </w:r>
      <w:bookmarkEnd w:id="21"/>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2" w:name="渗透风量"/>
      <w:r>
        <w:t>本项目忽略渗透风量的影响。</w:t>
      </w:r>
      <w:bookmarkEnd w:id="22"/>
    </w:p>
    <w:p>
      <w:pPr>
        <w:pStyle w:val="3"/>
        <w:rPr>
          <w:sz w:val="24"/>
          <w:szCs w:val="24"/>
        </w:rPr>
      </w:pPr>
      <w:bookmarkStart w:id="23" w:name="_Toc155283123"/>
      <w:r>
        <w:rPr>
          <w:rFonts w:hint="eastAsia"/>
          <w:sz w:val="24"/>
          <w:szCs w:val="24"/>
        </w:rPr>
        <w:t>室内颗粒物源强</w:t>
      </w:r>
      <w:bookmarkEnd w:id="23"/>
    </w:p>
    <w:p>
      <w:pPr>
        <w:jc w:val="center"/>
      </w:pPr>
      <w:bookmarkStart w:id="24" w:name="室内颗粒物源强表"/>
      <w:r>
        <w:t>该项目室内颗粒物源强为0。</w:t>
      </w:r>
      <w:bookmarkEnd w:id="24"/>
    </w:p>
    <w:p>
      <w:pPr>
        <w:jc w:val="center"/>
      </w:pPr>
    </w:p>
    <w:p>
      <w:pPr>
        <w:pStyle w:val="3"/>
        <w:rPr>
          <w:sz w:val="24"/>
          <w:szCs w:val="24"/>
        </w:rPr>
      </w:pPr>
      <w:bookmarkStart w:id="25" w:name="_Toc155283124"/>
      <w:r>
        <w:rPr>
          <w:rFonts w:hint="eastAsia"/>
          <w:sz w:val="24"/>
          <w:szCs w:val="24"/>
        </w:rPr>
        <w:t>室外颗粒物污染源浓度</w:t>
      </w:r>
      <w:bookmarkEnd w:id="25"/>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26" w:name="室外颗粒物逐时浓度图"/>
      <w:bookmarkEnd w:id="26"/>
      <w:r>
        <w:drawing>
          <wp:inline distT="0" distB="0" distL="0" distR="0">
            <wp:extent cx="5667375" cy="28860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27" w:name="_Toc155283125"/>
      <w:r>
        <w:rPr>
          <w:rFonts w:hint="eastAsia"/>
          <w:sz w:val="24"/>
          <w:szCs w:val="24"/>
        </w:rPr>
        <w:t>房间通风净化</w:t>
      </w:r>
      <w:bookmarkEnd w:id="27"/>
    </w:p>
    <w:p>
      <w:pPr>
        <w:jc w:val="center"/>
      </w:pPr>
    </w:p>
    <w:p>
      <w:pPr>
        <w:rPr>
          <w:lang w:val="zh-CN" w:eastAsia="zh-CN"/>
        </w:rPr>
      </w:pPr>
    </w:p>
    <w:p>
      <w:pPr>
        <w:jc w:val="center"/>
      </w:pPr>
      <w:bookmarkStart w:id="28" w:name="通风净化表"/>
      <w:bookmarkEnd w:id="28"/>
      <w:r>
        <w:rPr>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开窗通风量（m³/h）</w:t>
            </w:r>
          </w:p>
        </w:tc>
        <w:tc>
          <w:tcPr>
            <w:tcW w:w="2433"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1层</w:t>
            </w:r>
          </w:p>
        </w:tc>
        <w:tc>
          <w:tcPr>
            <w:tcW w:w="1131" w:type="dxa"/>
            <w:vAlign w:val="center"/>
          </w:tcPr>
          <w:p>
            <w:pPr>
              <w:jc w:val="center"/>
            </w:pPr>
            <w:r>
              <w:t>1004</w:t>
            </w:r>
          </w:p>
        </w:tc>
        <w:tc>
          <w:tcPr>
            <w:tcW w:w="1358" w:type="dxa"/>
            <w:vAlign w:val="center"/>
          </w:tcPr>
          <w:p>
            <w:pPr>
              <w:jc w:val="center"/>
            </w:pPr>
            <w:r>
              <w:t>餐厅</w:t>
            </w:r>
          </w:p>
        </w:tc>
        <w:tc>
          <w:tcPr>
            <w:tcW w:w="2433" w:type="dxa"/>
            <w:vAlign w:val="center"/>
          </w:tcPr>
          <w:p>
            <w:pPr>
              <w:jc w:val="center"/>
            </w:pPr>
            <w:r>
              <w:t>29.2</w:t>
            </w:r>
          </w:p>
        </w:tc>
        <w:tc>
          <w:tcPr>
            <w:tcW w:w="2433" w:type="dxa"/>
            <w:vAlign w:val="center"/>
          </w:tcPr>
          <w:p>
            <w:pPr>
              <w:jc w:val="center"/>
            </w:pPr>
            <w:r>
              <w:t>92.7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1层</w:t>
            </w:r>
          </w:p>
        </w:tc>
        <w:tc>
          <w:tcPr>
            <w:tcW w:w="1131" w:type="dxa"/>
            <w:vAlign w:val="center"/>
          </w:tcPr>
          <w:p>
            <w:pPr>
              <w:jc w:val="center"/>
            </w:pPr>
            <w:r>
              <w:t>1002</w:t>
            </w:r>
          </w:p>
        </w:tc>
        <w:tc>
          <w:tcPr>
            <w:tcW w:w="1358" w:type="dxa"/>
            <w:vAlign w:val="center"/>
          </w:tcPr>
          <w:p>
            <w:pPr>
              <w:jc w:val="center"/>
            </w:pPr>
            <w:r>
              <w:t>厨房</w:t>
            </w:r>
          </w:p>
        </w:tc>
        <w:tc>
          <w:tcPr>
            <w:tcW w:w="2433" w:type="dxa"/>
            <w:vAlign w:val="center"/>
          </w:tcPr>
          <w:p>
            <w:pPr>
              <w:jc w:val="center"/>
            </w:pPr>
            <w:r>
              <w:t>28.2</w:t>
            </w:r>
          </w:p>
        </w:tc>
        <w:tc>
          <w:tcPr>
            <w:tcW w:w="2433" w:type="dxa"/>
            <w:vAlign w:val="center"/>
          </w:tcPr>
          <w:p>
            <w:pPr>
              <w:jc w:val="center"/>
            </w:pPr>
            <w:r>
              <w:t>117.6</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155283126"/>
      <w:r>
        <w:rPr>
          <w:rFonts w:hint="eastAsia" w:ascii="黑体" w:hAnsi="黑体" w:eastAsia="黑体"/>
          <w:kern w:val="32"/>
          <w:sz w:val="28"/>
          <w:szCs w:val="28"/>
        </w:rPr>
        <w:t>计算结果</w:t>
      </w:r>
      <w:bookmarkEnd w:id="29"/>
    </w:p>
    <w:p>
      <w:pPr>
        <w:pStyle w:val="3"/>
        <w:rPr>
          <w:sz w:val="24"/>
        </w:rPr>
      </w:pPr>
      <w:bookmarkStart w:id="30" w:name="_Toc155283127"/>
      <w:r>
        <w:rPr>
          <w:rFonts w:hint="eastAsia"/>
          <w:sz w:val="24"/>
          <w:lang w:eastAsia="zh-CN"/>
        </w:rPr>
        <w:t>颗粒物年均值</w:t>
      </w:r>
      <w:bookmarkEnd w:id="30"/>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1层</w:t>
            </w:r>
          </w:p>
        </w:tc>
        <w:tc>
          <w:tcPr>
            <w:tcW w:w="1131" w:type="dxa"/>
            <w:vAlign w:val="center"/>
          </w:tcPr>
          <w:p>
            <w:pPr>
              <w:jc w:val="center"/>
            </w:pPr>
            <w:r>
              <w:t>1004</w:t>
            </w:r>
          </w:p>
        </w:tc>
        <w:tc>
          <w:tcPr>
            <w:tcW w:w="1131" w:type="dxa"/>
            <w:vAlign w:val="center"/>
          </w:tcPr>
          <w:p>
            <w:pPr>
              <w:jc w:val="center"/>
            </w:pPr>
            <w:r>
              <w:t>餐厅</w:t>
            </w:r>
          </w:p>
        </w:tc>
        <w:tc>
          <w:tcPr>
            <w:tcW w:w="1131" w:type="dxa"/>
            <w:vAlign w:val="center"/>
          </w:tcPr>
          <w:p>
            <w:pPr>
              <w:jc w:val="center"/>
            </w:pPr>
            <w:r>
              <w:t>11</w:t>
            </w:r>
          </w:p>
        </w:tc>
        <w:tc>
          <w:tcPr>
            <w:tcW w:w="1131" w:type="dxa"/>
            <w:vAlign w:val="center"/>
          </w:tcPr>
          <w:p>
            <w:pPr>
              <w:jc w:val="center"/>
            </w:pPr>
            <w:r>
              <w:t>22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1层</w:t>
            </w:r>
          </w:p>
        </w:tc>
        <w:tc>
          <w:tcPr>
            <w:tcW w:w="1131" w:type="dxa"/>
            <w:vAlign w:val="center"/>
          </w:tcPr>
          <w:p>
            <w:pPr>
              <w:jc w:val="center"/>
            </w:pPr>
            <w:r>
              <w:t>1002</w:t>
            </w:r>
          </w:p>
        </w:tc>
        <w:tc>
          <w:tcPr>
            <w:tcW w:w="1131" w:type="dxa"/>
            <w:vAlign w:val="center"/>
          </w:tcPr>
          <w:p>
            <w:pPr>
              <w:jc w:val="center"/>
            </w:pPr>
            <w:r>
              <w:t>厨房</w:t>
            </w:r>
          </w:p>
        </w:tc>
        <w:tc>
          <w:tcPr>
            <w:tcW w:w="1131" w:type="dxa"/>
            <w:vAlign w:val="center"/>
          </w:tcPr>
          <w:p>
            <w:pPr>
              <w:jc w:val="center"/>
            </w:pPr>
            <w:r>
              <w:t>9</w:t>
            </w:r>
          </w:p>
        </w:tc>
        <w:tc>
          <w:tcPr>
            <w:tcW w:w="1131" w:type="dxa"/>
            <w:vAlign w:val="center"/>
          </w:tcPr>
          <w:p>
            <w:pPr>
              <w:jc w:val="center"/>
            </w:pPr>
            <w:r>
              <w:t>18</w:t>
            </w:r>
          </w:p>
        </w:tc>
        <w:tc>
          <w:tcPr>
            <w:tcW w:w="2830" w:type="dxa"/>
            <w:vAlign w:val="center"/>
          </w:tcPr>
          <w:p>
            <w:pPr>
              <w:jc w:val="center"/>
            </w:pPr>
            <w:r>
              <w:rPr>
                <w:b/>
              </w:rPr>
              <w:t>达标</w:t>
            </w:r>
          </w:p>
        </w:tc>
      </w:tr>
    </w:tbl>
    <w:p>
      <w:pPr>
        <w:jc w:val="center"/>
        <w:rPr>
          <w:b/>
        </w:rPr>
      </w:pPr>
      <w:bookmarkStart w:id="31" w:name="室内颗粒物达标判定表"/>
      <w:bookmarkEnd w:id="31"/>
    </w:p>
    <w:p>
      <w:pPr>
        <w:jc w:val="center"/>
        <w:rPr>
          <w:b/>
        </w:rPr>
      </w:pPr>
    </w:p>
    <w:p>
      <w:pPr>
        <w:jc w:val="center"/>
        <w:rPr>
          <w:b/>
        </w:rPr>
      </w:pPr>
      <w:bookmarkStart w:id="32" w:name="颗粒物达标判定图"/>
      <w:bookmarkEnd w:id="32"/>
      <w:r>
        <w:drawing>
          <wp:inline distT="0" distB="0" distL="0" distR="0">
            <wp:extent cx="5667375" cy="34004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3" w:name="_Toc155283128"/>
      <w:r>
        <w:rPr>
          <w:rFonts w:hint="eastAsia"/>
          <w:sz w:val="24"/>
          <w:lang w:eastAsia="zh-CN"/>
        </w:rPr>
        <w:t>颗粒物日均值</w:t>
      </w:r>
      <w:bookmarkEnd w:id="33"/>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rPr>
        <w:t>日平均浓度进行计算和达标判定，结果如下：</w:t>
      </w:r>
    </w:p>
    <w:p>
      <w:pPr>
        <w:ind w:left="576"/>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1层</w:t>
            </w:r>
          </w:p>
        </w:tc>
        <w:tc>
          <w:tcPr>
            <w:tcW w:w="1075" w:type="dxa"/>
            <w:vAlign w:val="center"/>
          </w:tcPr>
          <w:p>
            <w:pPr>
              <w:jc w:val="center"/>
            </w:pPr>
            <w:r>
              <w:t>1004</w:t>
            </w:r>
          </w:p>
        </w:tc>
        <w:tc>
          <w:tcPr>
            <w:tcW w:w="1301" w:type="dxa"/>
            <w:vAlign w:val="center"/>
          </w:tcPr>
          <w:p>
            <w:pPr>
              <w:jc w:val="center"/>
            </w:pPr>
            <w:r>
              <w:t>餐厅</w:t>
            </w:r>
          </w:p>
        </w:tc>
        <w:tc>
          <w:tcPr>
            <w:tcW w:w="905" w:type="dxa"/>
            <w:vAlign w:val="center"/>
          </w:tcPr>
          <w:p>
            <w:pPr>
              <w:jc w:val="center"/>
            </w:pPr>
            <w:r>
              <w:t>0.047</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1层</w:t>
            </w:r>
          </w:p>
        </w:tc>
        <w:tc>
          <w:tcPr>
            <w:tcW w:w="1075" w:type="dxa"/>
            <w:vAlign w:val="center"/>
          </w:tcPr>
          <w:p>
            <w:pPr>
              <w:jc w:val="center"/>
            </w:pPr>
            <w:r>
              <w:t>1002</w:t>
            </w:r>
          </w:p>
        </w:tc>
        <w:tc>
          <w:tcPr>
            <w:tcW w:w="1301" w:type="dxa"/>
            <w:vAlign w:val="center"/>
          </w:tcPr>
          <w:p>
            <w:pPr>
              <w:jc w:val="center"/>
            </w:pPr>
            <w:r>
              <w:t>厨房</w:t>
            </w:r>
          </w:p>
        </w:tc>
        <w:tc>
          <w:tcPr>
            <w:tcW w:w="905" w:type="dxa"/>
            <w:vAlign w:val="center"/>
          </w:tcPr>
          <w:p>
            <w:pPr>
              <w:jc w:val="center"/>
            </w:pPr>
            <w:r>
              <w:t>0.038</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cs="Times New Roman"/>
          <w:b/>
          <w:szCs w:val="21"/>
        </w:rPr>
      </w:pPr>
      <w:bookmarkStart w:id="34" w:name="室内PM10日均值达标判定表"/>
      <w:bookmarkEnd w:id="34"/>
    </w:p>
    <w:p>
      <w:pPr>
        <w:jc w:val="center"/>
        <w:rPr>
          <w:rFonts w:ascii="Times New Roman" w:hAnsi="Times New Roman" w:cs="Times New Roman"/>
          <w:b/>
          <w:szCs w:val="21"/>
        </w:rPr>
      </w:pPr>
    </w:p>
    <w:p>
      <w:pPr>
        <w:jc w:val="center"/>
        <w:rPr>
          <w:rFonts w:ascii="Times New Roman" w:hAnsi="Times New Roman" w:cs="Times New Roman"/>
          <w:b/>
          <w:szCs w:val="21"/>
        </w:rPr>
      </w:pPr>
      <w:bookmarkStart w:id="35" w:name="PM10颗粒物逐日均值图"/>
      <w:bookmarkEnd w:id="35"/>
      <w:r>
        <w:drawing>
          <wp:inline distT="0" distB="0" distL="0" distR="0">
            <wp:extent cx="5667375" cy="2571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25717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6" w:name="_Toc155283129"/>
      <w:r>
        <w:rPr>
          <w:rFonts w:hint="eastAsia" w:ascii="黑体" w:hAnsi="黑体" w:eastAsia="黑体"/>
          <w:kern w:val="32"/>
          <w:sz w:val="28"/>
          <w:szCs w:val="28"/>
        </w:rPr>
        <w:t>结论</w:t>
      </w:r>
      <w:bookmarkEnd w:id="36"/>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37" w:name="颗粒物计算结果"/>
            <w:r>
              <w:rPr>
                <w:rFonts w:ascii="Times New Roman" w:hAnsi="Times New Roman" w:cs="Times New Roman"/>
                <w:szCs w:val="20"/>
              </w:rPr>
              <w:t>PM2.5年均浓度11μg/m³ PM10年均浓度22μg/m³</w:t>
            </w:r>
            <w:bookmarkEnd w:id="37"/>
          </w:p>
        </w:tc>
        <w:tc>
          <w:tcPr>
            <w:tcW w:w="850" w:type="dxa"/>
            <w:shd w:val="clear" w:color="auto" w:fill="FEF2CC" w:themeFill="accent4" w:themeFillTint="33"/>
            <w:noWrap/>
            <w:vAlign w:val="center"/>
          </w:tcPr>
          <w:p>
            <w:pPr>
              <w:jc w:val="center"/>
              <w:rPr>
                <w:b/>
                <w:bCs/>
              </w:rPr>
            </w:pPr>
            <w:bookmarkStart w:id="38" w:name="颗粒物评分项结论"/>
            <w:r>
              <w:rPr>
                <w:b/>
                <w:bCs/>
              </w:rPr>
              <w:t>满足</w:t>
            </w:r>
            <w:bookmarkEnd w:id="38"/>
          </w:p>
        </w:tc>
        <w:tc>
          <w:tcPr>
            <w:tcW w:w="794" w:type="dxa"/>
            <w:shd w:val="clear" w:color="auto" w:fill="FEF2CC" w:themeFill="accent4" w:themeFillTint="33"/>
            <w:noWrap/>
            <w:vAlign w:val="center"/>
          </w:tcPr>
          <w:p>
            <w:pPr>
              <w:jc w:val="center"/>
              <w:rPr>
                <w:b/>
                <w:bCs/>
              </w:rPr>
            </w:pPr>
            <w:bookmarkStart w:id="39" w:name="颗粒物评分项得分"/>
            <w:r>
              <w:rPr>
                <w:b/>
                <w:bCs/>
              </w:rPr>
              <w:t>6</w:t>
            </w:r>
            <w:bookmarkEnd w:id="39"/>
            <w:r>
              <w:rPr>
                <w:rFonts w:hint="eastAsia"/>
                <w:b/>
                <w:bCs/>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2"/>
        <w:sz w:val="20"/>
      </w:rPr>
      <w:t>http://www.gbsware.cn/</w:t>
    </w:r>
    <w:r>
      <w:rPr>
        <w:rStyle w:val="22"/>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VENT2023</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NzQ0ODRmYjhiYzE2OTdkMzMzMzk2ZTU2ZTU1ZDkifQ=="/>
  </w:docVars>
  <w:rsids>
    <w:rsidRoot w:val="00D0734C"/>
    <w:rsid w:val="00002BA3"/>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D750C"/>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7BFE"/>
    <w:rsid w:val="00301717"/>
    <w:rsid w:val="00323938"/>
    <w:rsid w:val="0033581E"/>
    <w:rsid w:val="0034616B"/>
    <w:rsid w:val="003472CD"/>
    <w:rsid w:val="00360573"/>
    <w:rsid w:val="00361C09"/>
    <w:rsid w:val="0037429E"/>
    <w:rsid w:val="0037469D"/>
    <w:rsid w:val="0037770A"/>
    <w:rsid w:val="0039338C"/>
    <w:rsid w:val="00394A3E"/>
    <w:rsid w:val="003958C8"/>
    <w:rsid w:val="003B4EE2"/>
    <w:rsid w:val="003C3663"/>
    <w:rsid w:val="003E26DA"/>
    <w:rsid w:val="003E7013"/>
    <w:rsid w:val="003E7461"/>
    <w:rsid w:val="004269B5"/>
    <w:rsid w:val="00427A24"/>
    <w:rsid w:val="00441C7D"/>
    <w:rsid w:val="00446BA6"/>
    <w:rsid w:val="004574D6"/>
    <w:rsid w:val="00465382"/>
    <w:rsid w:val="00474233"/>
    <w:rsid w:val="0047522F"/>
    <w:rsid w:val="004776B1"/>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91508"/>
    <w:rsid w:val="00697653"/>
    <w:rsid w:val="006A0292"/>
    <w:rsid w:val="006A13A0"/>
    <w:rsid w:val="006A4B71"/>
    <w:rsid w:val="006A7B6C"/>
    <w:rsid w:val="006B3EFB"/>
    <w:rsid w:val="006C02BE"/>
    <w:rsid w:val="006C297B"/>
    <w:rsid w:val="006E7BB0"/>
    <w:rsid w:val="007012A6"/>
    <w:rsid w:val="0071009E"/>
    <w:rsid w:val="00712766"/>
    <w:rsid w:val="00712C4D"/>
    <w:rsid w:val="00712E9F"/>
    <w:rsid w:val="00723096"/>
    <w:rsid w:val="00725C0E"/>
    <w:rsid w:val="0073428B"/>
    <w:rsid w:val="00741834"/>
    <w:rsid w:val="00742D87"/>
    <w:rsid w:val="00752BE7"/>
    <w:rsid w:val="00753A72"/>
    <w:rsid w:val="00767880"/>
    <w:rsid w:val="007715A2"/>
    <w:rsid w:val="00771D10"/>
    <w:rsid w:val="00784C13"/>
    <w:rsid w:val="00785457"/>
    <w:rsid w:val="007855C9"/>
    <w:rsid w:val="00793B6F"/>
    <w:rsid w:val="00796157"/>
    <w:rsid w:val="007A1985"/>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6B02"/>
    <w:rsid w:val="00D0734C"/>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6686"/>
    <w:rsid w:val="00F467A3"/>
    <w:rsid w:val="00F538CE"/>
    <w:rsid w:val="00F56B42"/>
    <w:rsid w:val="00F63AC3"/>
    <w:rsid w:val="00F67E9C"/>
    <w:rsid w:val="00F77776"/>
    <w:rsid w:val="00F77D6B"/>
    <w:rsid w:val="00F87D86"/>
    <w:rsid w:val="00FA014C"/>
    <w:rsid w:val="00FA1701"/>
    <w:rsid w:val="00FB25BC"/>
    <w:rsid w:val="00FB47A9"/>
    <w:rsid w:val="00FB58E6"/>
    <w:rsid w:val="00FB6679"/>
    <w:rsid w:val="00FB7C70"/>
    <w:rsid w:val="3667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autoRedefine/>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autoRedefine/>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autoRedefine/>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autoRedefine/>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autoRedefine/>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autoRedefine/>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0"/>
    <w:autoRedefine/>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toc 2"/>
    <w:basedOn w:val="1"/>
    <w:next w:val="1"/>
    <w:autoRedefine/>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autoRedefine/>
    <w:semiHidden/>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styleId="23">
    <w:name w:val="annotation reference"/>
    <w:basedOn w:val="21"/>
    <w:autoRedefine/>
    <w:semiHidden/>
    <w:unhideWhenUsed/>
    <w:qFormat/>
    <w:uiPriority w:val="99"/>
    <w:rPr>
      <w:sz w:val="16"/>
      <w:szCs w:val="16"/>
    </w:rPr>
  </w:style>
  <w:style w:type="character" w:customStyle="1" w:styleId="24">
    <w:name w:val="页眉 字符"/>
    <w:basedOn w:val="21"/>
    <w:link w:val="15"/>
    <w:autoRedefine/>
    <w:qFormat/>
    <w:uiPriority w:val="0"/>
    <w:rPr>
      <w:sz w:val="18"/>
      <w:szCs w:val="18"/>
    </w:rPr>
  </w:style>
  <w:style w:type="character" w:customStyle="1" w:styleId="25">
    <w:name w:val="页脚 字符"/>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字符"/>
    <w:basedOn w:val="21"/>
    <w:link w:val="4"/>
    <w:autoRedefine/>
    <w:qFormat/>
    <w:uiPriority w:val="0"/>
    <w:rPr>
      <w:rFonts w:ascii="Times New Roman" w:hAnsi="Times New Roman" w:eastAsia="黑体" w:cs="Times New Roman"/>
      <w:b/>
      <w:bCs/>
      <w:sz w:val="28"/>
      <w:szCs w:val="24"/>
      <w:lang w:val="zh-CN" w:eastAsia="zh-CN"/>
    </w:rPr>
  </w:style>
  <w:style w:type="character" w:customStyle="1" w:styleId="28">
    <w:name w:val="标题 4 字符"/>
    <w:basedOn w:val="21"/>
    <w:link w:val="5"/>
    <w:autoRedefine/>
    <w:qFormat/>
    <w:uiPriority w:val="0"/>
    <w:rPr>
      <w:rFonts w:ascii="Arial" w:hAnsi="Arial" w:eastAsia="黑体" w:cs="Times New Roman"/>
      <w:b/>
      <w:bCs/>
      <w:sz w:val="24"/>
      <w:szCs w:val="28"/>
    </w:rPr>
  </w:style>
  <w:style w:type="character" w:customStyle="1" w:styleId="29">
    <w:name w:val="标题 2 字符1"/>
    <w:link w:val="3"/>
    <w:uiPriority w:val="0"/>
    <w:rPr>
      <w:rFonts w:ascii="Arial" w:hAnsi="Arial" w:eastAsia="黑体" w:cs="Times New Roman"/>
      <w:b/>
      <w:bCs/>
      <w:sz w:val="30"/>
      <w:szCs w:val="32"/>
      <w:lang w:val="zh-CN" w:eastAsia="zh-CN"/>
    </w:rPr>
  </w:style>
  <w:style w:type="character" w:customStyle="1" w:styleId="30">
    <w:name w:val="标题 1 字符"/>
    <w:basedOn w:val="21"/>
    <w:link w:val="2"/>
    <w:uiPriority w:val="9"/>
    <w:rPr>
      <w:b/>
      <w:bCs/>
      <w:kern w:val="44"/>
      <w:sz w:val="44"/>
      <w:szCs w:val="44"/>
    </w:rPr>
  </w:style>
  <w:style w:type="character" w:customStyle="1" w:styleId="31">
    <w:name w:val="标题 5 字符"/>
    <w:basedOn w:val="21"/>
    <w:link w:val="6"/>
    <w:uiPriority w:val="0"/>
    <w:rPr>
      <w:rFonts w:ascii="Arial" w:hAnsi="Arial" w:eastAsia="黑体" w:cs="Times New Roman"/>
      <w:b/>
      <w:sz w:val="28"/>
      <w:szCs w:val="28"/>
      <w:lang w:val="zh-CN" w:eastAsia="zh-CN"/>
    </w:rPr>
  </w:style>
  <w:style w:type="character" w:customStyle="1" w:styleId="32">
    <w:name w:val="标题 6 字符"/>
    <w:basedOn w:val="21"/>
    <w:link w:val="7"/>
    <w:autoRedefine/>
    <w:qFormat/>
    <w:uiPriority w:val="0"/>
    <w:rPr>
      <w:rFonts w:ascii="Arial" w:hAnsi="Arial" w:eastAsia="黑体" w:cs="Times New Roman"/>
      <w:b/>
      <w:bCs/>
      <w:sz w:val="24"/>
      <w:szCs w:val="24"/>
    </w:rPr>
  </w:style>
  <w:style w:type="character" w:customStyle="1" w:styleId="33">
    <w:name w:val="标题 7 字符"/>
    <w:basedOn w:val="21"/>
    <w:link w:val="8"/>
    <w:autoRedefine/>
    <w:qFormat/>
    <w:uiPriority w:val="0"/>
    <w:rPr>
      <w:rFonts w:ascii="Times New Roman" w:hAnsi="Times New Roman" w:eastAsia="宋体" w:cs="Times New Roman"/>
      <w:b/>
      <w:bCs/>
      <w:sz w:val="24"/>
      <w:szCs w:val="24"/>
    </w:rPr>
  </w:style>
  <w:style w:type="character" w:customStyle="1" w:styleId="34">
    <w:name w:val="标题 8 字符"/>
    <w:basedOn w:val="21"/>
    <w:link w:val="9"/>
    <w:autoRedefine/>
    <w:qFormat/>
    <w:uiPriority w:val="0"/>
    <w:rPr>
      <w:rFonts w:ascii="Arial" w:hAnsi="Arial" w:eastAsia="黑体" w:cs="Times New Roman"/>
      <w:sz w:val="24"/>
      <w:szCs w:val="24"/>
    </w:rPr>
  </w:style>
  <w:style w:type="character" w:customStyle="1" w:styleId="35">
    <w:name w:val="标题 9 字符"/>
    <w:basedOn w:val="21"/>
    <w:link w:val="10"/>
    <w:uiPriority w:val="0"/>
    <w:rPr>
      <w:rFonts w:ascii="Arial" w:hAnsi="Arial" w:eastAsia="黑体" w:cs="Times New Roman"/>
      <w:szCs w:val="21"/>
    </w:rPr>
  </w:style>
  <w:style w:type="paragraph" w:customStyle="1" w:styleId="36">
    <w:name w:val="TOC Heading"/>
    <w:basedOn w:val="2"/>
    <w:next w:val="1"/>
    <w:autoRedefine/>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字符"/>
    <w:basedOn w:val="21"/>
    <w:link w:val="13"/>
    <w:autoRedefine/>
    <w:semiHidden/>
    <w:qFormat/>
    <w:uiPriority w:val="99"/>
    <w:rPr>
      <w:sz w:val="18"/>
      <w:szCs w:val="18"/>
    </w:rPr>
  </w:style>
  <w:style w:type="paragraph" w:styleId="39">
    <w:name w:val="List Paragraph"/>
    <w:basedOn w:val="1"/>
    <w:autoRedefine/>
    <w:qFormat/>
    <w:uiPriority w:val="34"/>
    <w:pPr>
      <w:ind w:firstLine="420" w:firstLineChars="200"/>
    </w:pPr>
  </w:style>
  <w:style w:type="character" w:customStyle="1" w:styleId="40">
    <w:name w:val="批注文字 字符"/>
    <w:basedOn w:val="21"/>
    <w:link w:val="11"/>
    <w:autoRedefine/>
    <w:semiHidden/>
    <w:qFormat/>
    <w:uiPriority w:val="99"/>
    <w:rPr>
      <w:sz w:val="20"/>
      <w:szCs w:val="20"/>
    </w:rPr>
  </w:style>
  <w:style w:type="character" w:customStyle="1" w:styleId="41">
    <w:name w:val="批注主题 字符"/>
    <w:basedOn w:val="40"/>
    <w:link w:val="18"/>
    <w:autoRedefine/>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Company>Microsoft</Company>
  <Pages>8</Pages>
  <Words>555</Words>
  <Characters>3167</Characters>
  <Lines>26</Lines>
  <Paragraphs>7</Paragraphs>
  <TotalTime>0</TotalTime>
  <ScaleCrop>false</ScaleCrop>
  <LinksUpToDate>false</LinksUpToDate>
  <CharactersWithSpaces>3715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2024-01-04T09:51:00Z</dcterms:created>
  <dc:creator>Hyper PC</dc:creator>
  <cp:lastModifiedBy>星河</cp:lastModifiedBy>
  <dcterms:modified xsi:type="dcterms:W3CDTF">2024-01-07T13:54:27Z</dcterms:modified>
  <dc:title>绿色建筑颗粒物预评价报告书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626096CBA00B4F108A8528A228DD6320_12</vt:lpwstr>
  </property>
</Properties>
</file>