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312" w:beforeLines="100" w:line="180" w:lineRule="atLeast"/>
        <w:jc w:val="center"/>
        <w:rPr>
          <w:rFonts w:ascii="黑体" w:hAnsi="宋体" w:eastAsia="黑体" w:cs="黑体"/>
          <w:b/>
          <w:bCs/>
          <w:kern w:val="2"/>
          <w:sz w:val="24"/>
          <w:szCs w:val="72"/>
          <w:lang w:val="en-US"/>
        </w:rPr>
      </w:pPr>
      <w:bookmarkStart w:id="0" w:name="标准辐照"/>
      <w:bookmarkEnd w:id="0"/>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可再生能源利用分析报告</w:t>
      </w: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光伏发电</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3"/>
        <w:gridCol w:w="4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013" w:type="dxa"/>
            <w:tcBorders>
              <w:top w:val="single" w:color="auto" w:sz="12"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项目名称</w:t>
            </w:r>
          </w:p>
        </w:tc>
        <w:tc>
          <w:tcPr>
            <w:tcW w:w="4229" w:type="dxa"/>
            <w:vAlign w:val="center"/>
          </w:tcPr>
          <w:p>
            <w:pPr>
              <w:jc w:val="center"/>
              <w:rPr>
                <w:rFonts w:ascii="宋体" w:hAnsi="宋体"/>
                <w:szCs w:val="21"/>
              </w:rPr>
            </w:pPr>
            <w:bookmarkStart w:id="1" w:name="项目名称"/>
            <w:r>
              <w:t>移动办公楼改造项目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设计编号</w:t>
            </w:r>
          </w:p>
        </w:tc>
        <w:tc>
          <w:tcPr>
            <w:tcW w:w="4229" w:type="dxa"/>
            <w:vAlign w:val="center"/>
          </w:tcPr>
          <w:p>
            <w:pPr>
              <w:jc w:val="center"/>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建设单位</w:t>
            </w:r>
          </w:p>
        </w:tc>
        <w:tc>
          <w:tcPr>
            <w:tcW w:w="4229" w:type="dxa"/>
            <w:vAlign w:val="center"/>
          </w:tcPr>
          <w:p>
            <w:pPr>
              <w:jc w:val="cente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设计单位</w:t>
            </w:r>
          </w:p>
        </w:tc>
        <w:tc>
          <w:tcPr>
            <w:tcW w:w="4229" w:type="dxa"/>
            <w:vAlign w:val="center"/>
          </w:tcPr>
          <w:p>
            <w:pPr>
              <w:jc w:val="cente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 计 人</w:t>
            </w:r>
          </w:p>
        </w:tc>
        <w:tc>
          <w:tcPr>
            <w:tcW w:w="422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核 人</w:t>
            </w:r>
          </w:p>
        </w:tc>
        <w:tc>
          <w:tcPr>
            <w:tcW w:w="4229" w:type="dxa"/>
            <w:vAlign w:val="center"/>
          </w:tcPr>
          <w:p>
            <w:pPr>
              <w:jc w:val="center"/>
              <w:rPr>
                <w:rFonts w:ascii="宋体" w:hAnsi="宋体"/>
                <w:szCs w:val="21"/>
              </w:rPr>
            </w:pPr>
            <w:bookmarkStart w:id="5" w:name="审核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定 人</w:t>
            </w:r>
          </w:p>
        </w:tc>
        <w:tc>
          <w:tcPr>
            <w:tcW w:w="4229" w:type="dxa"/>
            <w:vAlign w:val="center"/>
          </w:tcPr>
          <w:p>
            <w:pPr>
              <w:jc w:val="center"/>
              <w:rPr>
                <w:rFonts w:ascii="宋体" w:hAnsi="宋体"/>
                <w:szCs w:val="21"/>
              </w:rPr>
            </w:pPr>
            <w:bookmarkStart w:id="6" w:name="审定人"/>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12" w:space="0"/>
            </w:tcBorders>
            <w:shd w:val="clear" w:color="auto" w:fill="E6E6E6"/>
            <w:vAlign w:val="center"/>
          </w:tcPr>
          <w:p>
            <w:pPr>
              <w:jc w:val="both"/>
              <w:rPr>
                <w:rFonts w:ascii="宋体" w:hAnsi="宋体"/>
                <w:szCs w:val="21"/>
              </w:rPr>
            </w:pPr>
            <w:r>
              <w:rPr>
                <w:rFonts w:hint="eastAsia" w:ascii="宋体" w:hAnsi="宋体"/>
                <w:szCs w:val="21"/>
              </w:rPr>
              <w:t>计算日期</w:t>
            </w:r>
          </w:p>
        </w:tc>
        <w:tc>
          <w:tcPr>
            <w:tcW w:w="4229" w:type="dxa"/>
            <w:vAlign w:val="center"/>
          </w:tcPr>
          <w:p>
            <w:pPr>
              <w:jc w:val="center"/>
              <w:rPr>
                <w:rFonts w:ascii="宋体" w:hAnsi="宋体"/>
                <w:szCs w:val="21"/>
              </w:rPr>
            </w:pPr>
            <w:bookmarkStart w:id="7" w:name="报告日期"/>
            <w:r>
              <w:t>2024年01月09日</w:t>
            </w:r>
            <w:bookmarkEnd w:id="7"/>
          </w:p>
        </w:tc>
      </w:tr>
    </w:tbl>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30"/>
          <w:szCs w:val="32"/>
        </w:rPr>
      </w:pPr>
      <w:bookmarkStart w:id="8" w:name="二维码"/>
      <w:bookmarkEnd w:id="8"/>
      <w:r>
        <w:drawing>
          <wp:inline distT="0" distB="0" distL="0" distR="0">
            <wp:extent cx="1514475" cy="15144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
          <w:bCs/>
          <w:sz w:val="30"/>
          <w:szCs w:val="32"/>
        </w:rPr>
      </w:pPr>
    </w:p>
    <w:p>
      <w:pPr>
        <w:jc w:val="center"/>
        <w:rPr>
          <w:rFonts w:ascii="宋体" w:hAnsi="宋体"/>
          <w:b/>
          <w:bCs/>
          <w:sz w:val="28"/>
          <w:szCs w:val="28"/>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3"/>
        <w:gridCol w:w="4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12" w:space="0"/>
              <w:bottom w:val="single" w:color="auto" w:sz="6" w:space="0"/>
            </w:tcBorders>
            <w:shd w:val="clear" w:color="auto" w:fill="E6E6E6"/>
            <w:vAlign w:val="center"/>
          </w:tcPr>
          <w:p>
            <w:pPr>
              <w:jc w:val="both"/>
              <w:rPr>
                <w:rFonts w:ascii="宋体" w:hAnsi="宋体"/>
              </w:rPr>
            </w:pPr>
            <w:r>
              <w:rPr>
                <w:rFonts w:hint="eastAsia" w:ascii="宋体" w:hAnsi="宋体"/>
                <w:szCs w:val="18"/>
              </w:rPr>
              <w:t>采用软件</w:t>
            </w:r>
          </w:p>
        </w:tc>
        <w:tc>
          <w:tcPr>
            <w:tcW w:w="4293" w:type="dxa"/>
            <w:vAlign w:val="center"/>
          </w:tcPr>
          <w:p>
            <w:pPr>
              <w:jc w:val="center"/>
              <w:rPr>
                <w:szCs w:val="21"/>
              </w:rPr>
            </w:pPr>
            <w:r>
              <w:rPr>
                <w:rFonts w:hint="eastAsia"/>
                <w:szCs w:val="21"/>
              </w:rPr>
              <w:t>绿建斯维尔建筑光伏B</w:t>
            </w:r>
            <w:r>
              <w:rPr>
                <w:szCs w:val="21"/>
              </w:rPr>
              <w:t>PV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4293" w:type="dxa"/>
            <w:vAlign w:val="center"/>
          </w:tcPr>
          <w:p>
            <w:pPr>
              <w:jc w:val="center"/>
              <w:rPr>
                <w:szCs w:val="21"/>
              </w:rPr>
            </w:pPr>
            <w:bookmarkStart w:id="9" w:name="版本日期"/>
            <w:r>
              <w:rPr>
                <w:szCs w:val="21"/>
              </w:rPr>
              <w:t>20230518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4293" w:type="dxa"/>
            <w:vAlign w:val="center"/>
          </w:tcPr>
          <w:p>
            <w:pPr>
              <w:jc w:val="center"/>
              <w:rPr>
                <w:szCs w:val="21"/>
              </w:rPr>
            </w:pPr>
            <w:r>
              <w:rPr>
                <w:rFonts w:hint="eastAsia"/>
                <w:szCs w:val="21"/>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rPr>
              <w:t>正版授权码</w:t>
            </w:r>
          </w:p>
        </w:tc>
        <w:tc>
          <w:tcPr>
            <w:tcW w:w="4293" w:type="dxa"/>
            <w:vAlign w:val="center"/>
          </w:tcPr>
          <w:p>
            <w:pPr>
              <w:jc w:val="center"/>
            </w:pPr>
            <w:bookmarkStart w:id="10" w:name="正版授权码"/>
            <w:r>
              <w:t>T18605317943</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12" w:space="0"/>
            </w:tcBorders>
            <w:shd w:val="clear" w:color="auto" w:fill="E6E6E6"/>
            <w:vAlign w:val="center"/>
          </w:tcPr>
          <w:p>
            <w:pPr>
              <w:jc w:val="both"/>
              <w:rPr>
                <w:rFonts w:ascii="宋体" w:hAnsi="宋体"/>
                <w:szCs w:val="18"/>
              </w:rPr>
            </w:pPr>
            <w:r>
              <w:rPr>
                <w:rFonts w:hint="eastAsia" w:ascii="宋体" w:hAnsi="宋体"/>
                <w:szCs w:val="18"/>
              </w:rPr>
              <w:t>服务热线</w:t>
            </w:r>
          </w:p>
        </w:tc>
        <w:tc>
          <w:tcPr>
            <w:tcW w:w="4293" w:type="dxa"/>
            <w:vAlign w:val="center"/>
          </w:tcPr>
          <w:p>
            <w:pPr>
              <w:jc w:val="center"/>
              <w:rPr>
                <w:szCs w:val="21"/>
              </w:rPr>
            </w:pPr>
            <w:r>
              <w:rPr>
                <w:rFonts w:hint="eastAsia"/>
                <w:color w:val="000000"/>
                <w:szCs w:val="21"/>
                <w:shd w:val="clear" w:color="auto" w:fill="FFFFFF"/>
              </w:rPr>
              <w:t>400-094-1228</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_Toc26874 </w:instrText>
      </w:r>
      <w:r>
        <w:rPr>
          <w:szCs w:val="28"/>
        </w:rPr>
        <w:fldChar w:fldCharType="separate"/>
      </w:r>
      <w:r>
        <w:rPr>
          <w:rFonts w:hint="eastAsia"/>
        </w:rPr>
        <w:t>1. 项目概况</w:t>
      </w:r>
      <w:r>
        <w:tab/>
      </w:r>
      <w:r>
        <w:fldChar w:fldCharType="begin"/>
      </w:r>
      <w:r>
        <w:instrText xml:space="preserve"> PAGEREF _Toc26874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_Toc32093 </w:instrText>
      </w:r>
      <w:r>
        <w:rPr>
          <w:szCs w:val="28"/>
        </w:rPr>
        <w:fldChar w:fldCharType="separate"/>
      </w:r>
      <w:r>
        <w:rPr>
          <w:rFonts w:hint="eastAsia"/>
        </w:rPr>
        <w:t>2. 标准依据</w:t>
      </w:r>
      <w:r>
        <w:tab/>
      </w:r>
      <w:r>
        <w:fldChar w:fldCharType="begin"/>
      </w:r>
      <w:r>
        <w:instrText xml:space="preserve"> PAGEREF _Toc32093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_Toc29740 </w:instrText>
      </w:r>
      <w:r>
        <w:rPr>
          <w:szCs w:val="28"/>
        </w:rPr>
        <w:fldChar w:fldCharType="separate"/>
      </w:r>
      <w:r>
        <w:rPr>
          <w:rFonts w:hint="eastAsia"/>
        </w:rPr>
        <w:t>3. 太阳能资源分析</w:t>
      </w:r>
      <w:r>
        <w:tab/>
      </w:r>
      <w:r>
        <w:fldChar w:fldCharType="begin"/>
      </w:r>
      <w:r>
        <w:instrText xml:space="preserve"> PAGEREF _Toc29740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_Toc1415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_Toc1415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_Toc31508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_Toc31508 \h </w:instrText>
      </w:r>
      <w:r>
        <w:fldChar w:fldCharType="separate"/>
      </w:r>
      <w:r>
        <w:t>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_Toc15554 </w:instrText>
      </w:r>
      <w:r>
        <w:rPr>
          <w:szCs w:val="28"/>
        </w:rPr>
        <w:fldChar w:fldCharType="separate"/>
      </w:r>
      <w:r>
        <w:rPr>
          <w:rFonts w:hint="eastAsia"/>
        </w:rPr>
        <w:t>4. 软件选用</w:t>
      </w:r>
      <w:r>
        <w:tab/>
      </w:r>
      <w:r>
        <w:fldChar w:fldCharType="begin"/>
      </w:r>
      <w:r>
        <w:instrText xml:space="preserve"> PAGEREF _Toc15554 \h </w:instrText>
      </w:r>
      <w:r>
        <w:fldChar w:fldCharType="separate"/>
      </w:r>
      <w:r>
        <w:t>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_Toc29480 </w:instrText>
      </w:r>
      <w:r>
        <w:rPr>
          <w:szCs w:val="28"/>
        </w:rPr>
        <w:fldChar w:fldCharType="separate"/>
      </w:r>
      <w:r>
        <w:rPr>
          <w:rFonts w:hint="eastAsia"/>
        </w:rPr>
        <w:t>5. 光伏系统设计</w:t>
      </w:r>
      <w:r>
        <w:tab/>
      </w:r>
      <w:r>
        <w:fldChar w:fldCharType="begin"/>
      </w:r>
      <w:r>
        <w:instrText xml:space="preserve"> PAGEREF _Toc29480 \h </w:instrText>
      </w:r>
      <w:r>
        <w:fldChar w:fldCharType="separate"/>
      </w:r>
      <w:r>
        <w:t>3</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_Toc30297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_Toc30297 \h </w:instrText>
      </w:r>
      <w:r>
        <w:fldChar w:fldCharType="separate"/>
      </w:r>
      <w:r>
        <w:t>4</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_Toc28551 </w:instrText>
      </w:r>
      <w:r>
        <w:rPr>
          <w:szCs w:val="28"/>
        </w:rPr>
        <w:fldChar w:fldCharType="separate"/>
      </w:r>
      <w:r>
        <w:rPr>
          <w:rFonts w:hint="eastAsia"/>
          <w:lang w:val="en-GB"/>
        </w:rPr>
        <w:t xml:space="preserve">5.2 </w:t>
      </w:r>
      <w:r>
        <w:t>辐照分析</w:t>
      </w:r>
      <w:r>
        <w:tab/>
      </w:r>
      <w:r>
        <w:fldChar w:fldCharType="begin"/>
      </w:r>
      <w:r>
        <w:instrText xml:space="preserve"> PAGEREF _Toc28551 \h </w:instrText>
      </w:r>
      <w:r>
        <w:fldChar w:fldCharType="separate"/>
      </w:r>
      <w:r>
        <w:t>5</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_Toc23016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_Toc23016 \h </w:instrText>
      </w:r>
      <w:r>
        <w:fldChar w:fldCharType="separate"/>
      </w:r>
      <w:r>
        <w:t>6</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_Toc15989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_Toc15989 \h </w:instrText>
      </w:r>
      <w:r>
        <w:fldChar w:fldCharType="separate"/>
      </w:r>
      <w:r>
        <w:t>6</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_Toc30061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_Toc30061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_Toc29592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_Toc29592 \h </w:instrText>
      </w:r>
      <w:r>
        <w:fldChar w:fldCharType="separate"/>
      </w:r>
      <w:r>
        <w:t>7</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_Toc23827 </w:instrText>
      </w:r>
      <w:r>
        <w:rPr>
          <w:szCs w:val="28"/>
        </w:rPr>
        <w:fldChar w:fldCharType="separate"/>
      </w:r>
      <w:r>
        <w:rPr>
          <w:rFonts w:hint="eastAsia"/>
        </w:rPr>
        <w:t>6. 光伏发电产量</w:t>
      </w:r>
      <w:r>
        <w:tab/>
      </w:r>
      <w:r>
        <w:fldChar w:fldCharType="begin"/>
      </w:r>
      <w:r>
        <w:instrText xml:space="preserve"> PAGEREF _Toc23827 \h </w:instrText>
      </w:r>
      <w:r>
        <w:fldChar w:fldCharType="separate"/>
      </w:r>
      <w:r>
        <w:t>8</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_Toc19743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_Toc19743 \h </w:instrText>
      </w:r>
      <w:r>
        <w:fldChar w:fldCharType="separate"/>
      </w:r>
      <w:r>
        <w:t>8</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_Toc11825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_Toc11825 \h </w:instrText>
      </w:r>
      <w:r>
        <w:fldChar w:fldCharType="separate"/>
      </w:r>
      <w:r>
        <w:t>8</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_Toc4936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_Toc4936 \h </w:instrText>
      </w:r>
      <w:r>
        <w:fldChar w:fldCharType="separate"/>
      </w:r>
      <w:r>
        <w:t>9</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_Toc14156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_Toc14156 \h </w:instrText>
      </w:r>
      <w:r>
        <w:fldChar w:fldCharType="separate"/>
      </w:r>
      <w:r>
        <w:t>9</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_Toc19671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_Toc19671 \h </w:instrText>
      </w:r>
      <w:r>
        <w:fldChar w:fldCharType="separate"/>
      </w:r>
      <w:r>
        <w:t>10</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_Toc21792 </w:instrText>
      </w:r>
      <w:r>
        <w:rPr>
          <w:szCs w:val="28"/>
        </w:rPr>
        <w:fldChar w:fldCharType="separate"/>
      </w:r>
      <w:r>
        <w:rPr>
          <w:rFonts w:hint="eastAsia"/>
        </w:rPr>
        <w:t>7. 经济效益分析</w:t>
      </w:r>
      <w:r>
        <w:tab/>
      </w:r>
      <w:r>
        <w:fldChar w:fldCharType="begin"/>
      </w:r>
      <w:r>
        <w:instrText xml:space="preserve"> PAGEREF _Toc21792 \h </w:instrText>
      </w:r>
      <w:r>
        <w:fldChar w:fldCharType="separate"/>
      </w:r>
      <w:r>
        <w:t>11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_Toc14459 </w:instrText>
      </w:r>
      <w:r>
        <w:rPr>
          <w:szCs w:val="28"/>
        </w:rPr>
        <w:fldChar w:fldCharType="separate"/>
      </w:r>
      <w:r>
        <w:rPr>
          <w:rFonts w:hint="eastAsia"/>
        </w:rPr>
        <w:t>8. 减排效益分析</w:t>
      </w:r>
      <w:r>
        <w:tab/>
      </w:r>
      <w:r>
        <w:fldChar w:fldCharType="begin"/>
      </w:r>
      <w:r>
        <w:instrText xml:space="preserve"> PAGEREF _Toc14459 \h </w:instrText>
      </w:r>
      <w:r>
        <w:fldChar w:fldCharType="separate"/>
      </w:r>
      <w:r>
        <w:t>12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_Toc21754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_Toc21754 \h </w:instrText>
      </w:r>
      <w:r>
        <w:fldChar w:fldCharType="separate"/>
      </w:r>
      <w:r>
        <w:t>13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_Toc14907 </w:instrText>
      </w:r>
      <w:r>
        <w:rPr>
          <w:szCs w:val="28"/>
        </w:rPr>
        <w:fldChar w:fldCharType="separate"/>
      </w:r>
      <w:r>
        <w:rPr>
          <w:rFonts w:hint="eastAsia"/>
        </w:rPr>
        <w:t>附录</w:t>
      </w:r>
      <w:r>
        <w:tab/>
      </w:r>
      <w:r>
        <w:fldChar w:fldCharType="begin"/>
      </w:r>
      <w:r>
        <w:instrText xml:space="preserve"> PAGEREF _Toc14907 \h </w:instrText>
      </w:r>
      <w:r>
        <w:fldChar w:fldCharType="separate"/>
      </w:r>
      <w:r>
        <w:t>14</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bookmarkStart w:id="97" w:name="_GoBack"/>
      <w:bookmarkEnd w:id="97"/>
    </w:p>
    <w:p>
      <w:pPr>
        <w:pStyle w:val="2"/>
      </w:pPr>
      <w:r>
        <w:tab/>
      </w:r>
      <w:bookmarkStart w:id="12" w:name="_Toc127542292"/>
      <w:bookmarkStart w:id="13" w:name="_Toc26874"/>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shd w:val="clear" w:color="auto" w:fill="ECECEC" w:themeFill="accent3" w:themeFillTint="33"/>
          </w:tcPr>
          <w:p>
            <w:pPr>
              <w:pStyle w:val="3"/>
              <w:rPr>
                <w:b/>
                <w:bCs/>
                <w:sz w:val="21"/>
                <w:szCs w:val="18"/>
                <w:lang w:val="en-US"/>
              </w:rPr>
            </w:pPr>
            <w:bookmarkStart w:id="14" w:name="项目名称1"/>
            <w:r>
              <w:rPr>
                <w:rFonts w:hint="eastAsia"/>
                <w:b/>
                <w:bCs/>
                <w:sz w:val="21"/>
                <w:szCs w:val="18"/>
                <w:lang w:val="zh-CN"/>
              </w:rPr>
              <w:t>移动办公楼改造项目</w:t>
            </w:r>
            <w:bookmarkEnd w:id="14"/>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5" w:name="工程地点"/>
            <w:r>
              <w:rPr>
                <w:rFonts w:hint="eastAsia"/>
                <w:sz w:val="21"/>
                <w:szCs w:val="18"/>
                <w:lang w:val="zh-CN"/>
              </w:rPr>
              <w:t>济南</w:t>
            </w:r>
            <w:bookmarkEnd w:id="15"/>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6" w:name="经度"/>
            <w:r>
              <w:t>117°0′</w:t>
            </w:r>
            <w:bookmarkEnd w:id="16"/>
            <w:r>
              <w:rPr>
                <w:sz w:val="21"/>
                <w:szCs w:val="18"/>
                <w:lang w:val="en-US"/>
              </w:rPr>
              <w:t xml:space="preserve">              北纬：</w:t>
            </w:r>
            <w:bookmarkStart w:id="17" w:name="纬度"/>
            <w:r>
              <w:t>36°42′</w:t>
            </w:r>
            <w:bookmarkEnd w:id="17"/>
          </w:p>
        </w:tc>
      </w:tr>
    </w:tbl>
    <w:p>
      <w:pPr>
        <w:pStyle w:val="2"/>
      </w:pPr>
      <w:bookmarkStart w:id="18" w:name="_Toc512608177"/>
      <w:bookmarkStart w:id="19" w:name="_Toc32093"/>
      <w:r>
        <w:rPr>
          <w:rFonts w:hint="eastAsia"/>
        </w:rPr>
        <w:t>标准依据</w:t>
      </w:r>
      <w:bookmarkEnd w:id="18"/>
      <w:bookmarkEnd w:id="19"/>
    </w:p>
    <w:p>
      <w:pPr>
        <w:pStyle w:val="3"/>
        <w:numPr>
          <w:ilvl w:val="0"/>
          <w:numId w:val="4"/>
        </w:numPr>
        <w:rPr>
          <w:lang w:val="en-US"/>
        </w:rPr>
      </w:pPr>
      <w:bookmarkStart w:id="20"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pPr>
        <w:pStyle w:val="2"/>
      </w:pPr>
      <w:bookmarkStart w:id="21" w:name="_Toc29740"/>
      <w:r>
        <w:rPr>
          <w:rFonts w:hint="eastAsia"/>
        </w:rPr>
        <w:t>太阳能资源分析</w:t>
      </w:r>
      <w:bookmarkEnd w:id="21"/>
    </w:p>
    <w:p>
      <w:pPr>
        <w:pStyle w:val="4"/>
        <w:rPr>
          <w:lang w:val="zh-CN"/>
        </w:rPr>
      </w:pPr>
      <w:bookmarkStart w:id="22" w:name="_Toc1415"/>
      <w:r>
        <w:rPr>
          <w:rFonts w:hint="eastAsia"/>
        </w:rPr>
        <w:t>太阳能资源概况</w:t>
      </w:r>
      <w:bookmarkEnd w:id="22"/>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rPr>
          <w:lang w:val="en-US"/>
        </w:rPr>
        <w:drawing>
          <wp:inline distT="0" distB="0" distL="0" distR="0">
            <wp:extent cx="4143375" cy="2975610"/>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660-410.jpg"/>
                    <pic:cNvPicPr>
                      <a:picLocks noChangeAspect="1" noChangeArrowheads="1"/>
                    </pic:cNvPicPr>
                  </pic:nvPicPr>
                  <pic:blipFill>
                    <a:blip r:embed="rId12">
                      <a:extLst>
                        <a:ext uri="{28A0092B-C50C-407E-A947-70E740481C1C}">
                          <a14:useLocalDpi xmlns:a14="http://schemas.microsoft.com/office/drawing/2010/main" val="0"/>
                        </a:ext>
                      </a:extLst>
                    </a:blip>
                    <a:srcRect l="6905" r="6334"/>
                    <a:stretch>
                      <a:fillRect/>
                    </a:stretch>
                  </pic:blipFill>
                  <pic:spPr>
                    <a:xfrm>
                      <a:off x="0" y="0"/>
                      <a:ext cx="4203885" cy="301914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3" w:name="工程地点3"/>
            <w:r>
              <w:rPr>
                <w:rFonts w:hint="eastAsia"/>
                <w:b/>
                <w:bCs/>
                <w:sz w:val="21"/>
                <w:lang w:val="en-US"/>
              </w:rPr>
              <w:t>济南</w:t>
            </w:r>
            <w:bookmarkEnd w:id="23"/>
          </w:p>
        </w:tc>
        <w:tc>
          <w:tcPr>
            <w:tcW w:w="1843" w:type="dxa"/>
            <w:shd w:val="clear" w:color="auto" w:fill="ECECEC" w:themeFill="accent3" w:themeFillTint="33"/>
            <w:vAlign w:val="center"/>
          </w:tcPr>
          <w:p>
            <w:pPr>
              <w:pStyle w:val="3"/>
              <w:jc w:val="center"/>
              <w:rPr>
                <w:sz w:val="21"/>
                <w:lang w:val="en-US"/>
              </w:rPr>
            </w:pPr>
            <w:bookmarkStart w:id="24" w:name="水平面年总辐照量"/>
            <w:r>
              <w:rPr>
                <w:rFonts w:hint="eastAsia"/>
                <w:sz w:val="21"/>
                <w:lang w:val="en-US"/>
              </w:rPr>
              <w:t>4575.1</w:t>
            </w:r>
            <w:bookmarkEnd w:id="24"/>
          </w:p>
        </w:tc>
        <w:tc>
          <w:tcPr>
            <w:tcW w:w="2409" w:type="dxa"/>
            <w:shd w:val="clear" w:color="auto" w:fill="ECECEC" w:themeFill="accent3" w:themeFillTint="33"/>
            <w:vAlign w:val="center"/>
          </w:tcPr>
          <w:p>
            <w:pPr>
              <w:pStyle w:val="3"/>
              <w:jc w:val="center"/>
              <w:rPr>
                <w:sz w:val="21"/>
                <w:lang w:val="en-US"/>
              </w:rPr>
            </w:pPr>
            <w:bookmarkStart w:id="25" w:name="水平面日辐照量"/>
            <w:r>
              <w:rPr>
                <w:rFonts w:hint="eastAsia"/>
                <w:sz w:val="21"/>
                <w:lang w:val="en-US"/>
              </w:rPr>
              <w:t>12534.5</w:t>
            </w:r>
            <w:bookmarkEnd w:id="25"/>
          </w:p>
        </w:tc>
        <w:tc>
          <w:tcPr>
            <w:tcW w:w="1843" w:type="dxa"/>
            <w:shd w:val="clear" w:color="auto" w:fill="ECECEC" w:themeFill="accent3" w:themeFillTint="33"/>
            <w:vAlign w:val="center"/>
          </w:tcPr>
          <w:p>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pPr>
              <w:pStyle w:val="3"/>
              <w:jc w:val="center"/>
              <w:rPr>
                <w:sz w:val="21"/>
                <w:lang w:val="en-US"/>
              </w:rPr>
            </w:pPr>
            <w:bookmarkStart w:id="27" w:name="峰值日照时数"/>
            <w:r>
              <w:rPr>
                <w:rFonts w:hint="eastAsia"/>
                <w:sz w:val="21"/>
                <w:lang w:val="en-US"/>
              </w:rPr>
              <w:t>3</w:t>
            </w:r>
            <w:r>
              <w:rPr>
                <w:sz w:val="21"/>
                <w:lang w:val="en-US"/>
              </w:rPr>
              <w:t>.83</w:t>
            </w:r>
            <w:bookmarkEnd w:id="27"/>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pPr>
        <w:spacing w:before="240"/>
        <w:jc w:val="center"/>
        <w:rPr>
          <w:lang w:val="en-US"/>
        </w:rPr>
      </w:pPr>
      <w:bookmarkStart w:id="29" w:name="逐月法向直射辐照量图"/>
      <w:bookmarkEnd w:id="29"/>
      <w:bookmarkStart w:id="30" w:name="水平面总辐照量图"/>
      <w:bookmarkEnd w:id="30"/>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1" w:name="逐月日照时数图"/>
      <w:bookmarkEnd w:id="31"/>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逐月日照时数</w:t>
      </w:r>
    </w:p>
    <w:p>
      <w:pPr>
        <w:spacing w:before="240"/>
        <w:jc w:val="center"/>
      </w:pPr>
      <w:bookmarkStart w:id="32" w:name="逐月平均温度图"/>
      <w:bookmarkEnd w:id="32"/>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rPr>
        <w:t>逐月平均温度</w:t>
      </w:r>
    </w:p>
    <w:p>
      <w:pPr>
        <w:pStyle w:val="4"/>
        <w:rPr>
          <w:szCs w:val="21"/>
        </w:rPr>
      </w:pPr>
      <w:bookmarkStart w:id="33" w:name="_Toc99707948"/>
      <w:bookmarkStart w:id="34" w:name="_Toc31508"/>
      <w:r>
        <w:t>太阳能综合评价</w:t>
      </w:r>
      <w:bookmarkEnd w:id="33"/>
      <w:bookmarkEnd w:id="34"/>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全国太阳辐射总量等级和区域分布表</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5 040</w:t>
            </w:r>
            <w:r>
              <w:rPr>
                <w:rFonts w:hint="eastAsia"/>
              </w:rPr>
              <w:t>≤</w:t>
            </w:r>
            <w:r>
              <w:t>GHR</w:t>
            </w:r>
            <w:r>
              <w:rPr>
                <w:rFonts w:hint="eastAsia"/>
              </w:rPr>
              <w:t>＜</w:t>
            </w:r>
            <w:r>
              <w:t>6 300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1 400</w:t>
            </w:r>
            <w:r>
              <w:rPr>
                <w:rFonts w:hint="eastAsia"/>
              </w:rPr>
              <w:t>≤</w:t>
            </w:r>
            <w:r>
              <w:t>GHR</w:t>
            </w:r>
            <w:r>
              <w:rPr>
                <w:rFonts w:hint="eastAsia"/>
              </w:rPr>
              <w:t>＜1</w:t>
            </w:r>
            <w:r>
              <w:t xml:space="preserve"> 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3 780</w:t>
            </w:r>
            <w:r>
              <w:rPr>
                <w:rFonts w:hint="eastAsia"/>
              </w:rPr>
              <w:t>≤</w:t>
            </w:r>
            <w:r>
              <w:t>GHR</w:t>
            </w:r>
            <w:r>
              <w:rPr>
                <w:rFonts w:hint="eastAsia"/>
              </w:rPr>
              <w:t>＜5</w:t>
            </w:r>
            <w:r>
              <w:t xml:space="preserve"> 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1 050</w:t>
            </w:r>
            <w:r>
              <w:rPr>
                <w:rFonts w:hint="eastAsia"/>
              </w:rPr>
              <w:t>≤</w:t>
            </w:r>
            <w:r>
              <w:t>GHR</w:t>
            </w:r>
            <w:r>
              <w:rPr>
                <w:rFonts w:hint="eastAsia"/>
              </w:rPr>
              <w:t>＜1</w:t>
            </w:r>
            <w:r>
              <w:t xml:space="preserve"> 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5" w:name="水平面年总辐照量2"/>
      <w:r>
        <w:rPr>
          <w:rFonts w:hint="eastAsia" w:ascii="微软雅黑" w:hAnsi="微软雅黑" w:cs="微软雅黑"/>
          <w:sz w:val="24"/>
          <w:szCs w:val="21"/>
          <w:lang w:val="en-GB"/>
        </w:rPr>
        <w:t>4575.1</w:t>
      </w:r>
      <w:bookmarkEnd w:id="35"/>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6" w:name="资源等级"/>
      <w:r>
        <w:rPr>
          <w:rFonts w:hint="eastAsia" w:ascii="微软雅黑" w:hAnsi="微软雅黑" w:cs="微软雅黑"/>
          <w:sz w:val="24"/>
          <w:szCs w:val="21"/>
          <w:lang w:val="en-GB"/>
        </w:rPr>
        <w:t>C级太阳能资源丰富</w:t>
      </w:r>
      <w:bookmarkEnd w:id="36"/>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t>直射比等级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6"/>
        <w:gridCol w:w="1882"/>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1882"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0.35≤R</w:t>
            </w:r>
            <w:r>
              <w:rPr>
                <w:vertAlign w:val="subscript"/>
              </w:rPr>
              <w:t>D</w:t>
            </w:r>
            <w:r>
              <w:t>＜0.5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7" w:name="直射比图"/>
      <w:bookmarkEnd w:id="37"/>
      <w:bookmarkStart w:id="38" w:name="水平面总辐照量图2"/>
      <w:bookmarkEnd w:id="38"/>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39" w:name="直射比DHRR"/>
      <w:r>
        <w:t>0.54,直接辐射较多,直射比等级属于B级等级高地区</w:t>
      </w:r>
      <w:bookmarkEnd w:id="39"/>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稳定度等级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40" w:name="稳定度GHRS"/>
      <w:r>
        <w:t>0.35，等级B稳定地区</w:t>
      </w:r>
      <w:bookmarkEnd w:id="40"/>
      <w:r>
        <w:rPr>
          <w:rFonts w:hint="eastAsia"/>
        </w:rPr>
        <w:t>。</w:t>
      </w:r>
    </w:p>
    <w:p>
      <w:pPr>
        <w:pStyle w:val="2"/>
      </w:pPr>
      <w:bookmarkStart w:id="41" w:name="_Toc127542295"/>
      <w:bookmarkStart w:id="42" w:name="_Toc15554"/>
      <w:r>
        <w:rPr>
          <w:rFonts w:hint="eastAsia"/>
        </w:rPr>
        <w:t>软件选用</w:t>
      </w:r>
      <w:bookmarkEnd w:id="41"/>
      <w:bookmarkEnd w:id="42"/>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3" w:name="_Toc29480"/>
      <w:r>
        <w:rPr>
          <w:rFonts w:hint="eastAsia"/>
        </w:rPr>
        <w:t>光伏系统设计</w:t>
      </w:r>
      <w:bookmarkEnd w:id="43"/>
    </w:p>
    <w:p>
      <w:pPr>
        <w:pStyle w:val="3"/>
        <w:ind w:firstLine="480" w:firstLineChars="200"/>
      </w:pPr>
      <w:bookmarkStart w:id="44" w:name="_Toc275165382"/>
      <w:bookmarkStart w:id="45" w:name="_Toc290149054"/>
      <w:bookmarkStart w:id="46" w:name="_Toc290209312"/>
      <w:bookmarkStart w:id="47" w:name="_Toc312399791"/>
      <w:bookmarkStart w:id="48" w:name="_Toc512608180"/>
      <w:bookmarkStart w:id="49" w:name="_Toc264043625"/>
      <w:bookmarkStart w:id="50" w:name="_Toc264569232"/>
      <w:bookmarkStart w:id="51" w:name="_Toc290209336"/>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4"/>
    <w:bookmarkEnd w:id="45"/>
    <w:bookmarkEnd w:id="46"/>
    <w:bookmarkEnd w:id="47"/>
    <w:bookmarkEnd w:id="48"/>
    <w:bookmarkEnd w:id="49"/>
    <w:bookmarkEnd w:id="50"/>
    <w:bookmarkEnd w:id="51"/>
    <w:p>
      <w:pPr>
        <w:pStyle w:val="4"/>
      </w:pPr>
      <w:bookmarkStart w:id="52" w:name="_Toc30297"/>
      <w:r>
        <w:rPr>
          <w:rFonts w:hint="eastAsia"/>
        </w:rPr>
        <w:t>阴影遮挡分析</w:t>
      </w:r>
      <w:bookmarkEnd w:id="52"/>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3" w:name="遮挡分析图"/>
      <w:bookmarkEnd w:id="53"/>
      <w:r>
        <w:drawing>
          <wp:inline distT="0" distB="0" distL="0" distR="0">
            <wp:extent cx="5667375" cy="51911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rPr>
          <w:rFonts w:hint="eastAsia"/>
        </w:rPr>
        <w:t>遮挡分析图</w:t>
      </w:r>
    </w:p>
    <w:p>
      <w:pPr>
        <w:pStyle w:val="3"/>
        <w:ind w:firstLine="480" w:firstLineChars="200"/>
        <w:rPr>
          <w:strike/>
          <w:lang w:val="en-US"/>
        </w:rPr>
      </w:pPr>
    </w:p>
    <w:p>
      <w:pPr>
        <w:pStyle w:val="4"/>
      </w:pPr>
      <w:bookmarkStart w:id="54" w:name="_Toc28551"/>
      <w:r>
        <w:t>辐照分析</w:t>
      </w:r>
      <w:bookmarkEnd w:id="54"/>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5" w:name="辐照分析彩图"/>
      <w:bookmarkEnd w:id="55"/>
      <w:r>
        <w:drawing>
          <wp:inline distT="0" distB="0" distL="0" distR="0">
            <wp:extent cx="5667375" cy="49434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5667375" cy="494347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7</w:t>
      </w:r>
      <w:r>
        <w:fldChar w:fldCharType="end"/>
      </w:r>
      <w:r>
        <w:rPr>
          <w:rFonts w:hint="eastAsia"/>
        </w:rPr>
        <w:t>辐照分析图</w:t>
      </w:r>
    </w:p>
    <w:p>
      <w:pPr>
        <w:pStyle w:val="4"/>
      </w:pPr>
      <w:bookmarkStart w:id="56" w:name="_Toc23016"/>
      <w:r>
        <w:rPr>
          <w:rFonts w:hint="eastAsia"/>
        </w:rPr>
        <w:t>光伏方阵设计</w:t>
      </w:r>
      <w:bookmarkEnd w:id="56"/>
    </w:p>
    <w:p>
      <w:pPr>
        <w:pStyle w:val="3"/>
        <w:ind w:firstLine="480"/>
        <w:rPr>
          <w:lang w:val="en-US"/>
        </w:rPr>
      </w:pPr>
      <w:r>
        <w:rPr>
          <w:rFonts w:hint="eastAsia"/>
          <w:lang w:val="en-US"/>
        </w:rPr>
        <w:t>通过对</w:t>
      </w:r>
      <w:bookmarkStart w:id="57" w:name="工程地点2"/>
      <w:r>
        <w:rPr>
          <w:rFonts w:hint="eastAsia"/>
        </w:rPr>
        <w:t>济南</w:t>
      </w:r>
      <w:bookmarkEnd w:id="57"/>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8" w:name="_Toc15989"/>
      <w:r>
        <w:rPr>
          <w:rFonts w:hint="eastAsia"/>
        </w:rPr>
        <w:t>安装倾角</w:t>
      </w:r>
      <w:bookmarkEnd w:id="58"/>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9" w:name="独立推荐倾角"/>
      <w:r>
        <w:rPr>
          <w:rFonts w:hint="eastAsia"/>
          <w:b/>
        </w:rPr>
        <w:t>42.7</w:t>
      </w:r>
      <w:bookmarkEnd w:id="59"/>
      <w:r>
        <w:rPr>
          <w:rFonts w:hint="eastAsia"/>
          <w:b/>
        </w:rPr>
        <w:t>°；并网系统推荐倾角为</w:t>
      </w:r>
      <w:bookmarkStart w:id="60" w:name="并网推荐倾角"/>
      <w:r>
        <w:rPr>
          <w:rFonts w:hint="eastAsia"/>
          <w:b/>
        </w:rPr>
        <w:t>34.7</w:t>
      </w:r>
      <w:bookmarkEnd w:id="60"/>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1" w:name="_Toc30061"/>
      <w:r>
        <w:rPr>
          <w:rFonts w:hint="eastAsia"/>
        </w:rPr>
        <w:t>方阵设计</w:t>
      </w:r>
      <w:bookmarkEnd w:id="61"/>
    </w:p>
    <w:p>
      <w:pPr>
        <w:pStyle w:val="3"/>
        <w:ind w:firstLine="480"/>
        <w:rPr>
          <w:lang w:val="en-US"/>
        </w:rPr>
      </w:pPr>
      <w:r>
        <w:rPr>
          <w:rFonts w:hint="eastAsia"/>
          <w:lang w:val="en-US"/>
        </w:rPr>
        <w:t>本项目光伏方阵的安装方案如下：</w:t>
      </w:r>
    </w:p>
    <w:p>
      <w:pPr>
        <w:pStyle w:val="15"/>
        <w:spacing w:before="240"/>
        <w:rPr>
          <w:rFonts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光伏组件布置统计表</w:t>
      </w:r>
    </w:p>
    <w:tbl>
      <w:tblPr>
        <w:tblStyle w:val="72"/>
        <w:tblW w:w="8982" w:type="dxa"/>
        <w:tblInd w:w="0" w:type="dxa"/>
        <w:tblLayout w:type="fixed"/>
        <w:tblCellMar>
          <w:top w:w="0" w:type="dxa"/>
          <w:left w:w="108" w:type="dxa"/>
          <w:bottom w:w="0" w:type="dxa"/>
          <w:right w:w="108" w:type="dxa"/>
        </w:tblCellMar>
      </w:tblPr>
      <w:tblGrid>
        <w:gridCol w:w="2328"/>
        <w:gridCol w:w="2218"/>
        <w:gridCol w:w="2218"/>
        <w:gridCol w:w="2218"/>
      </w:tblGrid>
      <w:tr>
        <w:tblPrEx>
          <w:tblCellMar>
            <w:top w:w="0" w:type="dxa"/>
            <w:left w:w="108" w:type="dxa"/>
            <w:bottom w:w="0" w:type="dxa"/>
            <w:right w:w="108" w:type="dxa"/>
          </w:tblCellMar>
        </w:tblPrEx>
        <w:tc>
          <w:tcPr>
            <w:tcW w:w="2328" w:type="dxa"/>
            <w:tcBorders>
              <w:top w:val="single" w:color="FFFFFF" w:themeColor="background1" w:sz="18" w:space="0"/>
              <w:left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2" w:name="光伏板参数表" w:colFirst="0" w:colLast="3"/>
            <w:r>
              <w:rPr>
                <w:b/>
                <w:bCs/>
                <w:color w:val="FFFFFF" w:themeColor="background1"/>
                <w:szCs w:val="21"/>
                <w14:textFill>
                  <w14:solidFill>
                    <w14:schemeClr w14:val="bg1"/>
                  </w14:solidFill>
                </w14:textFill>
              </w:rPr>
              <w:t>尺寸/面积</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朝向角</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倾角</w:t>
            </w:r>
          </w:p>
        </w:tc>
        <w:tc>
          <w:tcPr>
            <w:tcW w:w="2218" w:type="dxa"/>
            <w:tcBorders>
              <w:top w:val="single" w:color="FFFFFF" w:themeColor="background1" w:sz="18" w:space="0"/>
              <w:bottom w:val="single" w:color="C8C8C8" w:themeColor="accent3" w:themeTint="99" w:sz="4" w:space="0"/>
              <w:right w:val="single" w:color="FFFFFF" w:themeColor="background1" w:sz="18"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1.64(1.65X0.99)</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26</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260</w:t>
            </w:r>
          </w:p>
        </w:tc>
      </w:tr>
      <w:bookmarkEnd w:id="62"/>
    </w:tbl>
    <w:p>
      <w:pPr>
        <w:pStyle w:val="3"/>
      </w:pPr>
    </w:p>
    <w:p>
      <w:pPr>
        <w:pStyle w:val="3"/>
        <w:jc w:val="center"/>
      </w:pPr>
      <w:bookmarkStart w:id="63" w:name="模型观察图"/>
      <w:bookmarkEnd w:id="63"/>
      <w:r>
        <w:drawing>
          <wp:inline distT="0" distB="0" distL="0" distR="0">
            <wp:extent cx="5667375" cy="28765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5"/>
                    <a:stretch>
                      <a:fillRect/>
                    </a:stretch>
                  </pic:blipFill>
                  <pic:spPr>
                    <a:xfrm>
                      <a:off x="0" y="0"/>
                      <a:ext cx="5667375" cy="287655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8</w:t>
      </w:r>
      <w:r>
        <w:fldChar w:fldCharType="end"/>
      </w:r>
      <w:r>
        <w:rPr>
          <w:rFonts w:hint="eastAsia"/>
        </w:rPr>
        <w:t>光伏板布置效果图</w:t>
      </w:r>
    </w:p>
    <w:p>
      <w:pPr>
        <w:pStyle w:val="4"/>
      </w:pPr>
      <w:bookmarkStart w:id="64" w:name="_Toc29592"/>
      <w:r>
        <w:rPr>
          <w:rFonts w:hint="eastAsia"/>
        </w:rPr>
        <w:t>光伏组件和逆变器的选择</w:t>
      </w:r>
      <w:bookmarkEnd w:id="64"/>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功率</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成本</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工作</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260</w:t>
            </w:r>
          </w:p>
        </w:tc>
        <w:tc>
          <w:tcPr>
            <w:tcW w:w="0" w:type="auto"/>
            <w:shd w:val="clear" w:color="auto" w:fill="ECECEC" w:themeFill="accent3" w:themeFillTint="33"/>
          </w:tcPr>
          <w:p>
            <w:pPr>
              <w:jc w:val="center"/>
              <w:rPr>
                <w:szCs w:val="21"/>
              </w:rPr>
            </w:pPr>
            <w:r>
              <w:rPr>
                <w:szCs w:val="21"/>
              </w:rPr>
              <w:t>260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bookmarkEnd w:id="65"/>
    </w:tbl>
    <w:p>
      <w:pPr>
        <w:jc w:val="center"/>
      </w:pPr>
    </w:p>
    <w:p>
      <w:pPr>
        <w:pStyle w:val="2"/>
      </w:pPr>
      <w:bookmarkStart w:id="66" w:name="_Toc23827"/>
      <w:r>
        <w:rPr>
          <w:rFonts w:hint="eastAsia"/>
        </w:rPr>
        <w:t>光伏发电产量</w:t>
      </w:r>
      <w:bookmarkEnd w:id="66"/>
    </w:p>
    <w:p>
      <w:pPr>
        <w:pStyle w:val="4"/>
      </w:pPr>
      <w:bookmarkStart w:id="67" w:name="_Toc19743"/>
      <w:r>
        <w:rPr>
          <w:rFonts w:hint="eastAsia"/>
        </w:rPr>
        <w:t>发电量算法</w:t>
      </w:r>
      <w:bookmarkEnd w:id="67"/>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9pt;width:10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8" w:name="_Toc11825"/>
      <w:r>
        <w:rPr>
          <w:rFonts w:hint="eastAsia"/>
        </w:rPr>
        <w:t>系统效率和损失</w:t>
      </w:r>
      <w:bookmarkEnd w:id="68"/>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单晶硅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260</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67.6kW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426㎡</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t>修正系数</w:t>
            </w:r>
          </w:p>
        </w:tc>
        <w:tc>
          <w:tcPr>
            <w:tcW w:w="2321" w:type="dxa"/>
            <w:shd w:val="clear" w:color="auto" w:fill="ECECEC" w:themeFill="accent3" w:themeFillTint="33"/>
          </w:tcPr>
          <w:p>
            <w:r>
              <w:t>1%</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81.8%</w:t>
            </w:r>
          </w:p>
        </w:tc>
      </w:tr>
      <w:bookmarkEnd w:id="69"/>
    </w:tbl>
    <w:p>
      <w:pPr>
        <w:jc w:val="center"/>
      </w:pPr>
    </w:p>
    <w:p>
      <w:pPr>
        <w:pStyle w:val="4"/>
      </w:pPr>
      <w:bookmarkStart w:id="70" w:name="_Toc4936"/>
      <w:r>
        <w:rPr>
          <w:rFonts w:hint="eastAsia"/>
        </w:rPr>
        <w:t>发电量计算</w:t>
      </w:r>
      <w:bookmarkEnd w:id="70"/>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1" w:name="_Toc14156"/>
      <w:r>
        <w:rPr>
          <w:rFonts w:hint="eastAsia"/>
        </w:rPr>
        <w:t>首年发电量</w:t>
      </w:r>
      <w:bookmarkEnd w:id="71"/>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74.2</w:t>
            </w:r>
          </w:p>
        </w:tc>
        <w:tc>
          <w:tcPr>
            <w:tcW w:w="2434" w:type="dxa"/>
            <w:shd w:val="clear" w:color="auto" w:fill="ECECEC" w:themeFill="accent3" w:themeFillTint="33"/>
          </w:tcPr>
          <w:p>
            <w:pPr>
              <w:jc w:val="center"/>
              <w:rPr>
                <w:szCs w:val="21"/>
              </w:rPr>
            </w:pPr>
            <w:r>
              <w:rPr>
                <w:szCs w:val="21"/>
              </w:rPr>
              <w:t>4.53</w:t>
            </w:r>
          </w:p>
        </w:tc>
        <w:tc>
          <w:tcPr>
            <w:tcW w:w="2224" w:type="dxa"/>
            <w:shd w:val="clear" w:color="auto" w:fill="ECECEC" w:themeFill="accent3" w:themeFillTint="33"/>
          </w:tcPr>
          <w:p>
            <w:pPr>
              <w:jc w:val="center"/>
              <w:rPr>
                <w:szCs w:val="21"/>
              </w:rPr>
            </w:pPr>
            <w:r>
              <w:rPr>
                <w:szCs w:val="21"/>
              </w:rPr>
              <w:t>6.3</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81.5</w:t>
            </w:r>
          </w:p>
        </w:tc>
        <w:tc>
          <w:tcPr>
            <w:tcW w:w="2434" w:type="dxa"/>
          </w:tcPr>
          <w:p>
            <w:pPr>
              <w:jc w:val="center"/>
              <w:rPr>
                <w:szCs w:val="21"/>
              </w:rPr>
            </w:pPr>
            <w:r>
              <w:rPr>
                <w:szCs w:val="21"/>
              </w:rPr>
              <w:t>4.85</w:t>
            </w:r>
          </w:p>
        </w:tc>
        <w:tc>
          <w:tcPr>
            <w:tcW w:w="2224" w:type="dxa"/>
          </w:tcPr>
          <w:p>
            <w:pPr>
              <w:jc w:val="center"/>
              <w:rPr>
                <w:szCs w:val="21"/>
              </w:rPr>
            </w:pPr>
            <w:r>
              <w:rPr>
                <w:szCs w:val="21"/>
              </w:rPr>
              <w:t>6.7</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123.2</w:t>
            </w:r>
          </w:p>
        </w:tc>
        <w:tc>
          <w:tcPr>
            <w:tcW w:w="2434" w:type="dxa"/>
            <w:shd w:val="clear" w:color="auto" w:fill="ECECEC" w:themeFill="accent3" w:themeFillTint="33"/>
          </w:tcPr>
          <w:p>
            <w:pPr>
              <w:jc w:val="center"/>
              <w:rPr>
                <w:szCs w:val="21"/>
              </w:rPr>
            </w:pPr>
            <w:r>
              <w:rPr>
                <w:szCs w:val="21"/>
              </w:rPr>
              <w:t>7.12</w:t>
            </w:r>
          </w:p>
        </w:tc>
        <w:tc>
          <w:tcPr>
            <w:tcW w:w="2224" w:type="dxa"/>
            <w:shd w:val="clear" w:color="auto" w:fill="ECECEC" w:themeFill="accent3" w:themeFillTint="33"/>
          </w:tcPr>
          <w:p>
            <w:pPr>
              <w:jc w:val="center"/>
              <w:rPr>
                <w:szCs w:val="21"/>
              </w:rPr>
            </w:pPr>
            <w:r>
              <w:rPr>
                <w:szCs w:val="21"/>
              </w:rPr>
              <w:t>9.8</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139.6</w:t>
            </w:r>
          </w:p>
        </w:tc>
        <w:tc>
          <w:tcPr>
            <w:tcW w:w="2434" w:type="dxa"/>
          </w:tcPr>
          <w:p>
            <w:pPr>
              <w:jc w:val="center"/>
              <w:rPr>
                <w:szCs w:val="21"/>
              </w:rPr>
            </w:pPr>
            <w:r>
              <w:rPr>
                <w:szCs w:val="21"/>
              </w:rPr>
              <w:t>7.73</w:t>
            </w:r>
          </w:p>
        </w:tc>
        <w:tc>
          <w:tcPr>
            <w:tcW w:w="2224" w:type="dxa"/>
          </w:tcPr>
          <w:p>
            <w:pPr>
              <w:jc w:val="center"/>
              <w:rPr>
                <w:szCs w:val="21"/>
              </w:rPr>
            </w:pPr>
            <w:r>
              <w:rPr>
                <w:szCs w:val="21"/>
              </w:rPr>
              <w:t>10.7</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154.9</w:t>
            </w:r>
          </w:p>
        </w:tc>
        <w:tc>
          <w:tcPr>
            <w:tcW w:w="2434" w:type="dxa"/>
            <w:shd w:val="clear" w:color="auto" w:fill="ECECEC" w:themeFill="accent3" w:themeFillTint="33"/>
          </w:tcPr>
          <w:p>
            <w:pPr>
              <w:jc w:val="center"/>
              <w:rPr>
                <w:szCs w:val="21"/>
              </w:rPr>
            </w:pPr>
            <w:r>
              <w:rPr>
                <w:szCs w:val="21"/>
              </w:rPr>
              <w:t>8.33</w:t>
            </w:r>
          </w:p>
        </w:tc>
        <w:tc>
          <w:tcPr>
            <w:tcW w:w="2224" w:type="dxa"/>
            <w:shd w:val="clear" w:color="auto" w:fill="ECECEC" w:themeFill="accent3" w:themeFillTint="33"/>
          </w:tcPr>
          <w:p>
            <w:pPr>
              <w:jc w:val="center"/>
              <w:rPr>
                <w:szCs w:val="21"/>
              </w:rPr>
            </w:pPr>
            <w:r>
              <w:rPr>
                <w:szCs w:val="21"/>
              </w:rPr>
              <w:t>11.5</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136.7</w:t>
            </w:r>
          </w:p>
        </w:tc>
        <w:tc>
          <w:tcPr>
            <w:tcW w:w="2434" w:type="dxa"/>
          </w:tcPr>
          <w:p>
            <w:pPr>
              <w:jc w:val="center"/>
              <w:rPr>
                <w:szCs w:val="21"/>
              </w:rPr>
            </w:pPr>
            <w:r>
              <w:rPr>
                <w:szCs w:val="21"/>
              </w:rPr>
              <w:t>7.13</w:t>
            </w:r>
          </w:p>
        </w:tc>
        <w:tc>
          <w:tcPr>
            <w:tcW w:w="2224" w:type="dxa"/>
          </w:tcPr>
          <w:p>
            <w:pPr>
              <w:jc w:val="center"/>
              <w:rPr>
                <w:szCs w:val="21"/>
              </w:rPr>
            </w:pPr>
            <w:r>
              <w:rPr>
                <w:szCs w:val="21"/>
              </w:rPr>
              <w:t>9.9</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111.0</w:t>
            </w:r>
          </w:p>
        </w:tc>
        <w:tc>
          <w:tcPr>
            <w:tcW w:w="2434" w:type="dxa"/>
            <w:shd w:val="clear" w:color="auto" w:fill="ECECEC" w:themeFill="accent3" w:themeFillTint="33"/>
          </w:tcPr>
          <w:p>
            <w:pPr>
              <w:jc w:val="center"/>
              <w:rPr>
                <w:szCs w:val="21"/>
              </w:rPr>
            </w:pPr>
            <w:r>
              <w:rPr>
                <w:szCs w:val="21"/>
              </w:rPr>
              <w:t>5.78</w:t>
            </w:r>
          </w:p>
        </w:tc>
        <w:tc>
          <w:tcPr>
            <w:tcW w:w="2224" w:type="dxa"/>
            <w:shd w:val="clear" w:color="auto" w:fill="ECECEC" w:themeFill="accent3" w:themeFillTint="33"/>
          </w:tcPr>
          <w:p>
            <w:pPr>
              <w:jc w:val="center"/>
              <w:rPr>
                <w:szCs w:val="21"/>
              </w:rPr>
            </w:pPr>
            <w:r>
              <w:rPr>
                <w:szCs w:val="21"/>
              </w:rPr>
              <w:t>8.0</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126.1</w:t>
            </w:r>
          </w:p>
        </w:tc>
        <w:tc>
          <w:tcPr>
            <w:tcW w:w="2434" w:type="dxa"/>
          </w:tcPr>
          <w:p>
            <w:pPr>
              <w:jc w:val="center"/>
              <w:rPr>
                <w:szCs w:val="21"/>
              </w:rPr>
            </w:pPr>
            <w:r>
              <w:rPr>
                <w:szCs w:val="21"/>
              </w:rPr>
              <w:t>6.59</w:t>
            </w:r>
          </w:p>
        </w:tc>
        <w:tc>
          <w:tcPr>
            <w:tcW w:w="2224" w:type="dxa"/>
          </w:tcPr>
          <w:p>
            <w:pPr>
              <w:jc w:val="center"/>
              <w:rPr>
                <w:szCs w:val="21"/>
              </w:rPr>
            </w:pPr>
            <w:r>
              <w:rPr>
                <w:szCs w:val="21"/>
              </w:rPr>
              <w:t>9.1</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111.4</w:t>
            </w:r>
          </w:p>
        </w:tc>
        <w:tc>
          <w:tcPr>
            <w:tcW w:w="2434" w:type="dxa"/>
            <w:shd w:val="clear" w:color="auto" w:fill="ECECEC" w:themeFill="accent3" w:themeFillTint="33"/>
          </w:tcPr>
          <w:p>
            <w:pPr>
              <w:jc w:val="center"/>
              <w:rPr>
                <w:szCs w:val="21"/>
              </w:rPr>
            </w:pPr>
            <w:r>
              <w:rPr>
                <w:szCs w:val="21"/>
              </w:rPr>
              <w:t>5.93</w:t>
            </w:r>
          </w:p>
        </w:tc>
        <w:tc>
          <w:tcPr>
            <w:tcW w:w="2224" w:type="dxa"/>
            <w:shd w:val="clear" w:color="auto" w:fill="ECECEC" w:themeFill="accent3" w:themeFillTint="33"/>
          </w:tcPr>
          <w:p>
            <w:pPr>
              <w:jc w:val="center"/>
              <w:rPr>
                <w:szCs w:val="21"/>
              </w:rPr>
            </w:pPr>
            <w:r>
              <w:rPr>
                <w:szCs w:val="21"/>
              </w:rPr>
              <w:t>8.2</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104.9</w:t>
            </w:r>
          </w:p>
        </w:tc>
        <w:tc>
          <w:tcPr>
            <w:tcW w:w="2434" w:type="dxa"/>
          </w:tcPr>
          <w:p>
            <w:pPr>
              <w:jc w:val="center"/>
              <w:rPr>
                <w:szCs w:val="21"/>
              </w:rPr>
            </w:pPr>
            <w:r>
              <w:rPr>
                <w:szCs w:val="21"/>
              </w:rPr>
              <w:t>5.81</w:t>
            </w:r>
          </w:p>
        </w:tc>
        <w:tc>
          <w:tcPr>
            <w:tcW w:w="2224" w:type="dxa"/>
          </w:tcPr>
          <w:p>
            <w:pPr>
              <w:jc w:val="center"/>
              <w:rPr>
                <w:szCs w:val="21"/>
              </w:rPr>
            </w:pPr>
            <w:r>
              <w:rPr>
                <w:szCs w:val="21"/>
              </w:rPr>
              <w:t>8.0</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74.2</w:t>
            </w:r>
          </w:p>
        </w:tc>
        <w:tc>
          <w:tcPr>
            <w:tcW w:w="2434" w:type="dxa"/>
            <w:shd w:val="clear" w:color="auto" w:fill="ECECEC" w:themeFill="accent3" w:themeFillTint="33"/>
          </w:tcPr>
          <w:p>
            <w:pPr>
              <w:jc w:val="center"/>
              <w:rPr>
                <w:szCs w:val="21"/>
              </w:rPr>
            </w:pPr>
            <w:r>
              <w:rPr>
                <w:szCs w:val="21"/>
              </w:rPr>
              <w:t>4.28</w:t>
            </w:r>
          </w:p>
        </w:tc>
        <w:tc>
          <w:tcPr>
            <w:tcW w:w="2224" w:type="dxa"/>
            <w:shd w:val="clear" w:color="auto" w:fill="ECECEC" w:themeFill="accent3" w:themeFillTint="33"/>
          </w:tcPr>
          <w:p>
            <w:pPr>
              <w:jc w:val="center"/>
              <w:rPr>
                <w:szCs w:val="21"/>
              </w:rPr>
            </w:pPr>
            <w:r>
              <w:rPr>
                <w:szCs w:val="21"/>
              </w:rPr>
              <w:t>5.9</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70.3</w:t>
            </w:r>
          </w:p>
        </w:tc>
        <w:tc>
          <w:tcPr>
            <w:tcW w:w="2434" w:type="dxa"/>
          </w:tcPr>
          <w:p>
            <w:pPr>
              <w:jc w:val="center"/>
              <w:rPr>
                <w:szCs w:val="21"/>
              </w:rPr>
            </w:pPr>
            <w:r>
              <w:rPr>
                <w:szCs w:val="21"/>
              </w:rPr>
              <w:t>4.24</w:t>
            </w:r>
          </w:p>
        </w:tc>
        <w:tc>
          <w:tcPr>
            <w:tcW w:w="2224" w:type="dxa"/>
          </w:tcPr>
          <w:p>
            <w:pPr>
              <w:jc w:val="center"/>
              <w:rPr>
                <w:szCs w:val="21"/>
              </w:rPr>
            </w:pPr>
            <w:r>
              <w:rPr>
                <w:szCs w:val="21"/>
              </w:rPr>
              <w:t>5.9</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1308.0</w:t>
            </w:r>
          </w:p>
        </w:tc>
        <w:tc>
          <w:tcPr>
            <w:tcW w:w="2434" w:type="dxa"/>
            <w:shd w:val="clear" w:color="auto" w:fill="ECECEC" w:themeFill="accent3" w:themeFillTint="33"/>
          </w:tcPr>
          <w:p>
            <w:pPr>
              <w:jc w:val="center"/>
              <w:rPr>
                <w:szCs w:val="21"/>
              </w:rPr>
            </w:pPr>
            <w:r>
              <w:rPr>
                <w:szCs w:val="21"/>
              </w:rPr>
              <w:t>72.3251</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72.3MWh</w:t>
            </w:r>
          </w:p>
        </w:tc>
      </w:tr>
      <w:bookmarkEnd w:id="72"/>
    </w:tbl>
    <w:p>
      <w:pPr>
        <w:pStyle w:val="3"/>
        <w:jc w:val="center"/>
      </w:pPr>
    </w:p>
    <w:p>
      <w:pPr>
        <w:pStyle w:val="3"/>
        <w:jc w:val="center"/>
      </w:pPr>
      <w:bookmarkStart w:id="73" w:name="光伏发电彩图"/>
      <w:bookmarkEnd w:id="73"/>
      <w:r>
        <w:drawing>
          <wp:inline distT="0" distB="0" distL="0" distR="0">
            <wp:extent cx="5667375" cy="30384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8"/>
                    <a:stretch>
                      <a:fillRect/>
                    </a:stretch>
                  </pic:blipFill>
                  <pic:spPr>
                    <a:xfrm>
                      <a:off x="0" y="0"/>
                      <a:ext cx="5667375" cy="30384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9</w:t>
      </w:r>
      <w:r>
        <w:fldChar w:fldCharType="end"/>
      </w:r>
      <w:r>
        <w:rPr>
          <w:rFonts w:hint="eastAsia"/>
        </w:rPr>
        <w:t>光伏发电彩图</w:t>
      </w:r>
    </w:p>
    <w:p>
      <w:pPr>
        <w:spacing w:before="240"/>
        <w:jc w:val="center"/>
      </w:pPr>
      <w:bookmarkStart w:id="74" w:name="光伏板接收太阳能总辐照量图"/>
      <w:bookmarkEnd w:id="74"/>
      <w:bookmarkStart w:id="75" w:name="太阳能总辐照量图"/>
      <w:bookmarkEnd w:id="75"/>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r>
        <w:rPr>
          <w:rFonts w:hint="eastAsia"/>
        </w:rPr>
        <w:t>光伏板接收太阳能总辐照量图</w:t>
      </w:r>
    </w:p>
    <w:p>
      <w:pPr>
        <w:spacing w:before="240"/>
        <w:jc w:val="center"/>
      </w:pPr>
      <w:bookmarkStart w:id="76" w:name="交流发电量图"/>
      <w:bookmarkEnd w:id="76"/>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首年交流发电量图</w:t>
      </w:r>
    </w:p>
    <w:p>
      <w:pPr>
        <w:pStyle w:val="5"/>
      </w:pPr>
      <w:bookmarkStart w:id="77" w:name="_Toc127542304"/>
      <w:bookmarkStart w:id="78" w:name="_Toc19671"/>
      <w:r>
        <w:rPr>
          <w:rFonts w:hint="eastAsia"/>
        </w:rPr>
        <w:t>全周期发电量</w:t>
      </w:r>
      <w:bookmarkEnd w:id="77"/>
      <w:bookmarkEnd w:id="78"/>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9</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5</w:t>
            </w:r>
          </w:p>
        </w:tc>
        <w:tc>
          <w:tcPr>
            <w:tcW w:w="2268" w:type="dxa"/>
          </w:tcPr>
          <w:p>
            <w:pPr>
              <w:spacing w:line="360" w:lineRule="exact"/>
              <w:jc w:val="center"/>
              <w:rPr>
                <w:lang w:val="en-US"/>
              </w:rPr>
            </w:pPr>
            <w:r>
              <w:rPr>
                <w:lang w:val="en-US"/>
              </w:rPr>
              <w:t>72.33</w:t>
            </w:r>
          </w:p>
        </w:tc>
        <w:tc>
          <w:tcPr>
            <w:tcW w:w="2268" w:type="dxa"/>
          </w:tcPr>
          <w:p>
            <w:pPr>
              <w:spacing w:line="360" w:lineRule="exact"/>
              <w:jc w:val="center"/>
              <w:rPr>
                <w:lang w:val="en-US"/>
              </w:rPr>
            </w:pPr>
            <w:r>
              <w:rPr>
                <w:lang w:val="en-US"/>
              </w:rPr>
              <w:t>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68.71</w:t>
            </w:r>
          </w:p>
        </w:tc>
        <w:tc>
          <w:tcPr>
            <w:tcW w:w="2268" w:type="dxa"/>
            <w:shd w:val="clear" w:color="auto" w:fill="F2F2F2"/>
          </w:tcPr>
          <w:p>
            <w:pPr>
              <w:spacing w:line="360" w:lineRule="exact"/>
              <w:jc w:val="center"/>
              <w:rPr>
                <w:lang w:val="en-US"/>
              </w:rPr>
            </w:pPr>
            <w:r>
              <w:rPr>
                <w:lang w:val="en-US"/>
              </w:rPr>
              <w:t>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68.23</w:t>
            </w:r>
          </w:p>
        </w:tc>
        <w:tc>
          <w:tcPr>
            <w:tcW w:w="2268" w:type="dxa"/>
          </w:tcPr>
          <w:p>
            <w:pPr>
              <w:spacing w:line="360" w:lineRule="exact"/>
              <w:jc w:val="center"/>
              <w:rPr>
                <w:lang w:val="en-US"/>
              </w:rPr>
            </w:pPr>
            <w:r>
              <w:rPr>
                <w:lang w:val="en-US"/>
              </w:rPr>
              <w:t>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67.75</w:t>
            </w:r>
          </w:p>
        </w:tc>
        <w:tc>
          <w:tcPr>
            <w:tcW w:w="2268" w:type="dxa"/>
            <w:shd w:val="clear" w:color="auto" w:fill="F2F2F2"/>
          </w:tcPr>
          <w:p>
            <w:pPr>
              <w:spacing w:line="360" w:lineRule="exact"/>
              <w:jc w:val="center"/>
              <w:rPr>
                <w:lang w:val="en-US"/>
              </w:rPr>
            </w:pPr>
            <w:r>
              <w:rPr>
                <w:lang w:val="en-US"/>
              </w:rPr>
              <w:t>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67.28</w:t>
            </w:r>
          </w:p>
        </w:tc>
        <w:tc>
          <w:tcPr>
            <w:tcW w:w="2268" w:type="dxa"/>
          </w:tcPr>
          <w:p>
            <w:pPr>
              <w:spacing w:line="360" w:lineRule="exact"/>
              <w:jc w:val="center"/>
              <w:rPr>
                <w:lang w:val="en-US"/>
              </w:rPr>
            </w:pPr>
            <w:r>
              <w:rPr>
                <w:lang w:val="en-US"/>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66.81</w:t>
            </w:r>
          </w:p>
        </w:tc>
        <w:tc>
          <w:tcPr>
            <w:tcW w:w="2268" w:type="dxa"/>
            <w:shd w:val="clear" w:color="auto" w:fill="F2F2F2"/>
          </w:tcPr>
          <w:p>
            <w:pPr>
              <w:spacing w:line="360" w:lineRule="exact"/>
              <w:jc w:val="center"/>
              <w:rPr>
                <w:lang w:val="en-US"/>
              </w:rPr>
            </w:pPr>
            <w:r>
              <w:rPr>
                <w:lang w:val="en-US"/>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66.34</w:t>
            </w:r>
          </w:p>
        </w:tc>
        <w:tc>
          <w:tcPr>
            <w:tcW w:w="2268" w:type="dxa"/>
          </w:tcPr>
          <w:p>
            <w:pPr>
              <w:spacing w:line="360" w:lineRule="exact"/>
              <w:jc w:val="center"/>
              <w:rPr>
                <w:lang w:val="en-US"/>
              </w:rPr>
            </w:pPr>
            <w:r>
              <w:rPr>
                <w:lang w:val="en-US"/>
              </w:rPr>
              <w:t>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65.87</w:t>
            </w:r>
          </w:p>
        </w:tc>
        <w:tc>
          <w:tcPr>
            <w:tcW w:w="2268" w:type="dxa"/>
            <w:shd w:val="clear" w:color="auto" w:fill="F2F2F2"/>
          </w:tcPr>
          <w:p>
            <w:pPr>
              <w:spacing w:line="360" w:lineRule="exact"/>
              <w:jc w:val="center"/>
              <w:rPr>
                <w:lang w:val="en-US"/>
              </w:rPr>
            </w:pPr>
            <w:r>
              <w:rPr>
                <w:lang w:val="en-US"/>
              </w:rPr>
              <w:t>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65.41</w:t>
            </w:r>
          </w:p>
        </w:tc>
        <w:tc>
          <w:tcPr>
            <w:tcW w:w="2268" w:type="dxa"/>
          </w:tcPr>
          <w:p>
            <w:pPr>
              <w:spacing w:line="360" w:lineRule="exact"/>
              <w:jc w:val="center"/>
              <w:rPr>
                <w:lang w:val="en-US"/>
              </w:rPr>
            </w:pPr>
            <w:r>
              <w:rPr>
                <w:lang w:val="en-US"/>
              </w:rPr>
              <w:t>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64.95</w:t>
            </w:r>
          </w:p>
        </w:tc>
        <w:tc>
          <w:tcPr>
            <w:tcW w:w="2268" w:type="dxa"/>
            <w:shd w:val="clear" w:color="auto" w:fill="F2F2F2"/>
          </w:tcPr>
          <w:p>
            <w:pPr>
              <w:spacing w:line="360" w:lineRule="exact"/>
              <w:jc w:val="center"/>
              <w:rPr>
                <w:lang w:val="en-US"/>
              </w:rPr>
            </w:pPr>
            <w:r>
              <w:rPr>
                <w:lang w:val="en-US"/>
              </w:rPr>
              <w:t>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64.50</w:t>
            </w:r>
          </w:p>
        </w:tc>
        <w:tc>
          <w:tcPr>
            <w:tcW w:w="2268" w:type="dxa"/>
          </w:tcPr>
          <w:p>
            <w:pPr>
              <w:spacing w:line="360" w:lineRule="exact"/>
              <w:jc w:val="center"/>
              <w:rPr>
                <w:lang w:val="en-US"/>
              </w:rPr>
            </w:pPr>
            <w:r>
              <w:rPr>
                <w:lang w:val="en-US"/>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64.05</w:t>
            </w:r>
          </w:p>
        </w:tc>
        <w:tc>
          <w:tcPr>
            <w:tcW w:w="2268" w:type="dxa"/>
            <w:shd w:val="clear" w:color="auto" w:fill="F2F2F2"/>
          </w:tcPr>
          <w:p>
            <w:pPr>
              <w:spacing w:line="360" w:lineRule="exact"/>
              <w:jc w:val="center"/>
              <w:rPr>
                <w:lang w:val="en-US"/>
              </w:rPr>
            </w:pPr>
            <w:r>
              <w:rPr>
                <w:lang w:val="en-US"/>
              </w:rPr>
              <w:t>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63.60</w:t>
            </w:r>
          </w:p>
        </w:tc>
        <w:tc>
          <w:tcPr>
            <w:tcW w:w="2268" w:type="dxa"/>
          </w:tcPr>
          <w:p>
            <w:pPr>
              <w:spacing w:line="360" w:lineRule="exact"/>
              <w:jc w:val="center"/>
              <w:rPr>
                <w:lang w:val="en-US"/>
              </w:rPr>
            </w:pPr>
            <w:r>
              <w:rPr>
                <w:lang w:val="en-US"/>
              </w:rPr>
              <w:t>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63.15</w:t>
            </w:r>
          </w:p>
        </w:tc>
        <w:tc>
          <w:tcPr>
            <w:tcW w:w="2268" w:type="dxa"/>
            <w:shd w:val="clear" w:color="auto" w:fill="F2F2F2"/>
          </w:tcPr>
          <w:p>
            <w:pPr>
              <w:spacing w:line="360" w:lineRule="exact"/>
              <w:jc w:val="center"/>
              <w:rPr>
                <w:lang w:val="en-US"/>
              </w:rPr>
            </w:pPr>
            <w:r>
              <w:rPr>
                <w:lang w:val="en-US"/>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62.71</w:t>
            </w:r>
          </w:p>
        </w:tc>
        <w:tc>
          <w:tcPr>
            <w:tcW w:w="2268" w:type="dxa"/>
          </w:tcPr>
          <w:p>
            <w:pPr>
              <w:spacing w:line="360" w:lineRule="exact"/>
              <w:jc w:val="center"/>
              <w:rPr>
                <w:lang w:val="en-US"/>
              </w:rPr>
            </w:pPr>
            <w:r>
              <w:rPr>
                <w:lang w:val="en-US"/>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62.27</w:t>
            </w:r>
          </w:p>
        </w:tc>
        <w:tc>
          <w:tcPr>
            <w:tcW w:w="2268" w:type="dxa"/>
            <w:shd w:val="clear" w:color="auto" w:fill="F2F2F2"/>
          </w:tcPr>
          <w:p>
            <w:pPr>
              <w:spacing w:line="360" w:lineRule="exact"/>
              <w:jc w:val="center"/>
              <w:rPr>
                <w:lang w:val="en-US"/>
              </w:rPr>
            </w:pPr>
            <w:r>
              <w:rPr>
                <w:lang w:val="en-US"/>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61.84</w:t>
            </w:r>
          </w:p>
        </w:tc>
        <w:tc>
          <w:tcPr>
            <w:tcW w:w="2268" w:type="dxa"/>
          </w:tcPr>
          <w:p>
            <w:pPr>
              <w:spacing w:line="360" w:lineRule="exact"/>
              <w:jc w:val="center"/>
              <w:rPr>
                <w:lang w:val="en-US"/>
              </w:rPr>
            </w:pPr>
            <w:r>
              <w:rPr>
                <w:lang w:val="en-US"/>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61.40</w:t>
            </w:r>
          </w:p>
        </w:tc>
        <w:tc>
          <w:tcPr>
            <w:tcW w:w="2268" w:type="dxa"/>
            <w:shd w:val="clear" w:color="auto" w:fill="F2F2F2"/>
          </w:tcPr>
          <w:p>
            <w:pPr>
              <w:spacing w:line="360" w:lineRule="exact"/>
              <w:jc w:val="center"/>
              <w:rPr>
                <w:lang w:val="en-US"/>
              </w:rPr>
            </w:pPr>
            <w:r>
              <w:rPr>
                <w:lang w:val="en-US"/>
              </w:rPr>
              <w:t>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60.97</w:t>
            </w:r>
          </w:p>
        </w:tc>
        <w:tc>
          <w:tcPr>
            <w:tcW w:w="2268" w:type="dxa"/>
          </w:tcPr>
          <w:p>
            <w:pPr>
              <w:spacing w:line="360" w:lineRule="exact"/>
              <w:jc w:val="center"/>
              <w:rPr>
                <w:lang w:val="en-US"/>
              </w:rPr>
            </w:pPr>
            <w:r>
              <w:rPr>
                <w:lang w:val="en-US"/>
              </w:rPr>
              <w:t>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60.55</w:t>
            </w:r>
          </w:p>
        </w:tc>
        <w:tc>
          <w:tcPr>
            <w:tcW w:w="2268" w:type="dxa"/>
            <w:shd w:val="clear" w:color="auto" w:fill="F2F2F2"/>
          </w:tcPr>
          <w:p>
            <w:pPr>
              <w:spacing w:line="360" w:lineRule="exact"/>
              <w:jc w:val="center"/>
              <w:rPr>
                <w:lang w:val="en-US"/>
              </w:rPr>
            </w:pPr>
            <w:r>
              <w:rPr>
                <w:lang w:val="en-US"/>
              </w:rPr>
              <w:t>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60.12</w:t>
            </w:r>
          </w:p>
        </w:tc>
        <w:tc>
          <w:tcPr>
            <w:tcW w:w="2268" w:type="dxa"/>
          </w:tcPr>
          <w:p>
            <w:pPr>
              <w:spacing w:line="360" w:lineRule="exact"/>
              <w:jc w:val="center"/>
              <w:rPr>
                <w:lang w:val="en-US"/>
              </w:rPr>
            </w:pPr>
            <w:r>
              <w:rPr>
                <w:lang w:val="en-US"/>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59.70</w:t>
            </w:r>
          </w:p>
        </w:tc>
        <w:tc>
          <w:tcPr>
            <w:tcW w:w="2268" w:type="dxa"/>
            <w:shd w:val="clear" w:color="auto" w:fill="F2F2F2"/>
          </w:tcPr>
          <w:p>
            <w:pPr>
              <w:spacing w:line="360" w:lineRule="exact"/>
              <w:jc w:val="center"/>
              <w:rPr>
                <w:lang w:val="en-US"/>
              </w:rPr>
            </w:pPr>
            <w:r>
              <w:rPr>
                <w:lang w:val="en-US"/>
              </w:rPr>
              <w:t>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59.29</w:t>
            </w:r>
          </w:p>
        </w:tc>
        <w:tc>
          <w:tcPr>
            <w:tcW w:w="2268" w:type="dxa"/>
          </w:tcPr>
          <w:p>
            <w:pPr>
              <w:spacing w:line="360" w:lineRule="exact"/>
              <w:jc w:val="center"/>
              <w:rPr>
                <w:lang w:val="en-US"/>
              </w:rPr>
            </w:pPr>
            <w:r>
              <w:rPr>
                <w:lang w:val="en-US"/>
              </w:rPr>
              <w:t>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58.87</w:t>
            </w:r>
          </w:p>
        </w:tc>
        <w:tc>
          <w:tcPr>
            <w:tcW w:w="2268" w:type="dxa"/>
            <w:shd w:val="clear" w:color="auto" w:fill="F2F2F2"/>
          </w:tcPr>
          <w:p>
            <w:pPr>
              <w:spacing w:line="360" w:lineRule="exact"/>
              <w:jc w:val="center"/>
              <w:rPr>
                <w:lang w:val="en-US"/>
              </w:rPr>
            </w:pPr>
            <w:r>
              <w:rPr>
                <w:lang w:val="en-US"/>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58.46</w:t>
            </w:r>
          </w:p>
        </w:tc>
        <w:tc>
          <w:tcPr>
            <w:tcW w:w="2268" w:type="dxa"/>
          </w:tcPr>
          <w:p>
            <w:pPr>
              <w:spacing w:line="360" w:lineRule="exact"/>
              <w:jc w:val="center"/>
              <w:rPr>
                <w:lang w:val="en-US"/>
              </w:rPr>
            </w:pPr>
            <w:r>
              <w:rPr>
                <w:lang w:val="en-US"/>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1595MWh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23597.1h</w:t>
            </w:r>
          </w:p>
        </w:tc>
      </w:tr>
      <w:bookmarkEnd w:id="79"/>
    </w:tbl>
    <w:p>
      <w:pPr>
        <w:rPr>
          <w:rFonts w:ascii="黑体" w:hAnsi="黑体" w:eastAsia="黑体" w:cs="宋体"/>
          <w:bCs/>
          <w:color w:val="000000"/>
          <w:szCs w:val="18"/>
          <w:lang w:val="en-US"/>
        </w:rPr>
      </w:pPr>
    </w:p>
    <w:p>
      <w:pPr>
        <w:jc w:val="center"/>
        <w:rPr>
          <w:lang w:val="en-US"/>
        </w:rPr>
      </w:pPr>
      <w:bookmarkStart w:id="80" w:name="系统年发电量图"/>
      <w:bookmarkEnd w:id="80"/>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全周期年发电量</w:t>
      </w:r>
    </w:p>
    <w:p>
      <w:pPr>
        <w:pStyle w:val="2"/>
      </w:pPr>
      <w:bookmarkStart w:id="81" w:name="_Toc21792"/>
      <w:r>
        <w:rPr>
          <w:rFonts w:hint="eastAsia"/>
        </w:rPr>
        <w:t>经济效益分析</w:t>
      </w:r>
      <w:bookmarkEnd w:id="81"/>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ascii="黑体" w:hAnsi="黑体" w:cs="宋体"/>
          <w:bCs/>
          <w:color w:val="000000"/>
          <w:szCs w:val="18"/>
          <w:lang w:val="en-US"/>
        </w:rPr>
        <w:t>经济效益分析表</w:t>
      </w:r>
    </w:p>
    <w:tbl>
      <w:tblPr>
        <w:tblStyle w:val="7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1560"/>
        <w:gridCol w:w="2835"/>
        <w:gridCol w:w="179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trHeight w:val="311" w:hRule="atLeast"/>
        </w:trPr>
        <w:tc>
          <w:tcPr>
            <w:tcW w:w="4395" w:type="dxa"/>
            <w:gridSpan w:val="2"/>
            <w:tcBorders>
              <w:top w:val="single" w:color="ED7D31" w:themeColor="accent2" w:sz="4" w:space="0"/>
              <w:bottom w:val="single" w:color="ED7D31" w:themeColor="accent2" w:sz="4" w:space="0"/>
              <w:right w:val="single" w:color="ED7D31" w:themeColor="accent2"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colFirst="0" w:colLast="3"/>
            <w:r>
              <w:rPr>
                <w:rFonts w:hint="eastAsia"/>
                <w:b/>
                <w:bCs/>
                <w:color w:val="FFFFFF" w:themeColor="background1"/>
                <w:sz w:val="24"/>
                <w:lang w:val="en-US"/>
                <w14:textFill>
                  <w14:solidFill>
                    <w14:schemeClr w14:val="bg1"/>
                  </w14:solidFill>
                </w14:textFill>
              </w:rPr>
              <w:t>成本</w:t>
            </w:r>
          </w:p>
        </w:tc>
        <w:tc>
          <w:tcPr>
            <w:tcW w:w="4633" w:type="dxa"/>
            <w:gridSpan w:val="2"/>
            <w:tcBorders>
              <w:top w:val="single" w:color="ED7D31" w:themeColor="accent2" w:sz="4" w:space="0"/>
              <w:left w:val="single" w:color="ED7D31" w:themeColor="accent2" w:sz="4" w:space="0"/>
              <w:bottom w:val="single" w:color="7E7E7E" w:themeColor="text1" w:themeTint="80" w:sz="4" w:space="0"/>
              <w:insideH w:val="single"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r>
              <w:rPr>
                <w:rFonts w:hint="eastAsia"/>
                <w:b/>
                <w:bCs/>
                <w:color w:val="FFFFFF" w:themeColor="background1"/>
                <w:sz w:val="24"/>
                <w:lang w:val="en-US"/>
                <w14:textFill>
                  <w14:solidFill>
                    <w14:schemeClr w14:val="bg1"/>
                  </w14:solidFill>
                </w14:textFill>
              </w:rPr>
              <w:t>收益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总装机量（kW）</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67.6</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首年发电量（MWh）</w:t>
            </w:r>
          </w:p>
        </w:tc>
        <w:tc>
          <w:tcPr>
            <w:tcW w:w="1798" w:type="dxa"/>
            <w:tcBorders>
              <w:top w:val="single" w:color="7E7E7E" w:themeColor="text1" w:themeTint="80" w:sz="4" w:space="0"/>
              <w:bottom w:val="single" w:color="ED7D31" w:themeColor="accent2" w:sz="4" w:space="0"/>
            </w:tcBorders>
          </w:tcPr>
          <w:p>
            <w:pPr>
              <w:rPr>
                <w:lang w:val="en-US"/>
              </w:rPr>
            </w:pPr>
            <w:r>
              <w:rPr>
                <w:rFonts w:hint="eastAsia"/>
                <w:lang w:val="en-US"/>
              </w:rPr>
              <w:t>72.33</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每瓦成本（元）</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5</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25年发电量（MWh）</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1595.2</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组件占总投资比例(%)</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40</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电价（元/度）</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835" w:type="dxa"/>
            <w:tcBorders>
              <w:top w:val="single" w:color="ED7D31" w:themeColor="accent2" w:sz="4" w:space="0"/>
              <w:bottom w:val="single" w:color="ED7D31" w:themeColor="accent2" w:sz="4" w:space="0"/>
            </w:tcBorders>
          </w:tcPr>
          <w:p>
            <w:pPr>
              <w:rPr>
                <w:b/>
                <w:bCs/>
                <w:lang w:val="en-US"/>
              </w:rPr>
            </w:pPr>
            <w:r>
              <w:rPr>
                <w:rFonts w:hint="eastAsia"/>
                <w:b/>
                <w:bCs/>
                <w:lang w:val="en-US"/>
              </w:rPr>
              <w:t>总投资（万元）</w:t>
            </w:r>
          </w:p>
        </w:tc>
        <w:tc>
          <w:tcPr>
            <w:tcW w:w="1560" w:type="dxa"/>
            <w:tcBorders>
              <w:top w:val="single" w:color="ED7D31" w:themeColor="accent2" w:sz="4" w:space="0"/>
              <w:bottom w:val="single" w:color="ED7D31" w:themeColor="accent2" w:sz="4" w:space="0"/>
              <w:right w:val="single" w:color="ED7D31" w:themeColor="accent2" w:sz="4" w:space="0"/>
            </w:tcBorders>
          </w:tcPr>
          <w:p>
            <w:pPr>
              <w:rPr>
                <w:b/>
                <w:lang w:val="en-US"/>
              </w:rPr>
            </w:pPr>
            <w:r>
              <w:rPr>
                <w:rFonts w:hint="eastAsia"/>
                <w:b/>
                <w:lang w:val="en-US"/>
              </w:rPr>
              <w:t>84.5</w:t>
            </w:r>
          </w:p>
        </w:tc>
        <w:tc>
          <w:tcPr>
            <w:tcW w:w="2835" w:type="dxa"/>
            <w:tcBorders>
              <w:top w:val="single" w:color="ED7D31" w:themeColor="accent2" w:sz="4" w:space="0"/>
              <w:left w:val="single" w:color="ED7D31" w:themeColor="accent2" w:sz="4" w:space="0"/>
              <w:bottom w:val="single" w:color="ED7D31" w:themeColor="accent2" w:sz="4" w:space="0"/>
            </w:tcBorders>
          </w:tcPr>
          <w:p>
            <w:pPr>
              <w:rPr>
                <w:b/>
                <w:lang w:val="en-US"/>
              </w:rPr>
            </w:pPr>
            <w:r>
              <w:rPr>
                <w:rFonts w:hint="eastAsia"/>
                <w:b/>
                <w:lang w:val="en-US"/>
              </w:rPr>
              <w:t>总收益（万元）</w:t>
            </w:r>
          </w:p>
        </w:tc>
        <w:tc>
          <w:tcPr>
            <w:tcW w:w="1798" w:type="dxa"/>
            <w:tcBorders>
              <w:top w:val="single" w:color="ED7D31" w:themeColor="accent2" w:sz="4" w:space="0"/>
              <w:bottom w:val="single" w:color="ED7D31" w:themeColor="accent2" w:sz="4" w:space="0"/>
            </w:tcBorders>
          </w:tcPr>
          <w:p>
            <w:pPr>
              <w:rPr>
                <w:b/>
                <w:lang w:val="en-US"/>
              </w:rPr>
            </w:pPr>
            <w:r>
              <w:rPr>
                <w:rFonts w:hint="eastAsia"/>
                <w:b/>
                <w:lang w:val="en-US"/>
              </w:rPr>
              <w:t>159.52</w:t>
            </w:r>
          </w:p>
        </w:tc>
      </w:tr>
      <w:bookmarkEnd w:id="82"/>
    </w:tbl>
    <w:p>
      <w:pPr>
        <w:pStyle w:val="15"/>
        <w:spacing w:before="240"/>
        <w:rPr>
          <w:lang w:val="en-US"/>
        </w:rPr>
      </w:pPr>
      <w:r>
        <w:t xml:space="preserve">表 </w:t>
      </w:r>
      <w:r>
        <w:fldChar w:fldCharType="begin"/>
      </w:r>
      <w:r>
        <w:instrText xml:space="preserve"> SEQ 表 \* ARABIC </w:instrText>
      </w:r>
      <w:r>
        <w:fldChar w:fldCharType="separate"/>
      </w:r>
      <w:r>
        <w:t>11</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b/>
                <w:bCs/>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-84.5</w:t>
            </w:r>
          </w:p>
        </w:tc>
        <w:tc>
          <w:tcPr>
            <w:tcW w:w="1512" w:type="dxa"/>
          </w:tcPr>
          <w:p>
            <w:pPr>
              <w:spacing w:line="360" w:lineRule="exact"/>
              <w:jc w:val="center"/>
              <w:rPr>
                <w:lang w:val="en-US"/>
              </w:rPr>
            </w:pP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5</w:t>
            </w:r>
          </w:p>
        </w:tc>
        <w:tc>
          <w:tcPr>
            <w:tcW w:w="1512" w:type="dxa"/>
            <w:shd w:val="clear" w:color="auto" w:fill="F2F2F2"/>
          </w:tcPr>
          <w:p>
            <w:pPr>
              <w:spacing w:line="360" w:lineRule="exact"/>
              <w:jc w:val="center"/>
              <w:rPr>
                <w:lang w:val="en-US"/>
              </w:rPr>
            </w:pPr>
            <w:r>
              <w:rPr>
                <w:rFonts w:hint="eastAsia"/>
                <w:lang w:val="en-US"/>
              </w:rPr>
              <w:t>72.33</w:t>
            </w:r>
          </w:p>
        </w:tc>
        <w:tc>
          <w:tcPr>
            <w:tcW w:w="1512" w:type="dxa"/>
            <w:shd w:val="clear" w:color="auto" w:fill="F2F2F2"/>
          </w:tcPr>
          <w:p>
            <w:pPr>
              <w:spacing w:line="360" w:lineRule="exact"/>
              <w:jc w:val="center"/>
              <w:rPr>
                <w:lang w:val="en-US"/>
              </w:rPr>
            </w:pPr>
            <w:r>
              <w:rPr>
                <w:rFonts w:hint="eastAsia"/>
                <w:lang w:val="en-US"/>
              </w:rPr>
              <w:t>72325</w:t>
            </w:r>
          </w:p>
        </w:tc>
        <w:tc>
          <w:tcPr>
            <w:tcW w:w="1512" w:type="dxa"/>
            <w:shd w:val="clear" w:color="auto" w:fill="F2F2F2"/>
          </w:tcPr>
          <w:p>
            <w:pPr>
              <w:spacing w:line="360" w:lineRule="exact"/>
              <w:jc w:val="center"/>
              <w:rPr>
                <w:lang w:val="en-US"/>
              </w:rPr>
            </w:pPr>
            <w:r>
              <w:rPr>
                <w:rFonts w:hint="eastAsia"/>
                <w:lang w:val="en-US"/>
              </w:rPr>
              <w:t>-77.27</w:t>
            </w:r>
          </w:p>
        </w:tc>
        <w:tc>
          <w:tcPr>
            <w:tcW w:w="1512" w:type="dxa"/>
            <w:shd w:val="clear" w:color="auto" w:fill="F2F2F2"/>
          </w:tcPr>
          <w:p>
            <w:pPr>
              <w:spacing w:line="360" w:lineRule="exact"/>
              <w:jc w:val="center"/>
              <w:rPr>
                <w:lang w:val="en-US"/>
              </w:rPr>
            </w:pPr>
            <w:r>
              <w:rPr>
                <w:rFonts w:hint="eastAsia"/>
                <w:lang w:val="en-US"/>
              </w:rPr>
              <w:t>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68.71</w:t>
            </w:r>
          </w:p>
        </w:tc>
        <w:tc>
          <w:tcPr>
            <w:tcW w:w="1512" w:type="dxa"/>
          </w:tcPr>
          <w:p>
            <w:pPr>
              <w:spacing w:line="360" w:lineRule="exact"/>
              <w:jc w:val="center"/>
              <w:rPr>
                <w:lang w:val="en-US"/>
              </w:rPr>
            </w:pPr>
            <w:r>
              <w:rPr>
                <w:rFonts w:hint="eastAsia"/>
                <w:lang w:val="en-US"/>
              </w:rPr>
              <w:t>68709</w:t>
            </w:r>
          </w:p>
        </w:tc>
        <w:tc>
          <w:tcPr>
            <w:tcW w:w="1512" w:type="dxa"/>
          </w:tcPr>
          <w:p>
            <w:pPr>
              <w:spacing w:line="360" w:lineRule="exact"/>
              <w:jc w:val="center"/>
              <w:rPr>
                <w:lang w:val="en-US"/>
              </w:rPr>
            </w:pPr>
            <w:r>
              <w:rPr>
                <w:rFonts w:hint="eastAsia"/>
                <w:lang w:val="en-US"/>
              </w:rPr>
              <w:t>-70.4</w:t>
            </w:r>
          </w:p>
        </w:tc>
        <w:tc>
          <w:tcPr>
            <w:tcW w:w="1512" w:type="dxa"/>
          </w:tcPr>
          <w:p>
            <w:pPr>
              <w:spacing w:line="360" w:lineRule="exact"/>
              <w:jc w:val="center"/>
              <w:rPr>
                <w:lang w:val="en-US"/>
              </w:rPr>
            </w:pPr>
            <w:r>
              <w:rPr>
                <w:rFonts w:hint="eastAsia"/>
                <w:lang w:val="en-US"/>
              </w:rPr>
              <w:t>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68.23</w:t>
            </w:r>
          </w:p>
        </w:tc>
        <w:tc>
          <w:tcPr>
            <w:tcW w:w="1512" w:type="dxa"/>
            <w:shd w:val="clear" w:color="auto" w:fill="F2F2F2"/>
          </w:tcPr>
          <w:p>
            <w:pPr>
              <w:spacing w:line="360" w:lineRule="exact"/>
              <w:jc w:val="center"/>
              <w:rPr>
                <w:lang w:val="en-US"/>
              </w:rPr>
            </w:pPr>
            <w:r>
              <w:rPr>
                <w:rFonts w:hint="eastAsia"/>
                <w:lang w:val="en-US"/>
              </w:rPr>
              <w:t>68228</w:t>
            </w:r>
          </w:p>
        </w:tc>
        <w:tc>
          <w:tcPr>
            <w:tcW w:w="1512" w:type="dxa"/>
            <w:shd w:val="clear" w:color="auto" w:fill="F2F2F2"/>
          </w:tcPr>
          <w:p>
            <w:pPr>
              <w:spacing w:line="360" w:lineRule="exact"/>
              <w:jc w:val="center"/>
              <w:rPr>
                <w:lang w:val="en-US"/>
              </w:rPr>
            </w:pPr>
            <w:r>
              <w:rPr>
                <w:rFonts w:hint="eastAsia"/>
                <w:lang w:val="en-US"/>
              </w:rPr>
              <w:t>-63.58</w:t>
            </w:r>
          </w:p>
        </w:tc>
        <w:tc>
          <w:tcPr>
            <w:tcW w:w="1512" w:type="dxa"/>
            <w:shd w:val="clear" w:color="auto" w:fill="F2F2F2"/>
          </w:tcPr>
          <w:p>
            <w:pPr>
              <w:spacing w:line="360" w:lineRule="exact"/>
              <w:jc w:val="center"/>
              <w:rPr>
                <w:lang w:val="en-US"/>
              </w:rPr>
            </w:pPr>
            <w:r>
              <w:rPr>
                <w:rFonts w:hint="eastAsia"/>
                <w:lang w:val="en-US"/>
              </w:rPr>
              <w:t>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67.75</w:t>
            </w:r>
          </w:p>
        </w:tc>
        <w:tc>
          <w:tcPr>
            <w:tcW w:w="1512" w:type="dxa"/>
          </w:tcPr>
          <w:p>
            <w:pPr>
              <w:spacing w:line="360" w:lineRule="exact"/>
              <w:jc w:val="center"/>
              <w:rPr>
                <w:lang w:val="en-US"/>
              </w:rPr>
            </w:pPr>
            <w:r>
              <w:rPr>
                <w:rFonts w:hint="eastAsia"/>
                <w:lang w:val="en-US"/>
              </w:rPr>
              <w:t>67750</w:t>
            </w:r>
          </w:p>
        </w:tc>
        <w:tc>
          <w:tcPr>
            <w:tcW w:w="1512" w:type="dxa"/>
          </w:tcPr>
          <w:p>
            <w:pPr>
              <w:spacing w:line="360" w:lineRule="exact"/>
              <w:jc w:val="center"/>
              <w:rPr>
                <w:lang w:val="en-US"/>
              </w:rPr>
            </w:pPr>
            <w:r>
              <w:rPr>
                <w:rFonts w:hint="eastAsia"/>
                <w:lang w:val="en-US"/>
              </w:rPr>
              <w:t>-56.8</w:t>
            </w:r>
          </w:p>
        </w:tc>
        <w:tc>
          <w:tcPr>
            <w:tcW w:w="1512" w:type="dxa"/>
          </w:tcPr>
          <w:p>
            <w:pPr>
              <w:spacing w:line="360" w:lineRule="exact"/>
              <w:jc w:val="center"/>
              <w:rPr>
                <w:lang w:val="en-US"/>
              </w:rPr>
            </w:pPr>
            <w:r>
              <w:rPr>
                <w:rFonts w:hint="eastAsia"/>
                <w:lang w:val="en-US"/>
              </w:rPr>
              <w:t>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67.28</w:t>
            </w:r>
          </w:p>
        </w:tc>
        <w:tc>
          <w:tcPr>
            <w:tcW w:w="1512" w:type="dxa"/>
            <w:shd w:val="clear" w:color="auto" w:fill="F2F2F2"/>
          </w:tcPr>
          <w:p>
            <w:pPr>
              <w:spacing w:line="360" w:lineRule="exact"/>
              <w:jc w:val="center"/>
              <w:rPr>
                <w:lang w:val="en-US"/>
              </w:rPr>
            </w:pPr>
            <w:r>
              <w:rPr>
                <w:rFonts w:hint="eastAsia"/>
                <w:lang w:val="en-US"/>
              </w:rPr>
              <w:t>67276</w:t>
            </w:r>
          </w:p>
        </w:tc>
        <w:tc>
          <w:tcPr>
            <w:tcW w:w="1512" w:type="dxa"/>
            <w:shd w:val="clear" w:color="auto" w:fill="F2F2F2"/>
          </w:tcPr>
          <w:p>
            <w:pPr>
              <w:spacing w:line="360" w:lineRule="exact"/>
              <w:jc w:val="center"/>
              <w:rPr>
                <w:lang w:val="en-US"/>
              </w:rPr>
            </w:pPr>
            <w:r>
              <w:rPr>
                <w:rFonts w:hint="eastAsia"/>
                <w:lang w:val="en-US"/>
              </w:rPr>
              <w:t>-50.07</w:t>
            </w:r>
          </w:p>
        </w:tc>
        <w:tc>
          <w:tcPr>
            <w:tcW w:w="1512" w:type="dxa"/>
            <w:shd w:val="clear" w:color="auto" w:fill="F2F2F2"/>
          </w:tcPr>
          <w:p>
            <w:pPr>
              <w:spacing w:line="360" w:lineRule="exact"/>
              <w:jc w:val="center"/>
              <w:rPr>
                <w:lang w:val="en-US"/>
              </w:rPr>
            </w:pPr>
            <w:r>
              <w:rPr>
                <w:rFonts w:hint="eastAsia"/>
                <w:lang w:val="en-US"/>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66.81</w:t>
            </w:r>
          </w:p>
        </w:tc>
        <w:tc>
          <w:tcPr>
            <w:tcW w:w="1512" w:type="dxa"/>
          </w:tcPr>
          <w:p>
            <w:pPr>
              <w:spacing w:line="360" w:lineRule="exact"/>
              <w:jc w:val="center"/>
              <w:rPr>
                <w:lang w:val="en-US"/>
              </w:rPr>
            </w:pPr>
            <w:r>
              <w:rPr>
                <w:rFonts w:hint="eastAsia"/>
                <w:lang w:val="en-US"/>
              </w:rPr>
              <w:t>66805</w:t>
            </w:r>
          </w:p>
        </w:tc>
        <w:tc>
          <w:tcPr>
            <w:tcW w:w="1512" w:type="dxa"/>
          </w:tcPr>
          <w:p>
            <w:pPr>
              <w:spacing w:line="360" w:lineRule="exact"/>
              <w:jc w:val="center"/>
              <w:rPr>
                <w:lang w:val="en-US"/>
              </w:rPr>
            </w:pPr>
            <w:r>
              <w:rPr>
                <w:rFonts w:hint="eastAsia"/>
                <w:lang w:val="en-US"/>
              </w:rPr>
              <w:t>-43.39</w:t>
            </w:r>
          </w:p>
        </w:tc>
        <w:tc>
          <w:tcPr>
            <w:tcW w:w="1512" w:type="dxa"/>
          </w:tcPr>
          <w:p>
            <w:pPr>
              <w:spacing w:line="360" w:lineRule="exact"/>
              <w:jc w:val="center"/>
              <w:rPr>
                <w:lang w:val="en-US"/>
              </w:rPr>
            </w:pPr>
            <w:r>
              <w:rPr>
                <w:rFonts w:hint="eastAsia"/>
                <w:lang w:val="en-US"/>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66.34</w:t>
            </w:r>
          </w:p>
        </w:tc>
        <w:tc>
          <w:tcPr>
            <w:tcW w:w="1512" w:type="dxa"/>
            <w:shd w:val="clear" w:color="auto" w:fill="F2F2F2"/>
          </w:tcPr>
          <w:p>
            <w:pPr>
              <w:spacing w:line="360" w:lineRule="exact"/>
              <w:jc w:val="center"/>
              <w:rPr>
                <w:lang w:val="en-US"/>
              </w:rPr>
            </w:pPr>
            <w:r>
              <w:rPr>
                <w:rFonts w:hint="eastAsia"/>
                <w:lang w:val="en-US"/>
              </w:rPr>
              <w:t>66337</w:t>
            </w:r>
          </w:p>
        </w:tc>
        <w:tc>
          <w:tcPr>
            <w:tcW w:w="1512" w:type="dxa"/>
            <w:shd w:val="clear" w:color="auto" w:fill="F2F2F2"/>
          </w:tcPr>
          <w:p>
            <w:pPr>
              <w:spacing w:line="360" w:lineRule="exact"/>
              <w:jc w:val="center"/>
              <w:rPr>
                <w:lang w:val="en-US"/>
              </w:rPr>
            </w:pPr>
            <w:r>
              <w:rPr>
                <w:rFonts w:hint="eastAsia"/>
                <w:lang w:val="en-US"/>
              </w:rPr>
              <w:t>-36.76</w:t>
            </w:r>
          </w:p>
        </w:tc>
        <w:tc>
          <w:tcPr>
            <w:tcW w:w="1512" w:type="dxa"/>
            <w:shd w:val="clear" w:color="auto" w:fill="F2F2F2"/>
          </w:tcPr>
          <w:p>
            <w:pPr>
              <w:spacing w:line="360" w:lineRule="exact"/>
              <w:jc w:val="center"/>
              <w:rPr>
                <w:lang w:val="en-US"/>
              </w:rPr>
            </w:pPr>
            <w:r>
              <w:rPr>
                <w:rFonts w:hint="eastAsia"/>
                <w:lang w:val="en-US"/>
              </w:rPr>
              <w:t>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65.87</w:t>
            </w:r>
          </w:p>
        </w:tc>
        <w:tc>
          <w:tcPr>
            <w:tcW w:w="1512" w:type="dxa"/>
          </w:tcPr>
          <w:p>
            <w:pPr>
              <w:spacing w:line="360" w:lineRule="exact"/>
              <w:jc w:val="center"/>
              <w:rPr>
                <w:lang w:val="en-US"/>
              </w:rPr>
            </w:pPr>
            <w:r>
              <w:rPr>
                <w:rFonts w:hint="eastAsia"/>
                <w:lang w:val="en-US"/>
              </w:rPr>
              <w:t>65873</w:t>
            </w:r>
          </w:p>
        </w:tc>
        <w:tc>
          <w:tcPr>
            <w:tcW w:w="1512" w:type="dxa"/>
          </w:tcPr>
          <w:p>
            <w:pPr>
              <w:spacing w:line="360" w:lineRule="exact"/>
              <w:jc w:val="center"/>
              <w:rPr>
                <w:lang w:val="en-US"/>
              </w:rPr>
            </w:pPr>
            <w:r>
              <w:rPr>
                <w:rFonts w:hint="eastAsia"/>
                <w:lang w:val="en-US"/>
              </w:rPr>
              <w:t>-30.17</w:t>
            </w:r>
          </w:p>
        </w:tc>
        <w:tc>
          <w:tcPr>
            <w:tcW w:w="1512" w:type="dxa"/>
          </w:tcPr>
          <w:p>
            <w:pPr>
              <w:spacing w:line="360" w:lineRule="exact"/>
              <w:jc w:val="center"/>
              <w:rPr>
                <w:lang w:val="en-US"/>
              </w:rPr>
            </w:pPr>
            <w:r>
              <w:rPr>
                <w:rFonts w:hint="eastAsia"/>
                <w:lang w:val="en-US"/>
              </w:rPr>
              <w:t>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65.41</w:t>
            </w:r>
          </w:p>
        </w:tc>
        <w:tc>
          <w:tcPr>
            <w:tcW w:w="1512" w:type="dxa"/>
            <w:shd w:val="clear" w:color="auto" w:fill="F2F2F2"/>
          </w:tcPr>
          <w:p>
            <w:pPr>
              <w:spacing w:line="360" w:lineRule="exact"/>
              <w:jc w:val="center"/>
              <w:rPr>
                <w:lang w:val="en-US"/>
              </w:rPr>
            </w:pPr>
            <w:r>
              <w:rPr>
                <w:rFonts w:hint="eastAsia"/>
                <w:lang w:val="en-US"/>
              </w:rPr>
              <w:t>65412</w:t>
            </w:r>
          </w:p>
        </w:tc>
        <w:tc>
          <w:tcPr>
            <w:tcW w:w="1512" w:type="dxa"/>
            <w:shd w:val="clear" w:color="auto" w:fill="F2F2F2"/>
          </w:tcPr>
          <w:p>
            <w:pPr>
              <w:spacing w:line="360" w:lineRule="exact"/>
              <w:jc w:val="center"/>
              <w:rPr>
                <w:lang w:val="en-US"/>
              </w:rPr>
            </w:pPr>
            <w:r>
              <w:rPr>
                <w:rFonts w:hint="eastAsia"/>
                <w:lang w:val="en-US"/>
              </w:rPr>
              <w:t>-23.63</w:t>
            </w:r>
          </w:p>
        </w:tc>
        <w:tc>
          <w:tcPr>
            <w:tcW w:w="1512" w:type="dxa"/>
            <w:shd w:val="clear" w:color="auto" w:fill="F2F2F2"/>
          </w:tcPr>
          <w:p>
            <w:pPr>
              <w:spacing w:line="360" w:lineRule="exact"/>
              <w:jc w:val="center"/>
              <w:rPr>
                <w:lang w:val="en-US"/>
              </w:rPr>
            </w:pPr>
            <w:r>
              <w:rPr>
                <w:rFonts w:hint="eastAsia"/>
                <w:lang w:val="en-US"/>
              </w:rPr>
              <w:t>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64.95</w:t>
            </w:r>
          </w:p>
        </w:tc>
        <w:tc>
          <w:tcPr>
            <w:tcW w:w="1512" w:type="dxa"/>
          </w:tcPr>
          <w:p>
            <w:pPr>
              <w:spacing w:line="360" w:lineRule="exact"/>
              <w:jc w:val="center"/>
              <w:rPr>
                <w:lang w:val="en-US"/>
              </w:rPr>
            </w:pPr>
            <w:r>
              <w:rPr>
                <w:rFonts w:hint="eastAsia"/>
                <w:lang w:val="en-US"/>
              </w:rPr>
              <w:t>64954</w:t>
            </w:r>
          </w:p>
        </w:tc>
        <w:tc>
          <w:tcPr>
            <w:tcW w:w="1512" w:type="dxa"/>
          </w:tcPr>
          <w:p>
            <w:pPr>
              <w:spacing w:line="360" w:lineRule="exact"/>
              <w:jc w:val="center"/>
              <w:rPr>
                <w:lang w:val="en-US"/>
              </w:rPr>
            </w:pPr>
            <w:r>
              <w:rPr>
                <w:rFonts w:hint="eastAsia"/>
                <w:lang w:val="en-US"/>
              </w:rPr>
              <w:t>-17.13</w:t>
            </w:r>
          </w:p>
        </w:tc>
        <w:tc>
          <w:tcPr>
            <w:tcW w:w="1512" w:type="dxa"/>
          </w:tcPr>
          <w:p>
            <w:pPr>
              <w:spacing w:line="360" w:lineRule="exact"/>
              <w:jc w:val="center"/>
              <w:rPr>
                <w:lang w:val="en-US"/>
              </w:rPr>
            </w:pPr>
            <w:r>
              <w:rPr>
                <w:rFonts w:hint="eastAsia"/>
                <w:lang w:val="en-US"/>
              </w:rPr>
              <w:t>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64.50</w:t>
            </w:r>
          </w:p>
        </w:tc>
        <w:tc>
          <w:tcPr>
            <w:tcW w:w="1512" w:type="dxa"/>
            <w:shd w:val="clear" w:color="auto" w:fill="F2F2F2"/>
          </w:tcPr>
          <w:p>
            <w:pPr>
              <w:spacing w:line="360" w:lineRule="exact"/>
              <w:jc w:val="center"/>
              <w:rPr>
                <w:lang w:val="en-US"/>
              </w:rPr>
            </w:pPr>
            <w:r>
              <w:rPr>
                <w:rFonts w:hint="eastAsia"/>
                <w:lang w:val="en-US"/>
              </w:rPr>
              <w:t>64499</w:t>
            </w:r>
          </w:p>
        </w:tc>
        <w:tc>
          <w:tcPr>
            <w:tcW w:w="1512" w:type="dxa"/>
            <w:shd w:val="clear" w:color="auto" w:fill="F2F2F2"/>
          </w:tcPr>
          <w:p>
            <w:pPr>
              <w:spacing w:line="360" w:lineRule="exact"/>
              <w:jc w:val="center"/>
              <w:rPr>
                <w:lang w:val="en-US"/>
              </w:rPr>
            </w:pPr>
            <w:r>
              <w:rPr>
                <w:rFonts w:hint="eastAsia"/>
                <w:lang w:val="en-US"/>
              </w:rPr>
              <w:t>-10.68</w:t>
            </w:r>
          </w:p>
        </w:tc>
        <w:tc>
          <w:tcPr>
            <w:tcW w:w="1512" w:type="dxa"/>
            <w:shd w:val="clear" w:color="auto" w:fill="F2F2F2"/>
          </w:tcPr>
          <w:p>
            <w:pPr>
              <w:spacing w:line="360" w:lineRule="exact"/>
              <w:jc w:val="center"/>
              <w:rPr>
                <w:lang w:val="en-US"/>
              </w:rPr>
            </w:pPr>
            <w:r>
              <w:rPr>
                <w:rFonts w:hint="eastAsia"/>
                <w:lang w:val="en-US"/>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64.05</w:t>
            </w:r>
          </w:p>
        </w:tc>
        <w:tc>
          <w:tcPr>
            <w:tcW w:w="1512" w:type="dxa"/>
          </w:tcPr>
          <w:p>
            <w:pPr>
              <w:spacing w:line="360" w:lineRule="exact"/>
              <w:jc w:val="center"/>
              <w:rPr>
                <w:lang w:val="en-US"/>
              </w:rPr>
            </w:pPr>
            <w:r>
              <w:rPr>
                <w:rFonts w:hint="eastAsia"/>
                <w:lang w:val="en-US"/>
              </w:rPr>
              <w:t>64048</w:t>
            </w:r>
          </w:p>
        </w:tc>
        <w:tc>
          <w:tcPr>
            <w:tcW w:w="1512" w:type="dxa"/>
          </w:tcPr>
          <w:p>
            <w:pPr>
              <w:spacing w:line="360" w:lineRule="exact"/>
              <w:jc w:val="center"/>
              <w:rPr>
                <w:lang w:val="en-US"/>
              </w:rPr>
            </w:pPr>
            <w:r>
              <w:rPr>
                <w:rFonts w:hint="eastAsia"/>
                <w:lang w:val="en-US"/>
              </w:rPr>
              <w:t>-4.28</w:t>
            </w:r>
          </w:p>
        </w:tc>
        <w:tc>
          <w:tcPr>
            <w:tcW w:w="1512" w:type="dxa"/>
          </w:tcPr>
          <w:p>
            <w:pPr>
              <w:spacing w:line="360" w:lineRule="exact"/>
              <w:jc w:val="center"/>
              <w:rPr>
                <w:lang w:val="en-US"/>
              </w:rPr>
            </w:pPr>
            <w:r>
              <w:rPr>
                <w:rFonts w:hint="eastAsia"/>
                <w:lang w:val="en-US"/>
              </w:rPr>
              <w:t>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63.60</w:t>
            </w:r>
          </w:p>
        </w:tc>
        <w:tc>
          <w:tcPr>
            <w:tcW w:w="1512" w:type="dxa"/>
            <w:shd w:val="clear" w:color="auto" w:fill="F2F2F2"/>
          </w:tcPr>
          <w:p>
            <w:pPr>
              <w:spacing w:line="360" w:lineRule="exact"/>
              <w:jc w:val="center"/>
              <w:rPr>
                <w:lang w:val="en-US"/>
              </w:rPr>
            </w:pPr>
            <w:r>
              <w:rPr>
                <w:rFonts w:hint="eastAsia"/>
                <w:lang w:val="en-US"/>
              </w:rPr>
              <w:t>63600</w:t>
            </w:r>
          </w:p>
        </w:tc>
        <w:tc>
          <w:tcPr>
            <w:tcW w:w="1512" w:type="dxa"/>
            <w:shd w:val="clear" w:color="auto" w:fill="F2F2F2"/>
          </w:tcPr>
          <w:p>
            <w:pPr>
              <w:spacing w:line="360" w:lineRule="exact"/>
              <w:jc w:val="center"/>
              <w:rPr>
                <w:lang w:val="en-US"/>
              </w:rPr>
            </w:pPr>
            <w:r>
              <w:rPr>
                <w:rFonts w:hint="eastAsia"/>
                <w:lang w:val="en-US"/>
              </w:rPr>
              <w:t>2.08</w:t>
            </w:r>
          </w:p>
        </w:tc>
        <w:tc>
          <w:tcPr>
            <w:tcW w:w="1512" w:type="dxa"/>
            <w:shd w:val="clear" w:color="auto" w:fill="F2F2F2"/>
          </w:tcPr>
          <w:p>
            <w:pPr>
              <w:spacing w:line="360" w:lineRule="exact"/>
              <w:jc w:val="center"/>
              <w:rPr>
                <w:lang w:val="en-US"/>
              </w:rPr>
            </w:pPr>
            <w:r>
              <w:rPr>
                <w:rFonts w:hint="eastAsia"/>
                <w:lang w:val="en-US"/>
              </w:rPr>
              <w:t>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63.15</w:t>
            </w:r>
          </w:p>
        </w:tc>
        <w:tc>
          <w:tcPr>
            <w:tcW w:w="1512" w:type="dxa"/>
          </w:tcPr>
          <w:p>
            <w:pPr>
              <w:spacing w:line="360" w:lineRule="exact"/>
              <w:jc w:val="center"/>
              <w:rPr>
                <w:lang w:val="en-US"/>
              </w:rPr>
            </w:pPr>
            <w:r>
              <w:rPr>
                <w:rFonts w:hint="eastAsia"/>
                <w:lang w:val="en-US"/>
              </w:rPr>
              <w:t>63154</w:t>
            </w:r>
          </w:p>
        </w:tc>
        <w:tc>
          <w:tcPr>
            <w:tcW w:w="1512" w:type="dxa"/>
          </w:tcPr>
          <w:p>
            <w:pPr>
              <w:spacing w:line="360" w:lineRule="exact"/>
              <w:jc w:val="center"/>
              <w:rPr>
                <w:lang w:val="en-US"/>
              </w:rPr>
            </w:pPr>
            <w:r>
              <w:rPr>
                <w:rFonts w:hint="eastAsia"/>
                <w:lang w:val="en-US"/>
              </w:rPr>
              <w:t>8.4</w:t>
            </w:r>
          </w:p>
        </w:tc>
        <w:tc>
          <w:tcPr>
            <w:tcW w:w="1512" w:type="dxa"/>
          </w:tcPr>
          <w:p>
            <w:pPr>
              <w:spacing w:line="360" w:lineRule="exact"/>
              <w:jc w:val="center"/>
              <w:rPr>
                <w:lang w:val="en-US"/>
              </w:rPr>
            </w:pPr>
            <w:r>
              <w:rPr>
                <w:rFonts w:hint="eastAsia"/>
                <w:lang w:val="en-US"/>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62.71</w:t>
            </w:r>
          </w:p>
        </w:tc>
        <w:tc>
          <w:tcPr>
            <w:tcW w:w="1512" w:type="dxa"/>
            <w:shd w:val="clear" w:color="auto" w:fill="F2F2F2"/>
          </w:tcPr>
          <w:p>
            <w:pPr>
              <w:spacing w:line="360" w:lineRule="exact"/>
              <w:jc w:val="center"/>
              <w:rPr>
                <w:lang w:val="en-US"/>
              </w:rPr>
            </w:pPr>
            <w:r>
              <w:rPr>
                <w:rFonts w:hint="eastAsia"/>
                <w:lang w:val="en-US"/>
              </w:rPr>
              <w:t>62712</w:t>
            </w:r>
          </w:p>
        </w:tc>
        <w:tc>
          <w:tcPr>
            <w:tcW w:w="1512" w:type="dxa"/>
            <w:shd w:val="clear" w:color="auto" w:fill="F2F2F2"/>
          </w:tcPr>
          <w:p>
            <w:pPr>
              <w:spacing w:line="360" w:lineRule="exact"/>
              <w:jc w:val="center"/>
              <w:rPr>
                <w:lang w:val="en-US"/>
              </w:rPr>
            </w:pPr>
            <w:r>
              <w:rPr>
                <w:rFonts w:hint="eastAsia"/>
                <w:lang w:val="en-US"/>
              </w:rPr>
              <w:t>14.67</w:t>
            </w:r>
          </w:p>
        </w:tc>
        <w:tc>
          <w:tcPr>
            <w:tcW w:w="1512" w:type="dxa"/>
            <w:shd w:val="clear" w:color="auto" w:fill="F2F2F2"/>
          </w:tcPr>
          <w:p>
            <w:pPr>
              <w:spacing w:line="360" w:lineRule="exact"/>
              <w:jc w:val="center"/>
              <w:rPr>
                <w:lang w:val="en-US"/>
              </w:rPr>
            </w:pPr>
            <w:r>
              <w:rPr>
                <w:rFonts w:hint="eastAsia"/>
                <w:lang w:val="en-US"/>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62.27</w:t>
            </w:r>
          </w:p>
        </w:tc>
        <w:tc>
          <w:tcPr>
            <w:tcW w:w="1512" w:type="dxa"/>
          </w:tcPr>
          <w:p>
            <w:pPr>
              <w:spacing w:line="360" w:lineRule="exact"/>
              <w:jc w:val="center"/>
              <w:rPr>
                <w:lang w:val="en-US"/>
              </w:rPr>
            </w:pPr>
            <w:r>
              <w:rPr>
                <w:rFonts w:hint="eastAsia"/>
                <w:lang w:val="en-US"/>
              </w:rPr>
              <w:t>62273</w:t>
            </w:r>
          </w:p>
        </w:tc>
        <w:tc>
          <w:tcPr>
            <w:tcW w:w="1512" w:type="dxa"/>
          </w:tcPr>
          <w:p>
            <w:pPr>
              <w:spacing w:line="360" w:lineRule="exact"/>
              <w:jc w:val="center"/>
              <w:rPr>
                <w:lang w:val="en-US"/>
              </w:rPr>
            </w:pPr>
            <w:r>
              <w:rPr>
                <w:rFonts w:hint="eastAsia"/>
                <w:lang w:val="en-US"/>
              </w:rPr>
              <w:t>20.9</w:t>
            </w:r>
          </w:p>
        </w:tc>
        <w:tc>
          <w:tcPr>
            <w:tcW w:w="1512" w:type="dxa"/>
          </w:tcPr>
          <w:p>
            <w:pPr>
              <w:spacing w:line="360" w:lineRule="exact"/>
              <w:jc w:val="center"/>
              <w:rPr>
                <w:lang w:val="en-US"/>
              </w:rPr>
            </w:pPr>
            <w:r>
              <w:rPr>
                <w:rFonts w:hint="eastAsia"/>
                <w:lang w:val="en-US"/>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61.84</w:t>
            </w:r>
          </w:p>
        </w:tc>
        <w:tc>
          <w:tcPr>
            <w:tcW w:w="1512" w:type="dxa"/>
            <w:shd w:val="clear" w:color="auto" w:fill="F2F2F2"/>
          </w:tcPr>
          <w:p>
            <w:pPr>
              <w:spacing w:line="360" w:lineRule="exact"/>
              <w:jc w:val="center"/>
              <w:rPr>
                <w:lang w:val="en-US"/>
              </w:rPr>
            </w:pPr>
            <w:r>
              <w:rPr>
                <w:rFonts w:hint="eastAsia"/>
                <w:lang w:val="en-US"/>
              </w:rPr>
              <w:t>61837</w:t>
            </w:r>
          </w:p>
        </w:tc>
        <w:tc>
          <w:tcPr>
            <w:tcW w:w="1512" w:type="dxa"/>
            <w:shd w:val="clear" w:color="auto" w:fill="F2F2F2"/>
          </w:tcPr>
          <w:p>
            <w:pPr>
              <w:spacing w:line="360" w:lineRule="exact"/>
              <w:jc w:val="center"/>
              <w:rPr>
                <w:lang w:val="en-US"/>
              </w:rPr>
            </w:pPr>
            <w:r>
              <w:rPr>
                <w:rFonts w:hint="eastAsia"/>
                <w:lang w:val="en-US"/>
              </w:rPr>
              <w:t>27.08</w:t>
            </w:r>
          </w:p>
        </w:tc>
        <w:tc>
          <w:tcPr>
            <w:tcW w:w="1512" w:type="dxa"/>
            <w:shd w:val="clear" w:color="auto" w:fill="F2F2F2"/>
          </w:tcPr>
          <w:p>
            <w:pPr>
              <w:spacing w:line="360" w:lineRule="exact"/>
              <w:jc w:val="center"/>
              <w:rPr>
                <w:lang w:val="en-US"/>
              </w:rPr>
            </w:pPr>
            <w:r>
              <w:rPr>
                <w:rFonts w:hint="eastAsia"/>
                <w:lang w:val="en-US"/>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61.40</w:t>
            </w:r>
          </w:p>
        </w:tc>
        <w:tc>
          <w:tcPr>
            <w:tcW w:w="1512" w:type="dxa"/>
          </w:tcPr>
          <w:p>
            <w:pPr>
              <w:spacing w:line="360" w:lineRule="exact"/>
              <w:jc w:val="center"/>
              <w:rPr>
                <w:lang w:val="en-US"/>
              </w:rPr>
            </w:pPr>
            <w:r>
              <w:rPr>
                <w:rFonts w:hint="eastAsia"/>
                <w:lang w:val="en-US"/>
              </w:rPr>
              <w:t>61405</w:t>
            </w:r>
          </w:p>
        </w:tc>
        <w:tc>
          <w:tcPr>
            <w:tcW w:w="1512" w:type="dxa"/>
          </w:tcPr>
          <w:p>
            <w:pPr>
              <w:spacing w:line="360" w:lineRule="exact"/>
              <w:jc w:val="center"/>
              <w:rPr>
                <w:lang w:val="en-US"/>
              </w:rPr>
            </w:pPr>
            <w:r>
              <w:rPr>
                <w:rFonts w:hint="eastAsia"/>
                <w:lang w:val="en-US"/>
              </w:rPr>
              <w:t>33.22</w:t>
            </w:r>
          </w:p>
        </w:tc>
        <w:tc>
          <w:tcPr>
            <w:tcW w:w="1512" w:type="dxa"/>
          </w:tcPr>
          <w:p>
            <w:pPr>
              <w:spacing w:line="360" w:lineRule="exact"/>
              <w:jc w:val="center"/>
              <w:rPr>
                <w:lang w:val="en-US"/>
              </w:rPr>
            </w:pPr>
            <w:r>
              <w:rPr>
                <w:rFonts w:hint="eastAsia"/>
                <w:lang w:val="en-US"/>
              </w:rPr>
              <w:t>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60.97</w:t>
            </w:r>
          </w:p>
        </w:tc>
        <w:tc>
          <w:tcPr>
            <w:tcW w:w="1512" w:type="dxa"/>
            <w:shd w:val="clear" w:color="auto" w:fill="F2F2F2"/>
          </w:tcPr>
          <w:p>
            <w:pPr>
              <w:spacing w:line="360" w:lineRule="exact"/>
              <w:jc w:val="center"/>
              <w:rPr>
                <w:lang w:val="en-US"/>
              </w:rPr>
            </w:pPr>
            <w:r>
              <w:rPr>
                <w:rFonts w:hint="eastAsia"/>
                <w:lang w:val="en-US"/>
              </w:rPr>
              <w:t>60975</w:t>
            </w:r>
          </w:p>
        </w:tc>
        <w:tc>
          <w:tcPr>
            <w:tcW w:w="1512" w:type="dxa"/>
            <w:shd w:val="clear" w:color="auto" w:fill="F2F2F2"/>
          </w:tcPr>
          <w:p>
            <w:pPr>
              <w:spacing w:line="360" w:lineRule="exact"/>
              <w:jc w:val="center"/>
              <w:rPr>
                <w:lang w:val="en-US"/>
              </w:rPr>
            </w:pPr>
            <w:r>
              <w:rPr>
                <w:rFonts w:hint="eastAsia"/>
                <w:lang w:val="en-US"/>
              </w:rPr>
              <w:t>39.32</w:t>
            </w:r>
          </w:p>
        </w:tc>
        <w:tc>
          <w:tcPr>
            <w:tcW w:w="1512" w:type="dxa"/>
            <w:shd w:val="clear" w:color="auto" w:fill="F2F2F2"/>
          </w:tcPr>
          <w:p>
            <w:pPr>
              <w:spacing w:line="360" w:lineRule="exact"/>
              <w:jc w:val="center"/>
              <w:rPr>
                <w:lang w:val="en-US"/>
              </w:rPr>
            </w:pPr>
            <w:r>
              <w:rPr>
                <w:rFonts w:hint="eastAsia"/>
                <w:lang w:val="en-US"/>
              </w:rPr>
              <w:t>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60.55</w:t>
            </w:r>
          </w:p>
        </w:tc>
        <w:tc>
          <w:tcPr>
            <w:tcW w:w="1512" w:type="dxa"/>
          </w:tcPr>
          <w:p>
            <w:pPr>
              <w:spacing w:line="360" w:lineRule="exact"/>
              <w:jc w:val="center"/>
              <w:rPr>
                <w:lang w:val="en-US"/>
              </w:rPr>
            </w:pPr>
            <w:r>
              <w:rPr>
                <w:rFonts w:hint="eastAsia"/>
                <w:lang w:val="en-US"/>
              </w:rPr>
              <w:t>60548</w:t>
            </w:r>
          </w:p>
        </w:tc>
        <w:tc>
          <w:tcPr>
            <w:tcW w:w="1512" w:type="dxa"/>
          </w:tcPr>
          <w:p>
            <w:pPr>
              <w:spacing w:line="360" w:lineRule="exact"/>
              <w:jc w:val="center"/>
              <w:rPr>
                <w:lang w:val="en-US"/>
              </w:rPr>
            </w:pPr>
            <w:r>
              <w:rPr>
                <w:rFonts w:hint="eastAsia"/>
                <w:lang w:val="en-US"/>
              </w:rPr>
              <w:t>45.37</w:t>
            </w:r>
          </w:p>
        </w:tc>
        <w:tc>
          <w:tcPr>
            <w:tcW w:w="1512" w:type="dxa"/>
          </w:tcPr>
          <w:p>
            <w:pPr>
              <w:spacing w:line="360" w:lineRule="exact"/>
              <w:jc w:val="center"/>
              <w:rPr>
                <w:lang w:val="en-US"/>
              </w:rPr>
            </w:pPr>
            <w:r>
              <w:rPr>
                <w:rFonts w:hint="eastAsia"/>
                <w:lang w:val="en-US"/>
              </w:rPr>
              <w:t>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60.12</w:t>
            </w:r>
          </w:p>
        </w:tc>
        <w:tc>
          <w:tcPr>
            <w:tcW w:w="1512" w:type="dxa"/>
            <w:shd w:val="clear" w:color="auto" w:fill="F2F2F2"/>
          </w:tcPr>
          <w:p>
            <w:pPr>
              <w:spacing w:line="360" w:lineRule="exact"/>
              <w:jc w:val="center"/>
              <w:rPr>
                <w:lang w:val="en-US"/>
              </w:rPr>
            </w:pPr>
            <w:r>
              <w:rPr>
                <w:rFonts w:hint="eastAsia"/>
                <w:lang w:val="en-US"/>
              </w:rPr>
              <w:t>60124</w:t>
            </w:r>
          </w:p>
        </w:tc>
        <w:tc>
          <w:tcPr>
            <w:tcW w:w="1512" w:type="dxa"/>
            <w:shd w:val="clear" w:color="auto" w:fill="F2F2F2"/>
          </w:tcPr>
          <w:p>
            <w:pPr>
              <w:spacing w:line="360" w:lineRule="exact"/>
              <w:jc w:val="center"/>
              <w:rPr>
                <w:lang w:val="en-US"/>
              </w:rPr>
            </w:pPr>
            <w:r>
              <w:rPr>
                <w:rFonts w:hint="eastAsia"/>
                <w:lang w:val="en-US"/>
              </w:rPr>
              <w:t>51.38</w:t>
            </w:r>
          </w:p>
        </w:tc>
        <w:tc>
          <w:tcPr>
            <w:tcW w:w="1512" w:type="dxa"/>
            <w:shd w:val="clear" w:color="auto" w:fill="F2F2F2"/>
          </w:tcPr>
          <w:p>
            <w:pPr>
              <w:spacing w:line="360" w:lineRule="exact"/>
              <w:jc w:val="center"/>
              <w:rPr>
                <w:lang w:val="en-US"/>
              </w:rPr>
            </w:pPr>
            <w:r>
              <w:rPr>
                <w:rFonts w:hint="eastAsia"/>
                <w:lang w:val="en-US"/>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59.70</w:t>
            </w:r>
          </w:p>
        </w:tc>
        <w:tc>
          <w:tcPr>
            <w:tcW w:w="1512" w:type="dxa"/>
          </w:tcPr>
          <w:p>
            <w:pPr>
              <w:spacing w:line="360" w:lineRule="exact"/>
              <w:jc w:val="center"/>
              <w:rPr>
                <w:lang w:val="en-US"/>
              </w:rPr>
            </w:pPr>
            <w:r>
              <w:rPr>
                <w:rFonts w:hint="eastAsia"/>
                <w:lang w:val="en-US"/>
              </w:rPr>
              <w:t>59703</w:t>
            </w:r>
          </w:p>
        </w:tc>
        <w:tc>
          <w:tcPr>
            <w:tcW w:w="1512" w:type="dxa"/>
          </w:tcPr>
          <w:p>
            <w:pPr>
              <w:spacing w:line="360" w:lineRule="exact"/>
              <w:jc w:val="center"/>
              <w:rPr>
                <w:lang w:val="en-US"/>
              </w:rPr>
            </w:pPr>
            <w:r>
              <w:rPr>
                <w:rFonts w:hint="eastAsia"/>
                <w:lang w:val="en-US"/>
              </w:rPr>
              <w:t>57.35</w:t>
            </w:r>
          </w:p>
        </w:tc>
        <w:tc>
          <w:tcPr>
            <w:tcW w:w="1512" w:type="dxa"/>
          </w:tcPr>
          <w:p>
            <w:pPr>
              <w:spacing w:line="360" w:lineRule="exact"/>
              <w:jc w:val="center"/>
              <w:rPr>
                <w:lang w:val="en-US"/>
              </w:rPr>
            </w:pPr>
            <w:r>
              <w:rPr>
                <w:rFonts w:hint="eastAsia"/>
                <w:lang w:val="en-US"/>
              </w:rPr>
              <w:t>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59.29</w:t>
            </w:r>
          </w:p>
        </w:tc>
        <w:tc>
          <w:tcPr>
            <w:tcW w:w="1512" w:type="dxa"/>
            <w:shd w:val="clear" w:color="auto" w:fill="F2F2F2"/>
          </w:tcPr>
          <w:p>
            <w:pPr>
              <w:spacing w:line="360" w:lineRule="exact"/>
              <w:jc w:val="center"/>
              <w:rPr>
                <w:lang w:val="en-US"/>
              </w:rPr>
            </w:pPr>
            <w:r>
              <w:rPr>
                <w:rFonts w:hint="eastAsia"/>
                <w:lang w:val="en-US"/>
              </w:rPr>
              <w:t>59285</w:t>
            </w:r>
          </w:p>
        </w:tc>
        <w:tc>
          <w:tcPr>
            <w:tcW w:w="1512" w:type="dxa"/>
            <w:shd w:val="clear" w:color="auto" w:fill="F2F2F2"/>
          </w:tcPr>
          <w:p>
            <w:pPr>
              <w:spacing w:line="360" w:lineRule="exact"/>
              <w:jc w:val="center"/>
              <w:rPr>
                <w:lang w:val="en-US"/>
              </w:rPr>
            </w:pPr>
            <w:r>
              <w:rPr>
                <w:rFonts w:hint="eastAsia"/>
                <w:lang w:val="en-US"/>
              </w:rPr>
              <w:t>63.28</w:t>
            </w:r>
          </w:p>
        </w:tc>
        <w:tc>
          <w:tcPr>
            <w:tcW w:w="1512" w:type="dxa"/>
            <w:shd w:val="clear" w:color="auto" w:fill="F2F2F2"/>
          </w:tcPr>
          <w:p>
            <w:pPr>
              <w:spacing w:line="360" w:lineRule="exact"/>
              <w:jc w:val="center"/>
              <w:rPr>
                <w:lang w:val="en-US"/>
              </w:rPr>
            </w:pPr>
            <w:r>
              <w:rPr>
                <w:rFonts w:hint="eastAsia"/>
                <w:lang w:val="en-US"/>
              </w:rPr>
              <w:t>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58.87</w:t>
            </w:r>
          </w:p>
        </w:tc>
        <w:tc>
          <w:tcPr>
            <w:tcW w:w="1512" w:type="dxa"/>
          </w:tcPr>
          <w:p>
            <w:pPr>
              <w:spacing w:line="360" w:lineRule="exact"/>
              <w:jc w:val="center"/>
              <w:rPr>
                <w:lang w:val="en-US"/>
              </w:rPr>
            </w:pPr>
            <w:r>
              <w:rPr>
                <w:rFonts w:hint="eastAsia"/>
                <w:lang w:val="en-US"/>
              </w:rPr>
              <w:t>58870</w:t>
            </w:r>
          </w:p>
        </w:tc>
        <w:tc>
          <w:tcPr>
            <w:tcW w:w="1512" w:type="dxa"/>
          </w:tcPr>
          <w:p>
            <w:pPr>
              <w:spacing w:line="360" w:lineRule="exact"/>
              <w:jc w:val="center"/>
              <w:rPr>
                <w:lang w:val="en-US"/>
              </w:rPr>
            </w:pPr>
            <w:r>
              <w:rPr>
                <w:rFonts w:hint="eastAsia"/>
                <w:lang w:val="en-US"/>
              </w:rPr>
              <w:t>69.17</w:t>
            </w:r>
          </w:p>
        </w:tc>
        <w:tc>
          <w:tcPr>
            <w:tcW w:w="1512" w:type="dxa"/>
          </w:tcPr>
          <w:p>
            <w:pPr>
              <w:spacing w:line="360" w:lineRule="exact"/>
              <w:jc w:val="center"/>
              <w:rPr>
                <w:lang w:val="en-US"/>
              </w:rPr>
            </w:pPr>
            <w:r>
              <w:rPr>
                <w:rFonts w:hint="eastAsia"/>
                <w:lang w:val="en-US"/>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58.46</w:t>
            </w:r>
          </w:p>
        </w:tc>
        <w:tc>
          <w:tcPr>
            <w:tcW w:w="1512" w:type="dxa"/>
            <w:shd w:val="clear" w:color="auto" w:fill="F2F2F2"/>
          </w:tcPr>
          <w:p>
            <w:pPr>
              <w:spacing w:line="360" w:lineRule="exact"/>
              <w:jc w:val="center"/>
              <w:rPr>
                <w:lang w:val="en-US"/>
              </w:rPr>
            </w:pPr>
            <w:r>
              <w:rPr>
                <w:rFonts w:hint="eastAsia"/>
                <w:lang w:val="en-US"/>
              </w:rPr>
              <w:t>58458</w:t>
            </w:r>
          </w:p>
        </w:tc>
        <w:tc>
          <w:tcPr>
            <w:tcW w:w="1512" w:type="dxa"/>
            <w:shd w:val="clear" w:color="auto" w:fill="F2F2F2"/>
          </w:tcPr>
          <w:p>
            <w:pPr>
              <w:spacing w:line="360" w:lineRule="exact"/>
              <w:jc w:val="center"/>
              <w:rPr>
                <w:lang w:val="en-US"/>
              </w:rPr>
            </w:pPr>
            <w:r>
              <w:rPr>
                <w:rFonts w:hint="eastAsia"/>
                <w:lang w:val="en-US"/>
              </w:rPr>
              <w:t>75.02</w:t>
            </w:r>
          </w:p>
        </w:tc>
        <w:tc>
          <w:tcPr>
            <w:tcW w:w="1512" w:type="dxa"/>
            <w:shd w:val="clear" w:color="auto" w:fill="F2F2F2"/>
          </w:tcPr>
          <w:p>
            <w:pPr>
              <w:spacing w:line="360" w:lineRule="exact"/>
              <w:jc w:val="center"/>
              <w:rPr>
                <w:lang w:val="en-US"/>
              </w:rPr>
            </w:pPr>
            <w:r>
              <w:rPr>
                <w:rFonts w:hint="eastAsia"/>
                <w:lang w:val="en-US"/>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1595 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160万元</w:t>
            </w:r>
          </w:p>
        </w:tc>
      </w:tr>
      <w:bookmarkEnd w:id="83"/>
    </w:tbl>
    <w:p>
      <w:pPr>
        <w:pStyle w:val="3"/>
        <w:rPr>
          <w:lang w:val="en-US"/>
        </w:rPr>
      </w:pPr>
    </w:p>
    <w:p>
      <w:pPr>
        <w:pStyle w:val="3"/>
        <w:jc w:val="center"/>
        <w:rPr>
          <w:lang w:val="en-US"/>
        </w:rPr>
      </w:pPr>
      <w:bookmarkStart w:id="84" w:name="收益平衡图"/>
      <w:bookmarkEnd w:id="84"/>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13</w:t>
      </w:r>
      <w:r>
        <w:fldChar w:fldCharType="end"/>
      </w:r>
      <w:r>
        <w:rPr>
          <w:rFonts w:hint="eastAsia"/>
        </w:rPr>
        <w:t>收益平衡图</w:t>
      </w:r>
    </w:p>
    <w:p>
      <w:pPr>
        <w:rPr>
          <w:rFonts w:ascii="黑体" w:hAnsi="黑体" w:eastAsia="黑体" w:cs="宋体"/>
          <w:bCs/>
          <w:color w:val="000000"/>
          <w:szCs w:val="18"/>
          <w:lang w:val="en-US"/>
        </w:rPr>
      </w:pPr>
    </w:p>
    <w:p>
      <w:pPr>
        <w:pStyle w:val="2"/>
      </w:pPr>
      <w:bookmarkStart w:id="85" w:name="_Toc14459"/>
      <w:r>
        <w:rPr>
          <w:rFonts w:hint="eastAsia"/>
        </w:rPr>
        <w:t>减排效益分析</w:t>
      </w:r>
      <w:bookmarkEnd w:id="85"/>
    </w:p>
    <w:p>
      <w:pPr>
        <w:pStyle w:val="3"/>
        <w:ind w:firstLine="480" w:firstLineChars="200"/>
        <w:rPr>
          <w:lang w:val="en-US"/>
        </w:rPr>
      </w:pPr>
      <w:r>
        <w:rPr>
          <w:rFonts w:hint="eastAsia"/>
          <w:lang w:val="en-US"/>
        </w:rPr>
        <w:t>光伏发电的节能减排计算对太阳能光伏发电系统的环境影响和节约能源的效果进行评价。项目建成后，根据光伏发电工程发电量，与传统火电项目相比，可计算出节约化石能源总量，及对应减排温室气体和其他污染物总量。根据《中国电力行业年度发展报告</w:t>
      </w:r>
      <w:r>
        <w:rPr>
          <w:lang w:val="en-US"/>
        </w:rPr>
        <w:t>2022》</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、氮氧化物等排放量进行计算，计算结果如下表所示：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6"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63.81</w:t>
            </w:r>
          </w:p>
        </w:tc>
        <w:tc>
          <w:tcPr>
            <w:tcW w:w="1534" w:type="dxa"/>
            <w:shd w:val="clear" w:color="auto" w:fill="FFFFFF" w:themeFill="background1"/>
          </w:tcPr>
          <w:p>
            <w:pPr>
              <w:spacing w:line="360" w:lineRule="exact"/>
              <w:jc w:val="center"/>
              <w:rPr>
                <w:bCs/>
                <w:lang w:val="en-US"/>
              </w:rPr>
            </w:pPr>
            <w:r>
              <w:rPr>
                <w:bCs/>
                <w:lang w:val="en-US"/>
              </w:rPr>
              <w:t>1595.16</w:t>
            </w:r>
          </w:p>
        </w:tc>
        <w:tc>
          <w:tcPr>
            <w:tcW w:w="1534" w:type="dxa"/>
            <w:shd w:val="clear" w:color="auto" w:fill="FFFFFF" w:themeFill="background1"/>
          </w:tcPr>
          <w:p>
            <w:pPr>
              <w:spacing w:line="360" w:lineRule="exact"/>
              <w:jc w:val="center"/>
              <w:rPr>
                <w:bCs/>
                <w:lang w:val="en-US"/>
              </w:rPr>
            </w:pPr>
            <w:r>
              <w:rPr>
                <w:rFonts w:hint="eastAsia"/>
                <w:bCs/>
                <w:lang w:val="en-US"/>
              </w:rPr>
              <w:t>MWh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0.3015</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19.24</w:t>
            </w:r>
          </w:p>
        </w:tc>
        <w:tc>
          <w:tcPr>
            <w:tcW w:w="1534" w:type="dxa"/>
            <w:shd w:val="clear" w:color="auto" w:fill="F1F1F1" w:themeFill="background1" w:themeFillShade="F2"/>
          </w:tcPr>
          <w:p>
            <w:pPr>
              <w:spacing w:line="360" w:lineRule="exact"/>
              <w:jc w:val="center"/>
              <w:rPr>
                <w:bCs/>
                <w:lang w:val="en-US"/>
              </w:rPr>
            </w:pPr>
            <w:r>
              <w:rPr>
                <w:bCs/>
                <w:lang w:val="en-US"/>
              </w:rPr>
              <w:t>480.95</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0.0022</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0.14</w:t>
            </w:r>
          </w:p>
        </w:tc>
        <w:tc>
          <w:tcPr>
            <w:tcW w:w="1534" w:type="dxa"/>
            <w:shd w:val="clear" w:color="auto" w:fill="FFFFFF" w:themeFill="background1"/>
          </w:tcPr>
          <w:p>
            <w:pPr>
              <w:spacing w:line="360" w:lineRule="exact"/>
              <w:jc w:val="center"/>
              <w:rPr>
                <w:bCs/>
                <w:lang w:val="en-US"/>
              </w:rPr>
            </w:pPr>
            <w:r>
              <w:rPr>
                <w:bCs/>
                <w:lang w:val="en-US"/>
              </w:rPr>
              <w:t>3.50</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CO2</w:t>
            </w:r>
          </w:p>
        </w:tc>
        <w:tc>
          <w:tcPr>
            <w:tcW w:w="1709" w:type="dxa"/>
            <w:shd w:val="clear" w:color="auto" w:fill="F1F1F1" w:themeFill="background1" w:themeFillShade="F2"/>
          </w:tcPr>
          <w:p>
            <w:pPr>
              <w:spacing w:line="360" w:lineRule="exact"/>
              <w:jc w:val="center"/>
              <w:rPr>
                <w:bCs/>
                <w:lang w:val="en-US"/>
              </w:rPr>
            </w:pPr>
            <w:r>
              <w:rPr>
                <w:bCs/>
                <w:lang w:val="en-US"/>
              </w:rPr>
              <w:t>0.828</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52.83</w:t>
            </w:r>
          </w:p>
        </w:tc>
        <w:tc>
          <w:tcPr>
            <w:tcW w:w="1534" w:type="dxa"/>
            <w:shd w:val="clear" w:color="auto" w:fill="F1F1F1" w:themeFill="background1" w:themeFillShade="F2"/>
          </w:tcPr>
          <w:p>
            <w:pPr>
              <w:spacing w:line="360" w:lineRule="exact"/>
              <w:jc w:val="center"/>
              <w:rPr>
                <w:bCs/>
                <w:lang w:val="en-US"/>
              </w:rPr>
            </w:pPr>
            <w:r>
              <w:rPr>
                <w:bCs/>
                <w:lang w:val="en-US"/>
              </w:rPr>
              <w:t>1320.78</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SO2</w:t>
            </w:r>
          </w:p>
        </w:tc>
        <w:tc>
          <w:tcPr>
            <w:tcW w:w="1709" w:type="dxa"/>
            <w:shd w:val="clear" w:color="auto" w:fill="FFFFFF" w:themeFill="background1"/>
          </w:tcPr>
          <w:p>
            <w:pPr>
              <w:spacing w:line="360" w:lineRule="exact"/>
              <w:jc w:val="center"/>
              <w:rPr>
                <w:bCs/>
                <w:lang w:val="en-US"/>
              </w:rPr>
            </w:pPr>
            <w:r>
              <w:rPr>
                <w:bCs/>
                <w:lang w:val="en-US"/>
              </w:rPr>
              <w:t>0.0101</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0.64</w:t>
            </w:r>
          </w:p>
        </w:tc>
        <w:tc>
          <w:tcPr>
            <w:tcW w:w="1534" w:type="dxa"/>
            <w:shd w:val="clear" w:color="auto" w:fill="FFFFFF" w:themeFill="background1"/>
          </w:tcPr>
          <w:p>
            <w:pPr>
              <w:spacing w:line="360" w:lineRule="exact"/>
              <w:jc w:val="center"/>
              <w:rPr>
                <w:bCs/>
                <w:lang w:val="en-US"/>
              </w:rPr>
            </w:pPr>
            <w:r>
              <w:rPr>
                <w:bCs/>
                <w:lang w:val="en-US"/>
              </w:rPr>
              <w:t>16.10</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NOX</w:t>
            </w:r>
          </w:p>
        </w:tc>
        <w:tc>
          <w:tcPr>
            <w:tcW w:w="1709" w:type="dxa"/>
            <w:shd w:val="clear" w:color="auto" w:fill="F1F1F1" w:themeFill="background1" w:themeFillShade="F2"/>
          </w:tcPr>
          <w:p>
            <w:pPr>
              <w:spacing w:line="360" w:lineRule="exact"/>
              <w:jc w:val="center"/>
              <w:rPr>
                <w:bCs/>
                <w:lang w:val="en-US"/>
              </w:rPr>
            </w:pPr>
            <w:r>
              <w:rPr>
                <w:bCs/>
                <w:lang w:val="en-US"/>
              </w:rPr>
              <w:t>0.0152</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0.97</w:t>
            </w:r>
          </w:p>
        </w:tc>
        <w:tc>
          <w:tcPr>
            <w:tcW w:w="1534" w:type="dxa"/>
            <w:shd w:val="clear" w:color="auto" w:fill="F1F1F1" w:themeFill="background1" w:themeFillShade="F2"/>
          </w:tcPr>
          <w:p>
            <w:pPr>
              <w:spacing w:line="360" w:lineRule="exact"/>
              <w:jc w:val="center"/>
              <w:rPr>
                <w:bCs/>
                <w:lang w:val="en-US"/>
              </w:rPr>
            </w:pPr>
            <w:r>
              <w:rPr>
                <w:bCs/>
                <w:lang w:val="en-US"/>
              </w:rPr>
              <w:t>24.25</w:t>
            </w:r>
          </w:p>
        </w:tc>
        <w:tc>
          <w:tcPr>
            <w:tcW w:w="1534" w:type="dxa"/>
            <w:shd w:val="clear" w:color="auto" w:fill="F1F1F1" w:themeFill="background1" w:themeFillShade="F2"/>
          </w:tcPr>
          <w:p>
            <w:pPr>
              <w:spacing w:line="360" w:lineRule="exact"/>
              <w:jc w:val="center"/>
              <w:rPr>
                <w:bCs/>
                <w:lang w:val="en-US"/>
              </w:rPr>
            </w:pPr>
            <w:r>
              <w:rPr>
                <w:bCs/>
                <w:lang w:val="en-US"/>
              </w:rPr>
              <w:t>吨</w:t>
            </w:r>
          </w:p>
        </w:tc>
      </w:tr>
      <w:bookmarkEnd w:id="86"/>
    </w:tbl>
    <w:p>
      <w:pPr>
        <w:pStyle w:val="3"/>
        <w:rPr>
          <w:lang w:val="en-US"/>
        </w:rPr>
      </w:pPr>
    </w:p>
    <w:p>
      <w:pPr>
        <w:pStyle w:val="2"/>
        <w:rPr>
          <w:sz w:val="24"/>
          <w:szCs w:val="21"/>
        </w:rPr>
      </w:pPr>
      <w:bookmarkStart w:id="87" w:name="_Toc21754"/>
      <w:r>
        <w:rPr>
          <w:rFonts w:hint="eastAsia"/>
        </w:rPr>
        <w:t>综述</w:t>
      </w:r>
      <w:bookmarkEnd w:id="87"/>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综上所述，本项目光伏组件</w:t>
      </w:r>
      <w:r>
        <w:rPr>
          <w:rFonts w:hint="eastAsia"/>
          <w:b/>
          <w:bCs/>
          <w:color w:val="000000" w:themeColor="text1"/>
          <w:sz w:val="24"/>
          <w:szCs w:val="22"/>
          <w14:textFill>
            <w14:solidFill>
              <w14:schemeClr w14:val="tx1"/>
            </w14:solidFill>
          </w14:textFill>
        </w:rPr>
        <w:t>安装</w:t>
      </w:r>
      <w:r>
        <w:rPr>
          <w:b/>
          <w:bCs/>
          <w:color w:val="000000" w:themeColor="text1"/>
          <w:sz w:val="24"/>
          <w:szCs w:val="22"/>
          <w14:textFill>
            <w14:solidFill>
              <w14:schemeClr w14:val="tx1"/>
            </w14:solidFill>
          </w14:textFill>
        </w:rPr>
        <w:t>面积为</w:t>
      </w:r>
      <w:bookmarkStart w:id="88" w:name="组件面积"/>
      <w:r>
        <w:rPr>
          <w:b/>
          <w:bCs/>
          <w:color w:val="ED7D31" w:themeColor="accent2"/>
          <w:sz w:val="24"/>
          <w:szCs w:val="22"/>
          <w:u w:val="single"/>
          <w14:textFill>
            <w14:solidFill>
              <w14:schemeClr w14:val="accent2"/>
            </w14:solidFill>
          </w14:textFill>
        </w:rPr>
        <w:t>426</w:t>
      </w:r>
      <w:bookmarkEnd w:id="88"/>
      <w:r>
        <w:rPr>
          <w:b/>
          <w:bCs/>
          <w:color w:val="ED7D31" w:themeColor="accent2"/>
          <w:sz w:val="24"/>
          <w:szCs w:val="22"/>
          <w14:textFill>
            <w14:solidFill>
              <w14:schemeClr w14:val="accent2"/>
            </w14:solidFill>
          </w14:textFill>
        </w:rPr>
        <w:t>m</w:t>
      </w:r>
      <w:r>
        <w:rPr>
          <w:b/>
          <w:bCs/>
          <w:color w:val="ED7D31" w:themeColor="accent2"/>
          <w:sz w:val="24"/>
          <w:szCs w:val="22"/>
          <w:vertAlign w:val="superscript"/>
          <w14:textFill>
            <w14:solidFill>
              <w14:schemeClr w14:val="accent2"/>
            </w14:solidFill>
          </w14:textFill>
        </w:rPr>
        <w:t>2</w:t>
      </w:r>
      <w:r>
        <w:rPr>
          <w:b/>
          <w:bCs/>
          <w:color w:val="000000" w:themeColor="text1"/>
          <w:sz w:val="24"/>
          <w:szCs w:val="22"/>
          <w14:textFill>
            <w14:solidFill>
              <w14:schemeClr w14:val="tx1"/>
            </w14:solidFill>
          </w14:textFill>
        </w:rPr>
        <w:t>，总装机</w:t>
      </w:r>
      <w:r>
        <w:rPr>
          <w:rFonts w:hint="eastAsia"/>
          <w:b/>
          <w:bCs/>
          <w:color w:val="000000" w:themeColor="text1"/>
          <w:sz w:val="24"/>
          <w:szCs w:val="22"/>
          <w14:textFill>
            <w14:solidFill>
              <w14:schemeClr w14:val="tx1"/>
            </w14:solidFill>
          </w14:textFill>
        </w:rPr>
        <w:t>容</w:t>
      </w:r>
      <w:r>
        <w:rPr>
          <w:b/>
          <w:bCs/>
          <w:color w:val="000000" w:themeColor="text1"/>
          <w:sz w:val="24"/>
          <w:szCs w:val="22"/>
          <w14:textFill>
            <w14:solidFill>
              <w14:schemeClr w14:val="tx1"/>
            </w14:solidFill>
          </w14:textFill>
        </w:rPr>
        <w:t>量为</w:t>
      </w:r>
      <w:bookmarkStart w:id="89" w:name="总装机量"/>
      <w:r>
        <w:rPr>
          <w:b/>
          <w:bCs/>
          <w:color w:val="ED7D31" w:themeColor="accent2"/>
          <w:sz w:val="24"/>
          <w:szCs w:val="22"/>
          <w:u w:val="single"/>
          <w14:textFill>
            <w14:solidFill>
              <w14:schemeClr w14:val="accent2"/>
            </w14:solidFill>
          </w14:textFill>
        </w:rPr>
        <w:t>67.6</w:t>
      </w:r>
      <w:bookmarkEnd w:id="89"/>
      <w:r>
        <w:rPr>
          <w:b/>
          <w:bCs/>
          <w:color w:val="ED7D31" w:themeColor="accent2"/>
          <w:sz w:val="24"/>
          <w:szCs w:val="22"/>
          <w14:textFill>
            <w14:solidFill>
              <w14:schemeClr w14:val="accent2"/>
            </w14:solidFill>
          </w14:textFill>
        </w:rPr>
        <w:t>kW</w:t>
      </w:r>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w:t>
      </w:r>
      <w:bookmarkStart w:id="90" w:name="系统效率"/>
      <w:r>
        <w:rPr>
          <w:rFonts w:hint="eastAsia"/>
          <w:b/>
          <w:bCs/>
          <w:color w:val="ED7D31" w:themeColor="accent2"/>
          <w:sz w:val="24"/>
          <w:szCs w:val="22"/>
          <w:u w:val="single"/>
          <w14:textFill>
            <w14:solidFill>
              <w14:schemeClr w14:val="accent2"/>
            </w14:solidFill>
          </w14:textFill>
        </w:rPr>
        <w:t>81.8%</w:t>
      </w:r>
      <w:bookmarkEnd w:id="90"/>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1" w:name="全年总发电量"/>
      <w:r>
        <w:rPr>
          <w:b/>
          <w:bCs/>
          <w:color w:val="ED7D31" w:themeColor="accent2"/>
          <w:sz w:val="24"/>
          <w:szCs w:val="22"/>
          <w:u w:val="single"/>
          <w14:textFill>
            <w14:solidFill>
              <w14:schemeClr w14:val="accent2"/>
            </w14:solidFill>
          </w14:textFill>
        </w:rPr>
        <w:t>72.3</w:t>
      </w:r>
      <w:bookmarkEnd w:id="91"/>
      <w:r>
        <w:rPr>
          <w:b/>
          <w:bCs/>
          <w:color w:val="ED7D31" w:themeColor="accent2"/>
          <w:sz w:val="24"/>
          <w:szCs w:val="22"/>
          <w14:textFill>
            <w14:solidFill>
              <w14:schemeClr w14:val="accent2"/>
            </w14:solidFill>
          </w14:textFill>
        </w:rPr>
        <w:t>MWh</w:t>
      </w:r>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25年预计总发电量</w:t>
      </w:r>
      <w:bookmarkStart w:id="92" w:name="发电量25年"/>
      <w:r>
        <w:rPr>
          <w:rFonts w:hint="eastAsia"/>
          <w:b/>
          <w:bCs/>
          <w:color w:val="ED7D31" w:themeColor="accent2"/>
          <w:sz w:val="24"/>
          <w:szCs w:val="22"/>
          <w:u w:val="single"/>
          <w14:textFill>
            <w14:solidFill>
              <w14:schemeClr w14:val="accent2"/>
            </w14:solidFill>
          </w14:textFill>
        </w:rPr>
        <w:t>1595.2</w:t>
      </w:r>
      <w:bookmarkEnd w:id="92"/>
      <w:r>
        <w:rPr>
          <w:b/>
          <w:bCs/>
          <w:color w:val="ED7D31" w:themeColor="accent2"/>
          <w:sz w:val="24"/>
          <w:szCs w:val="22"/>
          <w14:textFill>
            <w14:solidFill>
              <w14:schemeClr w14:val="accent2"/>
            </w14:solidFill>
          </w14:textFill>
        </w:rPr>
        <w:t>MWh</w:t>
      </w:r>
      <w:r>
        <w:rPr>
          <w:rFonts w:hint="eastAsia"/>
          <w:b/>
          <w:bCs/>
          <w:color w:val="000000" w:themeColor="text1"/>
          <w:sz w:val="24"/>
          <w:szCs w:val="22"/>
          <w14:textFill>
            <w14:solidFill>
              <w14:schemeClr w14:val="tx1"/>
            </w14:solidFill>
          </w14:textFill>
        </w:rPr>
        <w:t>，投资</w:t>
      </w:r>
      <w:bookmarkStart w:id="93" w:name="总投资"/>
      <w:r>
        <w:rPr>
          <w:rFonts w:hint="eastAsia"/>
          <w:b/>
          <w:bCs/>
          <w:color w:val="ED7D31" w:themeColor="accent2"/>
          <w:sz w:val="24"/>
          <w:szCs w:val="22"/>
          <w:u w:val="single"/>
          <w14:textFill>
            <w14:solidFill>
              <w14:schemeClr w14:val="accent2"/>
            </w14:solidFill>
          </w14:textFill>
        </w:rPr>
        <w:t>84.5</w:t>
      </w:r>
      <w:bookmarkEnd w:id="93"/>
      <w:r>
        <w:rPr>
          <w:rFonts w:hint="eastAsia"/>
          <w:b/>
          <w:bCs/>
          <w:color w:val="ED7D31" w:themeColor="accent2"/>
          <w:sz w:val="24"/>
          <w:szCs w:val="22"/>
          <w14:textFill>
            <w14:solidFill>
              <w14:schemeClr w14:val="accent2"/>
            </w14:solidFill>
          </w14:textFill>
        </w:rPr>
        <w:t>万</w:t>
      </w:r>
      <w:r>
        <w:rPr>
          <w:rFonts w:hint="eastAsia"/>
          <w:b/>
          <w:bCs/>
          <w:color w:val="000000" w:themeColor="text1"/>
          <w:sz w:val="24"/>
          <w:szCs w:val="22"/>
          <w14:textFill>
            <w14:solidFill>
              <w14:schemeClr w14:val="tx1"/>
            </w14:solidFill>
          </w14:textFill>
        </w:rPr>
        <w:t>，收益</w:t>
      </w:r>
      <w:bookmarkStart w:id="94" w:name="总收益"/>
      <w:r>
        <w:rPr>
          <w:rFonts w:hint="eastAsia"/>
          <w:b/>
          <w:bCs/>
          <w:color w:val="ED7D31" w:themeColor="accent2"/>
          <w:sz w:val="24"/>
          <w:szCs w:val="22"/>
          <w:u w:val="single"/>
          <w14:textFill>
            <w14:solidFill>
              <w14:schemeClr w14:val="accent2"/>
            </w14:solidFill>
          </w14:textFill>
        </w:rPr>
        <w:t>159.52</w:t>
      </w:r>
      <w:bookmarkEnd w:id="94"/>
      <w:r>
        <w:rPr>
          <w:rFonts w:hint="eastAsia"/>
          <w:b/>
          <w:bCs/>
          <w:color w:val="ED7D31" w:themeColor="accent2"/>
          <w:sz w:val="24"/>
          <w:szCs w:val="22"/>
          <w14:textFill>
            <w14:solidFill>
              <w14:schemeClr w14:val="accent2"/>
            </w14:solidFill>
          </w14:textFill>
        </w:rPr>
        <w:t>万元</w:t>
      </w:r>
      <w:r>
        <w:rPr>
          <w:rFonts w:hint="eastAsia"/>
          <w:b/>
          <w:bCs/>
          <w:color w:val="000000" w:themeColor="text1"/>
          <w:sz w:val="24"/>
          <w:szCs w:val="22"/>
          <w14:textFill>
            <w14:solidFill>
              <w14:schemeClr w14:val="tx1"/>
            </w14:solidFill>
          </w14:textFill>
        </w:rPr>
        <w:t>，减排二氧化碳约</w:t>
      </w:r>
      <w:bookmarkStart w:id="95" w:name="二氧化碳减排量"/>
      <w:r>
        <w:rPr>
          <w:b/>
          <w:bCs/>
          <w:color w:val="ED7D31" w:themeColor="accent2"/>
          <w:sz w:val="24"/>
          <w:szCs w:val="22"/>
          <w:u w:val="single"/>
          <w14:textFill>
            <w14:solidFill>
              <w14:schemeClr w14:val="accent2"/>
            </w14:solidFill>
          </w14:textFill>
        </w:rPr>
        <w:t>1320.78</w:t>
      </w:r>
      <w:bookmarkEnd w:id="95"/>
      <w:r>
        <w:rPr>
          <w:rFonts w:hint="eastAsia"/>
          <w:b/>
          <w:bCs/>
          <w:color w:val="ED7D31" w:themeColor="accent2"/>
          <w:sz w:val="24"/>
          <w:szCs w:val="22"/>
          <w14:textFill>
            <w14:solidFill>
              <w14:schemeClr w14:val="accent2"/>
            </w14:solidFill>
          </w14:textFill>
        </w:rPr>
        <w:t>吨</w:t>
      </w:r>
      <w:r>
        <w:rPr>
          <w:rFonts w:hint="eastAsia"/>
          <w:b/>
          <w:bCs/>
          <w:color w:val="000000" w:themeColor="text1"/>
          <w:sz w:val="24"/>
          <w:szCs w:val="22"/>
          <w14:textFill>
            <w14:solidFill>
              <w14:schemeClr w14:val="tx1"/>
            </w14:solidFill>
          </w14:textFill>
        </w:rPr>
        <w:t>。</w:t>
      </w:r>
    </w:p>
    <w:p>
      <w:pPr>
        <w:adjustRightInd/>
        <w:snapToGrid/>
        <w:rPr>
          <w:sz w:val="24"/>
          <w:szCs w:val="21"/>
          <w:lang w:val="en-US"/>
        </w:rPr>
        <w:sectPr>
          <w:footerReference r:id="rId9"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96" w:name="_Toc14907"/>
      <w:r>
        <w:rPr>
          <w:rFonts w:hint="eastAsia"/>
        </w:rPr>
        <w:t>附录</w:t>
      </w:r>
      <w:bookmarkEnd w:id="9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insideH w:val="single"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 xml:space="preserve"> 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bl>
    <w:p>
      <w:pPr>
        <w:pStyle w:val="3"/>
        <w:ind w:firstLine="480"/>
        <w:rPr>
          <w:lang w:val="en-US"/>
        </w:rPr>
      </w:pPr>
    </w:p>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13</w:t>
    </w:r>
    <w:r>
      <w:fldChar w:fldCharType="end"/>
    </w:r>
    <w:r>
      <w:tab/>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13</w:instrText>
    </w:r>
    <w:r>
      <w:fldChar w:fldCharType="end"/>
    </w:r>
    <w:r>
      <w:instrText xml:space="preserve">-2  \* Arabic  \* MERGEFORMAT </w:instrText>
    </w:r>
    <w:r>
      <w:fldChar w:fldCharType="separate"/>
    </w:r>
    <w:r>
      <w:rPr>
        <w:b/>
      </w:rPr>
      <w:t>11</w:t>
    </w:r>
    <w:r>
      <w:fldChar w:fldCharType="end"/>
    </w:r>
    <w:r>
      <w:tab/>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2"/>
      </w:pBdr>
      <w:jc w:val="right"/>
      <w:rPr>
        <w:sz w:val="16"/>
        <w:szCs w:val="16"/>
      </w:rPr>
    </w:pPr>
    <w:r>
      <w:rPr>
        <w:lang w:val="en-US"/>
      </w:rPr>
      <w:drawing>
        <wp:anchor distT="0" distB="0" distL="114300" distR="114300" simplePos="0" relativeHeight="251659264" behindDoc="0" locked="0" layoutInCell="1" allowOverlap="1">
          <wp:simplePos x="0" y="0"/>
          <wp:positionH relativeFrom="column">
            <wp:posOffset>40640</wp:posOffset>
          </wp:positionH>
          <wp:positionV relativeFrom="page">
            <wp:posOffset>517525</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Pr>
        <w:rFonts w:hint="eastAsia"/>
        <w:sz w:val="16"/>
        <w:szCs w:val="16"/>
      </w:rPr>
      <w:t>可再生能源利用分析报告——光伏发电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5ZjkyZGFmNDk3ZWQzZTI1MDZjZWM4MTIzZGE5ZDkifQ=="/>
  </w:docVars>
  <w:rsids>
    <w:rsidRoot w:val="119A6406"/>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119A6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autoRedefine/>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autoRedefine/>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autoRedefine/>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uiPriority w:val="0"/>
    <w:pPr>
      <w:shd w:val="clear" w:color="auto" w:fill="000080"/>
    </w:pPr>
  </w:style>
  <w:style w:type="paragraph" w:styleId="17">
    <w:name w:val="annotation text"/>
    <w:basedOn w:val="1"/>
    <w:link w:val="46"/>
    <w:uiPriority w:val="0"/>
  </w:style>
  <w:style w:type="paragraph" w:styleId="18">
    <w:name w:val="Body Text Indent"/>
    <w:basedOn w:val="1"/>
    <w:link w:val="39"/>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uiPriority w:val="0"/>
    <w:pPr>
      <w:ind w:left="100" w:leftChars="2500"/>
    </w:pPr>
  </w:style>
  <w:style w:type="paragraph" w:styleId="22">
    <w:name w:val="Balloon Text"/>
    <w:basedOn w:val="1"/>
    <w:link w:val="48"/>
    <w:uiPriority w:val="99"/>
    <w:rPr>
      <w:szCs w:val="18"/>
    </w:rPr>
  </w:style>
  <w:style w:type="paragraph" w:styleId="23">
    <w:name w:val="footer"/>
    <w:basedOn w:val="1"/>
    <w:link w:val="43"/>
    <w:uiPriority w:val="99"/>
    <w:pPr>
      <w:tabs>
        <w:tab w:val="center" w:pos="4153"/>
        <w:tab w:val="right" w:pos="8306"/>
      </w:tabs>
    </w:pPr>
    <w:rPr>
      <w:szCs w:val="18"/>
    </w:rPr>
  </w:style>
  <w:style w:type="paragraph" w:styleId="24">
    <w:name w:val="header"/>
    <w:basedOn w:val="1"/>
    <w:link w:val="62"/>
    <w:uiPriority w:val="99"/>
    <w:pPr>
      <w:pBdr>
        <w:bottom w:val="single" w:color="auto" w:sz="6" w:space="1"/>
      </w:pBdr>
      <w:tabs>
        <w:tab w:val="center" w:pos="4153"/>
        <w:tab w:val="right" w:pos="8306"/>
      </w:tabs>
      <w:jc w:val="center"/>
    </w:pPr>
    <w:rPr>
      <w:szCs w:val="18"/>
    </w:rPr>
  </w:style>
  <w:style w:type="paragraph" w:styleId="25">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6">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7">
    <w:name w:val="Normal (Web)"/>
    <w:basedOn w:val="1"/>
    <w:unhideWhenUsed/>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uiPriority w:val="0"/>
    <w:rPr>
      <w:b/>
      <w:bCs/>
    </w:rPr>
  </w:style>
  <w:style w:type="table" w:styleId="31">
    <w:name w:val="Table Grid"/>
    <w:basedOn w:val="30"/>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uiPriority w:val="0"/>
  </w:style>
  <w:style w:type="character" w:styleId="35">
    <w:name w:val="FollowedHyperlink"/>
    <w:uiPriority w:val="0"/>
    <w:rPr>
      <w:color w:val="800080"/>
      <w:u w:val="single"/>
    </w:rPr>
  </w:style>
  <w:style w:type="character" w:styleId="36">
    <w:name w:val="Emphasis"/>
    <w:basedOn w:val="32"/>
    <w:qFormat/>
    <w:uiPriority w:val="0"/>
    <w:rPr>
      <w:i/>
      <w:iCs/>
    </w:rPr>
  </w:style>
  <w:style w:type="character" w:styleId="37">
    <w:name w:val="Hyperlink"/>
    <w:uiPriority w:val="99"/>
    <w:rPr>
      <w:color w:val="0000FF"/>
      <w:u w:val="single"/>
    </w:rPr>
  </w:style>
  <w:style w:type="character" w:styleId="38">
    <w:name w:val="annotation reference"/>
    <w:uiPriority w:val="0"/>
    <w:rPr>
      <w:sz w:val="21"/>
      <w:szCs w:val="21"/>
    </w:rPr>
  </w:style>
  <w:style w:type="character" w:customStyle="1" w:styleId="39">
    <w:name w:val="正文文本缩进 字符"/>
    <w:link w:val="18"/>
    <w:uiPriority w:val="0"/>
    <w:rPr>
      <w:rFonts w:ascii="宋体" w:hAnsi="宋体" w:eastAsia="宋体"/>
      <w:kern w:val="2"/>
      <w:sz w:val="24"/>
      <w:szCs w:val="24"/>
      <w:lang w:val="en-US" w:eastAsia="zh-CN" w:bidi="ar-SA"/>
    </w:rPr>
  </w:style>
  <w:style w:type="paragraph" w:customStyle="1" w:styleId="4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locked/>
    <w:uiPriority w:val="0"/>
    <w:rPr>
      <w:rFonts w:ascii="宋体" w:hAnsi="宋体" w:eastAsia="宋体"/>
      <w:kern w:val="2"/>
      <w:sz w:val="24"/>
      <w:szCs w:val="24"/>
      <w:lang w:val="en-US" w:eastAsia="zh-CN" w:bidi="ar-SA"/>
    </w:rPr>
  </w:style>
  <w:style w:type="character" w:customStyle="1" w:styleId="42">
    <w:name w:val="Char Char21"/>
    <w:uiPriority w:val="0"/>
    <w:rPr>
      <w:rFonts w:ascii="宋体" w:hAnsi="宋体" w:eastAsia="宋体" w:cs="Times New Roman"/>
      <w:sz w:val="24"/>
      <w:szCs w:val="24"/>
    </w:rPr>
  </w:style>
  <w:style w:type="character" w:customStyle="1" w:styleId="43">
    <w:name w:val="页脚 字符"/>
    <w:link w:val="23"/>
    <w:uiPriority w:val="99"/>
    <w:rPr>
      <w:rFonts w:eastAsia="宋体"/>
      <w:sz w:val="18"/>
      <w:szCs w:val="18"/>
      <w:lang w:val="en-GB" w:eastAsia="zh-CN" w:bidi="ar-SA"/>
    </w:rPr>
  </w:style>
  <w:style w:type="character" w:customStyle="1" w:styleId="44">
    <w:name w:val="Char Char1"/>
    <w:uiPriority w:val="0"/>
    <w:rPr>
      <w:rFonts w:ascii="宋体" w:hAnsi="宋体" w:eastAsia="宋体"/>
      <w:kern w:val="2"/>
      <w:sz w:val="24"/>
      <w:szCs w:val="24"/>
      <w:lang w:val="en-US" w:eastAsia="zh-CN" w:bidi="ar-SA"/>
    </w:rPr>
  </w:style>
  <w:style w:type="character" w:customStyle="1" w:styleId="45">
    <w:name w:val="Char Char"/>
    <w:locked/>
    <w:uiPriority w:val="0"/>
    <w:rPr>
      <w:rFonts w:ascii="宋体" w:hAnsi="宋体" w:eastAsia="宋体"/>
      <w:kern w:val="2"/>
      <w:sz w:val="24"/>
      <w:szCs w:val="24"/>
      <w:lang w:val="en-US" w:eastAsia="zh-CN" w:bidi="ar-SA"/>
    </w:rPr>
  </w:style>
  <w:style w:type="character" w:customStyle="1" w:styleId="46">
    <w:name w:val="批注文字 字符"/>
    <w:link w:val="17"/>
    <w:uiPriority w:val="0"/>
    <w:rPr>
      <w:sz w:val="18"/>
      <w:lang w:val="en-GB"/>
    </w:rPr>
  </w:style>
  <w:style w:type="character" w:customStyle="1" w:styleId="47">
    <w:name w:val="批注主题 字符"/>
    <w:link w:val="29"/>
    <w:uiPriority w:val="0"/>
    <w:rPr>
      <w:b/>
      <w:bCs/>
      <w:sz w:val="18"/>
      <w:lang w:val="en-GB"/>
    </w:rPr>
  </w:style>
  <w:style w:type="character" w:customStyle="1" w:styleId="48">
    <w:name w:val="批注框文本 字符"/>
    <w:link w:val="22"/>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uiPriority w:val="0"/>
    <w:rPr>
      <w:sz w:val="18"/>
      <w:lang w:val="en-GB"/>
    </w:rPr>
  </w:style>
  <w:style w:type="character" w:customStyle="1" w:styleId="52">
    <w:name w:val="正文缩进 字符"/>
    <w:link w:val="14"/>
    <w:uiPriority w:val="0"/>
    <w:rPr>
      <w:rFonts w:ascii="宋体"/>
      <w:sz w:val="21"/>
    </w:rPr>
  </w:style>
  <w:style w:type="character" w:customStyle="1" w:styleId="53">
    <w:name w:val="标题 2 字符"/>
    <w:basedOn w:val="32"/>
    <w:link w:val="4"/>
    <w:uiPriority w:val="9"/>
    <w:rPr>
      <w:rFonts w:ascii="微软雅黑" w:hAnsi="微软雅黑" w:eastAsia="微软雅黑" w:cs="微软雅黑"/>
      <w:b/>
      <w:bCs/>
      <w:iCs/>
      <w:color w:val="000000"/>
      <w:sz w:val="24"/>
      <w:szCs w:val="24"/>
    </w:rPr>
  </w:style>
  <w:style w:type="character" w:customStyle="1" w:styleId="54">
    <w:name w:val="标题 3 字符"/>
    <w:basedOn w:val="32"/>
    <w:link w:val="5"/>
    <w:uiPriority w:val="9"/>
    <w:rPr>
      <w:rFonts w:ascii="微软雅黑" w:hAnsi="微软雅黑" w:eastAsia="微软雅黑" w:cs="微软雅黑"/>
      <w:b/>
      <w:bCs/>
      <w:sz w:val="24"/>
      <w:szCs w:val="21"/>
    </w:rPr>
  </w:style>
  <w:style w:type="character" w:customStyle="1" w:styleId="55">
    <w:name w:val="标题 4 字符"/>
    <w:basedOn w:val="32"/>
    <w:link w:val="6"/>
    <w:uiPriority w:val="9"/>
    <w:rPr>
      <w:b/>
      <w:bCs/>
      <w:sz w:val="21"/>
      <w:szCs w:val="28"/>
      <w:lang w:val="en-GB"/>
    </w:rPr>
  </w:style>
  <w:style w:type="character" w:customStyle="1" w:styleId="56">
    <w:name w:val="标题 5 字符"/>
    <w:basedOn w:val="32"/>
    <w:link w:val="7"/>
    <w:uiPriority w:val="9"/>
    <w:rPr>
      <w:b/>
      <w:bCs/>
      <w:iCs/>
      <w:sz w:val="21"/>
      <w:szCs w:val="26"/>
      <w:lang w:val="en-GB"/>
    </w:rPr>
  </w:style>
  <w:style w:type="character" w:customStyle="1" w:styleId="57">
    <w:name w:val="标题 6 字符"/>
    <w:basedOn w:val="32"/>
    <w:link w:val="8"/>
    <w:uiPriority w:val="9"/>
    <w:rPr>
      <w:b/>
      <w:bCs/>
      <w:sz w:val="21"/>
      <w:szCs w:val="22"/>
      <w:lang w:val="en-GB"/>
    </w:rPr>
  </w:style>
  <w:style w:type="character" w:customStyle="1" w:styleId="58">
    <w:name w:val="标题 7 字符"/>
    <w:basedOn w:val="32"/>
    <w:link w:val="9"/>
    <w:uiPriority w:val="9"/>
    <w:rPr>
      <w:sz w:val="24"/>
      <w:szCs w:val="24"/>
      <w:lang w:val="en-GB"/>
    </w:rPr>
  </w:style>
  <w:style w:type="character" w:customStyle="1" w:styleId="59">
    <w:name w:val="标题 8 字符"/>
    <w:basedOn w:val="32"/>
    <w:link w:val="10"/>
    <w:uiPriority w:val="9"/>
    <w:rPr>
      <w:i/>
      <w:iCs/>
      <w:sz w:val="24"/>
      <w:szCs w:val="24"/>
      <w:lang w:val="en-GB"/>
    </w:rPr>
  </w:style>
  <w:style w:type="character" w:customStyle="1" w:styleId="60">
    <w:name w:val="标题 9 字符"/>
    <w:basedOn w:val="32"/>
    <w:link w:val="11"/>
    <w:uiPriority w:val="9"/>
    <w:rPr>
      <w:rFonts w:ascii="Arial" w:hAnsi="Arial" w:cs="Arial"/>
      <w:sz w:val="22"/>
      <w:szCs w:val="22"/>
      <w:lang w:val="en-GB"/>
    </w:rPr>
  </w:style>
  <w:style w:type="character" w:customStyle="1" w:styleId="61">
    <w:name w:val="标题 字符"/>
    <w:basedOn w:val="32"/>
    <w:link w:val="28"/>
    <w:uiPriority w:val="10"/>
    <w:rPr>
      <w:rFonts w:asciiTheme="majorHAnsi" w:hAnsiTheme="majorHAnsi" w:cstheme="majorBidi"/>
      <w:b/>
      <w:bCs/>
      <w:kern w:val="2"/>
      <w:sz w:val="32"/>
      <w:szCs w:val="32"/>
    </w:rPr>
  </w:style>
  <w:style w:type="character" w:customStyle="1" w:styleId="62">
    <w:name w:val="页眉 字符"/>
    <w:basedOn w:val="32"/>
    <w:link w:val="24"/>
    <w:uiPriority w:val="99"/>
    <w:rPr>
      <w:sz w:val="18"/>
      <w:szCs w:val="18"/>
      <w:lang w:val="en-GB"/>
    </w:rPr>
  </w:style>
  <w:style w:type="character" w:customStyle="1" w:styleId="63">
    <w:name w:val="seatsp"/>
    <w:basedOn w:val="32"/>
    <w:uiPriority w:val="0"/>
  </w:style>
  <w:style w:type="character" w:customStyle="1" w:styleId="64">
    <w:name w:val="ss3"/>
    <w:basedOn w:val="32"/>
    <w:uiPriority w:val="0"/>
  </w:style>
  <w:style w:type="character" w:customStyle="1" w:styleId="65">
    <w:name w:val="正文格式 Char Char"/>
    <w:link w:val="66"/>
    <w:uiPriority w:val="0"/>
    <w:rPr>
      <w:rFonts w:eastAsia="仿宋_GB2312" w:cs="宋体"/>
      <w:color w:val="000000"/>
      <w:kern w:val="2"/>
      <w:sz w:val="28"/>
    </w:rPr>
  </w:style>
  <w:style w:type="paragraph" w:customStyle="1" w:styleId="66">
    <w:name w:val="正文格式"/>
    <w:basedOn w:val="1"/>
    <w:link w:val="65"/>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uiPriority w:val="0"/>
    <w:rPr>
      <w:rFonts w:eastAsia="华文细黑"/>
      <w:kern w:val="2"/>
      <w:sz w:val="24"/>
      <w:lang w:val="zh-CN" w:eastAsia="zh-CN"/>
    </w:rPr>
  </w:style>
  <w:style w:type="character" w:customStyle="1" w:styleId="68">
    <w:name w:val="fontstyle01"/>
    <w:basedOn w:val="32"/>
    <w:uiPriority w:val="0"/>
    <w:rPr>
      <w:rFonts w:hint="eastAsia" w:ascii="黑体" w:hAnsi="黑体" w:eastAsia="黑体"/>
      <w:color w:val="000000"/>
      <w:sz w:val="52"/>
      <w:szCs w:val="52"/>
    </w:rPr>
  </w:style>
  <w:style w:type="table" w:customStyle="1" w:styleId="69">
    <w:name w:val="List Table 2 Accent 2"/>
    <w:basedOn w:val="30"/>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Grid Table 6 Colorful Accent 3"/>
    <w:basedOn w:val="30"/>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List Table 1 Light Accent 3"/>
    <w:basedOn w:val="30"/>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List Table 2 Accent 3"/>
    <w:basedOn w:val="30"/>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List Table 4 Accent 3"/>
    <w:basedOn w:val="30"/>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List Table 4 Accent 4"/>
    <w:basedOn w:val="30"/>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List Table 6 Colorful Accent 3"/>
    <w:basedOn w:val="30"/>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List Table 3 Accent 3"/>
    <w:basedOn w:val="30"/>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Plain Table 2"/>
    <w:basedOn w:val="30"/>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8.bmp"/><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bmp"/><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datastoreItem>
</file>

<file path=docProps/app.xml><?xml version="1.0" encoding="utf-8"?>
<Properties xmlns="http://schemas.openxmlformats.org/officeDocument/2006/extended-properties" xmlns:vt="http://schemas.openxmlformats.org/officeDocument/2006/docPropsVTypes">
  <Template>tmp4.dotx</Template>
  <Pages>16</Pages>
  <Words>4927</Words>
  <Characters>6525</Characters>
  <Lines>66</Lines>
  <Paragraphs>18</Paragraphs>
  <TotalTime>1</TotalTime>
  <ScaleCrop>false</ScaleCrop>
  <LinksUpToDate>false</LinksUpToDate>
  <CharactersWithSpaces>6650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2024-01-09T02:03:00Z</dcterms:created>
  <dc:creator>Mr°Zぃ</dc:creator>
  <cp:lastModifiedBy>Mr°Zぃ</cp:lastModifiedBy>
  <dcterms:modified xsi:type="dcterms:W3CDTF">2024-01-09T02:05:11Z</dcterms:modified>
  <dc:title>光伏发电分析报告</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AECAE7E3FE704AE8A53569AAB29AFECA_11</vt:lpwstr>
  </property>
  <property fmtid="{D5CDD505-2E9C-101B-9397-08002B2CF9AE}" pid="3" name="KSOProductBuildVer">
    <vt:lpwstr>2052-12.1.0.16120</vt:lpwstr>
  </property>
</Properties>
</file>