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bookmarkStart w:id="179" w:name="_GoBack"/>
      <w:r>
        <w:rPr>
          <w:rFonts w:hint="eastAsia" w:ascii="黑体" w:hAnsi="宋体" w:eastAsia="黑体"/>
          <w:b/>
          <w:bCs/>
          <w:sz w:val="72"/>
          <w:szCs w:val="72"/>
        </w:rPr>
        <w:t>室外风环境模拟分析报告</w:t>
      </w:r>
    </w:p>
    <w:bookmarkEnd w:id="179"/>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工程名称"/>
            <w:bookmarkStart w:id="2" w:name="项目名称"/>
            <w:r>
              <w:t>临水村铜窑民宿设计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3" w:name="项目地点"/>
            <w:r>
              <w:t>吕梁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4" w:name="设计编号"/>
            <w:r>
              <w:t>BK1A60087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5" w:name="建设单位"/>
            <w:r>
              <w:t>建筑与土木工程系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6" w:name="设计单位"/>
            <w:r>
              <w:t>优靛东喜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7" w:name="报告日期"/>
            <w:r>
              <w:rPr>
                <w:rFonts w:hint="eastAsia" w:ascii="宋体" w:hAnsi="宋体"/>
                <w:szCs w:val="21"/>
              </w:rPr>
              <w:t>2024年01月08日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8" w:name="二维码"/>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9" w:name="目录"/>
      <w:r>
        <w:rPr>
          <w:rFonts w:ascii="宋体" w:hAnsi="宋体"/>
          <w:bCs w:val="0"/>
          <w:caps/>
        </w:rPr>
        <w:fldChar w:fldCharType="begin"/>
      </w:r>
      <w:r>
        <w:rPr>
          <w:rFonts w:ascii="宋体" w:hAnsi="宋体"/>
          <w:bCs w:val="0"/>
          <w:caps/>
        </w:rPr>
        <w:instrText xml:space="preserve"> HYPERLINK \l _Toc16332 </w:instrText>
      </w:r>
      <w:r>
        <w:rPr>
          <w:rFonts w:ascii="宋体" w:hAnsi="宋体"/>
          <w:bCs w:val="0"/>
          <w:caps/>
        </w:rPr>
        <w:fldChar w:fldCharType="separate"/>
      </w:r>
      <w:r>
        <w:rPr>
          <w:rFonts w:hint="eastAsia"/>
        </w:rPr>
        <w:t>1 项目概况</w:t>
      </w:r>
      <w:r>
        <w:tab/>
      </w:r>
      <w:r>
        <w:fldChar w:fldCharType="begin"/>
      </w:r>
      <w:r>
        <w:instrText xml:space="preserve"> PAGEREF _Toc16332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_Toc31480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_Toc31480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_Toc25000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_Toc25000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_Toc17581 </w:instrText>
      </w:r>
      <w:r>
        <w:fldChar w:fldCharType="separate"/>
      </w:r>
      <w:r>
        <w:rPr>
          <w:rFonts w:hint="eastAsia"/>
        </w:rPr>
        <w:t>2 计算</w:t>
      </w:r>
      <w:r>
        <w:t>依据</w:t>
      </w:r>
      <w:r>
        <w:tab/>
      </w:r>
      <w:r>
        <w:fldChar w:fldCharType="begin"/>
      </w:r>
      <w:r>
        <w:instrText xml:space="preserve"> PAGEREF _Toc17581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_Toc30546 </w:instrText>
      </w:r>
      <w:r>
        <w:fldChar w:fldCharType="separate"/>
      </w:r>
      <w:r>
        <w:rPr>
          <w:rFonts w:hint="eastAsia"/>
        </w:rPr>
        <w:t>3 参考</w:t>
      </w:r>
      <w:r>
        <w:t>标准</w:t>
      </w:r>
      <w:r>
        <w:tab/>
      </w:r>
      <w:r>
        <w:fldChar w:fldCharType="begin"/>
      </w:r>
      <w:r>
        <w:instrText xml:space="preserve"> PAGEREF _Toc30546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_Toc10610 </w:instrText>
      </w:r>
      <w:r>
        <w:fldChar w:fldCharType="separate"/>
      </w:r>
      <w:r>
        <w:rPr>
          <w:rFonts w:hint="eastAsia"/>
        </w:rPr>
        <w:t>4 计算原理</w:t>
      </w:r>
      <w:r>
        <w:tab/>
      </w:r>
      <w:r>
        <w:fldChar w:fldCharType="begin"/>
      </w:r>
      <w:r>
        <w:instrText xml:space="preserve"> PAGEREF _Toc10610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_Toc23892 </w:instrText>
      </w:r>
      <w:r>
        <w:fldChar w:fldCharType="separate"/>
      </w:r>
      <w:r>
        <w:rPr>
          <w:rFonts w:hint="eastAsia"/>
          <w:lang w:val="en-GB"/>
        </w:rPr>
        <w:t xml:space="preserve">4.1 </w:t>
      </w:r>
      <w:r>
        <w:rPr>
          <w:rFonts w:hint="eastAsia"/>
        </w:rPr>
        <w:t>风场计算域</w:t>
      </w:r>
      <w:r>
        <w:tab/>
      </w:r>
      <w:r>
        <w:fldChar w:fldCharType="begin"/>
      </w:r>
      <w:r>
        <w:instrText xml:space="preserve"> PAGEREF _Toc23892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_Toc10648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_Toc10648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_Toc30974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_Toc30974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_Toc27241 </w:instrText>
      </w:r>
      <w:r>
        <w:fldChar w:fldCharType="separate"/>
      </w:r>
      <w:r>
        <w:rPr>
          <w:rFonts w:hint="eastAsia"/>
          <w:lang w:val="en-GB"/>
        </w:rPr>
        <w:t xml:space="preserve">4.2 </w:t>
      </w:r>
      <w:r>
        <w:rPr>
          <w:rFonts w:hint="eastAsia"/>
        </w:rPr>
        <w:t>网格划分</w:t>
      </w:r>
      <w:r>
        <w:tab/>
      </w:r>
      <w:r>
        <w:fldChar w:fldCharType="begin"/>
      </w:r>
      <w:r>
        <w:instrText xml:space="preserve"> PAGEREF _Toc27241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_Toc17091 </w:instrText>
      </w:r>
      <w:r>
        <w:fldChar w:fldCharType="separate"/>
      </w:r>
      <w:r>
        <w:rPr>
          <w:rFonts w:hint="eastAsia"/>
          <w:lang w:val="en-GB"/>
        </w:rPr>
        <w:t xml:space="preserve">4.3 </w:t>
      </w:r>
      <w:r>
        <w:rPr>
          <w:rFonts w:hint="eastAsia"/>
        </w:rPr>
        <w:t>边界条件</w:t>
      </w:r>
      <w:r>
        <w:tab/>
      </w:r>
      <w:r>
        <w:fldChar w:fldCharType="begin"/>
      </w:r>
      <w:r>
        <w:instrText xml:space="preserve"> PAGEREF _Toc17091 \h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_Toc4498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_Toc4498 \h </w:instrText>
      </w:r>
      <w:r>
        <w:fldChar w:fldCharType="separate"/>
      </w:r>
      <w:r>
        <w:t>11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_Toc17534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_Toc17534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_Toc6367 </w:instrText>
      </w:r>
      <w:r>
        <w:fldChar w:fldCharType="separate"/>
      </w:r>
      <w:r>
        <w:rPr>
          <w:rFonts w:hint="eastAsia"/>
          <w:lang w:val="en-GB"/>
        </w:rPr>
        <w:t xml:space="preserve">4.4 </w:t>
      </w:r>
      <w:r>
        <w:rPr>
          <w:rFonts w:hint="eastAsia"/>
        </w:rPr>
        <w:t>湍流模型</w:t>
      </w:r>
      <w:r>
        <w:tab/>
      </w:r>
      <w:r>
        <w:fldChar w:fldCharType="begin"/>
      </w:r>
      <w:r>
        <w:instrText xml:space="preserve"> PAGEREF _Toc6367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_Toc12989 </w:instrText>
      </w:r>
      <w:r>
        <w:fldChar w:fldCharType="separate"/>
      </w:r>
      <w:r>
        <w:rPr>
          <w:rFonts w:hint="eastAsia"/>
          <w:lang w:val="en-GB"/>
        </w:rPr>
        <w:t xml:space="preserve">4.5 </w:t>
      </w:r>
      <w:r>
        <w:rPr>
          <w:rFonts w:hint="eastAsia"/>
        </w:rPr>
        <w:t>求解计算</w:t>
      </w:r>
      <w:r>
        <w:tab/>
      </w:r>
      <w:r>
        <w:fldChar w:fldCharType="begin"/>
      </w:r>
      <w:r>
        <w:instrText xml:space="preserve"> PAGEREF _Toc12989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_Toc17615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_Toc17615 \h </w:instrText>
      </w:r>
      <w:r>
        <w:fldChar w:fldCharType="separate"/>
      </w:r>
      <w:r>
        <w:t>13</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_Toc31943 </w:instrText>
      </w:r>
      <w:r>
        <w:fldChar w:fldCharType="separate"/>
      </w:r>
      <w:r>
        <w:rPr>
          <w:rFonts w:hint="eastAsia"/>
        </w:rPr>
        <w:t>5 结果</w:t>
      </w:r>
      <w:r>
        <w:t>分析</w:t>
      </w:r>
      <w:r>
        <w:tab/>
      </w:r>
      <w:r>
        <w:fldChar w:fldCharType="begin"/>
      </w:r>
      <w:r>
        <w:instrText xml:space="preserve"> PAGEREF _Toc31943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_Toc6204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_Toc6204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_Toc31220 </w:instrText>
      </w:r>
      <w:r>
        <w:fldChar w:fldCharType="separate"/>
      </w:r>
      <w:r>
        <w:rPr>
          <w:rFonts w:hint="eastAsia"/>
          <w:lang w:val="en-GB"/>
        </w:rPr>
        <w:t xml:space="preserve">5.2 </w:t>
      </w:r>
      <w:r>
        <w:rPr>
          <w:rFonts w:hint="eastAsia"/>
        </w:rPr>
        <w:t>冬季工况</w:t>
      </w:r>
      <w:r>
        <w:tab/>
      </w:r>
      <w:r>
        <w:fldChar w:fldCharType="begin"/>
      </w:r>
      <w:r>
        <w:instrText xml:space="preserve"> PAGEREF _Toc31220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_Toc9592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_Toc9592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_Toc10775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_Toc10775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_Toc23338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_Toc23338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_Toc19918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_Toc19918 \h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_Toc23610 </w:instrText>
      </w:r>
      <w:r>
        <w:fldChar w:fldCharType="separate"/>
      </w:r>
      <w:r>
        <w:rPr>
          <w:rFonts w:hint="eastAsia"/>
          <w:lang w:val="en-GB"/>
        </w:rPr>
        <w:t xml:space="preserve">5.3 </w:t>
      </w:r>
      <w:r>
        <w:rPr>
          <w:rFonts w:hint="eastAsia"/>
        </w:rPr>
        <w:t>夏季工况</w:t>
      </w:r>
      <w:r>
        <w:tab/>
      </w:r>
      <w:r>
        <w:fldChar w:fldCharType="begin"/>
      </w:r>
      <w:r>
        <w:instrText xml:space="preserve"> PAGEREF _Toc23610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_Toc22046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_Toc22046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_Toc12395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_Toc12395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_Toc25412 </w:instrText>
      </w:r>
      <w:r>
        <w:fldChar w:fldCharType="separate"/>
      </w:r>
      <w:r>
        <w:rPr>
          <w:rFonts w:hint="eastAsia" w:eastAsia="宋体"/>
          <w:szCs w:val="24"/>
          <w:lang w:val="en-GB"/>
        </w:rPr>
        <w:t xml:space="preserve">5.3.3 </w:t>
      </w:r>
      <w:r>
        <w:rPr>
          <w:rFonts w:hint="eastAsia"/>
        </w:rPr>
        <w:t>旋涡区/无风区达标结果汇总</w:t>
      </w:r>
      <w:r>
        <w:tab/>
      </w:r>
      <w:r>
        <w:fldChar w:fldCharType="begin"/>
      </w:r>
      <w:r>
        <w:instrText xml:space="preserve"> PAGEREF _Toc25412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_Toc30826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_Toc30826 \h </w:instrText>
      </w:r>
      <w:r>
        <w:fldChar w:fldCharType="separate"/>
      </w:r>
      <w:r>
        <w:t>20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_Toc5912 </w:instrText>
      </w:r>
      <w:r>
        <w:fldChar w:fldCharType="separate"/>
      </w:r>
      <w:r>
        <w:rPr>
          <w:rFonts w:hint="eastAsia"/>
          <w:lang w:val="en-GB"/>
        </w:rPr>
        <w:t xml:space="preserve">5.4 </w:t>
      </w:r>
      <w:r>
        <w:rPr>
          <w:rFonts w:hint="eastAsia"/>
        </w:rPr>
        <w:t>结论</w:t>
      </w:r>
      <w:r>
        <w:tab/>
      </w:r>
      <w:r>
        <w:fldChar w:fldCharType="begin"/>
      </w:r>
      <w:r>
        <w:instrText xml:space="preserve"> PAGEREF _Toc5912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_Toc11038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_Toc11038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_Toc16266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_Toc16266 \h </w:instrText>
      </w:r>
      <w:r>
        <w:fldChar w:fldCharType="separate"/>
      </w:r>
      <w:r>
        <w:t>22</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0" w:name="_Toc16332"/>
      <w:bookmarkStart w:id="11" w:name="_Toc452108759"/>
      <w:r>
        <w:rPr>
          <w:rFonts w:hint="eastAsia"/>
        </w:rPr>
        <w:t>项目概况</w:t>
      </w:r>
      <w:bookmarkEnd w:id="10"/>
    </w:p>
    <w:p>
      <w:pPr>
        <w:pStyle w:val="3"/>
        <w:ind w:firstLine="420"/>
        <w:rPr>
          <w:lang w:val="en-US"/>
        </w:rPr>
      </w:pPr>
      <w:bookmarkStart w:id="12"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31480"/>
      <w:bookmarkStart w:id="14" w:name="_Toc452108760"/>
      <w:r>
        <w:rPr>
          <w:rFonts w:hint="eastAsia"/>
        </w:rPr>
        <w:t>总</w:t>
      </w:r>
      <w:r>
        <w:t>平面图</w:t>
      </w:r>
      <w:bookmarkEnd w:id="1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5"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5"/>
    </w:tbl>
    <w:p>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7" w:name="_Toc452108761"/>
      <w:bookmarkStart w:id="18" w:name="_Toc25000"/>
      <w:r>
        <w:rPr>
          <w:rFonts w:hint="eastAsia"/>
        </w:rPr>
        <w:t>三</w:t>
      </w:r>
      <w:r>
        <w:t>维视图</w:t>
      </w:r>
      <w:bookmarkEnd w:id="17"/>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9"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9"/>
    </w:tbl>
    <w:p>
      <w:pPr>
        <w:pStyle w:val="3"/>
        <w:ind w:firstLine="0" w:firstLineChars="0"/>
        <w:jc w:val="center"/>
        <w:rPr>
          <w:lang w:val="en-US"/>
        </w:rPr>
      </w:pPr>
      <w:r>
        <w:rPr>
          <w:rFonts w:hint="eastAsia"/>
          <w:lang w:val="en-US"/>
        </w:rPr>
        <w:t xml:space="preserve"> </w:t>
      </w:r>
      <w:bookmarkStart w:id="20" w:name="三维视图"/>
      <w:bookmarkEnd w:id="20"/>
      <w: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17581"/>
      <w:bookmarkStart w:id="22" w:name="TitleFormat"/>
      <w:bookmarkStart w:id="23" w:name="_Toc452108762"/>
      <w:r>
        <w:rPr>
          <w:rFonts w:hint="eastAsia"/>
        </w:rPr>
        <w:t>计算</w:t>
      </w:r>
      <w:r>
        <w:t>依据</w:t>
      </w:r>
      <w:bookmarkEnd w:id="21"/>
      <w:bookmarkEnd w:id="22"/>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4" w:name="参考标准名称1"/>
      <w:r>
        <w:rPr>
          <w:rFonts w:hint="eastAsia"/>
          <w:lang w:val="en-US"/>
        </w:rPr>
        <w:t>《绿色建筑评价标准》GB/T50378-2019</w:t>
      </w:r>
      <w:bookmarkEnd w:id="24"/>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5" w:name="_Toc30546"/>
      <w:bookmarkStart w:id="26" w:name="_Toc452108763"/>
      <w:r>
        <w:rPr>
          <w:rFonts w:hint="eastAsia"/>
        </w:rPr>
        <w:t>参考</w:t>
      </w:r>
      <w:r>
        <w:t>标准</w:t>
      </w:r>
      <w:bookmarkEnd w:id="25"/>
      <w:bookmarkEnd w:id="26"/>
    </w:p>
    <w:p>
      <w:pPr>
        <w:pStyle w:val="3"/>
        <w:ind w:firstLine="420"/>
        <w:rPr>
          <w:lang w:val="en-US"/>
        </w:rPr>
      </w:pPr>
      <w:r>
        <w:rPr>
          <w:rFonts w:hint="eastAsia"/>
          <w:lang w:val="en-US"/>
        </w:rPr>
        <w:t>室外风环境评价依据为</w:t>
      </w:r>
      <w:bookmarkStart w:id="27" w:name="参考标准名称2"/>
      <w:r>
        <w:rPr>
          <w:rFonts w:hint="eastAsia"/>
          <w:lang w:val="en-US"/>
        </w:rPr>
        <w:t>《绿色建筑评价标准》GB/T50378-2019</w:t>
      </w:r>
      <w:bookmarkEnd w:id="27"/>
      <w:r>
        <w:rPr>
          <w:rFonts w:hint="eastAsia"/>
          <w:lang w:val="en-US"/>
        </w:rPr>
        <w:t>中有关室外风环境的条目要求。具体要求如下：</w:t>
      </w:r>
    </w:p>
    <w:p>
      <w:pPr>
        <w:pStyle w:val="3"/>
        <w:ind w:firstLine="420"/>
        <w:rPr>
          <w:lang w:val="en-US"/>
        </w:rPr>
      </w:pPr>
      <w:bookmarkStart w:id="28" w:name="_Toc452108764"/>
      <w:bookmarkStart w:id="29" w:name="_Toc451698935"/>
      <w:bookmarkStart w:id="30"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1" w:name="参考标准冬季风速得分"/>
      <w:r>
        <w:rPr>
          <w:lang w:val="en-US"/>
        </w:rPr>
        <w:t>3</w:t>
      </w:r>
      <w:r>
        <w:rPr>
          <w:rFonts w:hint="eastAsia"/>
          <w:lang w:val="en-US"/>
        </w:rPr>
        <w:t>分；除迎风第一排建筑外，建筑迎风面与背风面表面风压差不超过5Pa，得</w:t>
      </w:r>
      <w:bookmarkStart w:id="32"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3" w:name="参考标准夏季风速得分"/>
      <w:r>
        <w:rPr>
          <w:lang w:val="en-US"/>
        </w:rPr>
        <w:t>3</w:t>
      </w:r>
      <w:bookmarkEnd w:id="33"/>
      <w:r>
        <w:rPr>
          <w:rFonts w:hint="eastAsia"/>
          <w:lang w:val="en-US"/>
        </w:rPr>
        <w:t>分；50%以上可开启外窗室内外表面的风压差大于0.5Pa，得</w:t>
      </w:r>
      <w:bookmarkStart w:id="34" w:name="参考标准夏季风压得分"/>
      <w:r>
        <w:rPr>
          <w:lang w:val="en-US"/>
        </w:rPr>
        <w:t>2</w:t>
      </w:r>
      <w:bookmarkEnd w:id="34"/>
      <w:r>
        <w:rPr>
          <w:rFonts w:hint="eastAsia"/>
          <w:lang w:val="en-US"/>
        </w:rPr>
        <w:t>分。</w:t>
      </w:r>
    </w:p>
    <w:p>
      <w:pPr>
        <w:pStyle w:val="2"/>
      </w:pPr>
      <w:bookmarkStart w:id="35" w:name="_Toc10610"/>
      <w:r>
        <w:rPr>
          <w:rFonts w:hint="eastAsia"/>
        </w:rPr>
        <w:t>计算原理</w:t>
      </w:r>
      <w:bookmarkEnd w:id="28"/>
      <w:bookmarkEnd w:id="29"/>
      <w:bookmarkEnd w:id="35"/>
    </w:p>
    <w:p>
      <w:pPr>
        <w:pStyle w:val="4"/>
        <w:numPr>
          <w:ilvl w:val="1"/>
          <w:numId w:val="3"/>
        </w:numPr>
      </w:pPr>
      <w:bookmarkStart w:id="36" w:name="_Toc23892"/>
      <w:bookmarkStart w:id="37" w:name="_Toc509844740"/>
      <w:bookmarkStart w:id="38" w:name="_Toc451698937"/>
      <w:bookmarkStart w:id="39" w:name="_Toc452108765"/>
      <w:r>
        <w:rPr>
          <w:rFonts w:hint="eastAsia"/>
        </w:rPr>
        <w:t>风场计算域</w:t>
      </w:r>
      <w:bookmarkEnd w:id="36"/>
      <w:bookmarkEnd w:id="3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0" w:name="_Toc10648"/>
      <w:bookmarkStart w:id="41" w:name="季节1"/>
      <w:r>
        <w:rPr>
          <w:rFonts w:hint="eastAsia"/>
        </w:rPr>
        <w:t>冬季工况风场计算域</w:t>
      </w:r>
      <w:bookmarkEnd w:id="4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2" w:name="季节2"/>
      <w:r>
        <w:rPr>
          <w:rFonts w:hint="eastAsia" w:ascii="黑体" w:hAnsi="黑体" w:eastAsia="黑体"/>
          <w:sz w:val="20"/>
          <w:szCs w:val="20"/>
        </w:rPr>
        <w:t>冬季</w:t>
      </w:r>
      <w:bookmarkEnd w:id="42"/>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X尺寸"/>
            <w:r>
              <w:t>350</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Y尺寸"/>
            <w:r>
              <w:t>306</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Z尺寸"/>
            <w:r>
              <w:t>107</w:t>
            </w:r>
            <w:bookmarkEnd w:id="45"/>
          </w:p>
        </w:tc>
      </w:tr>
    </w:tbl>
    <w:p>
      <w:pPr>
        <w:pStyle w:val="3"/>
        <w:ind w:firstLine="0" w:firstLineChars="0"/>
        <w:jc w:val="center"/>
        <w:rPr>
          <w:lang w:val="en-US"/>
        </w:rPr>
      </w:pPr>
      <w:bookmarkStart w:id="46" w:name="冬季工况风场计算域图示"/>
      <w:bookmarkEnd w:id="46"/>
      <w:r>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7" w:name="季节3"/>
      <w:r>
        <w:rPr>
          <w:rFonts w:hint="eastAsia" w:ascii="黑体" w:hAnsi="黑体"/>
        </w:rPr>
        <w:t>冬季</w:t>
      </w:r>
      <w:bookmarkEnd w:id="47"/>
      <w:r>
        <w:rPr>
          <w:rFonts w:hint="eastAsia"/>
        </w:rPr>
        <w:t>工况风场计算域图示</w:t>
      </w:r>
      <w:r>
        <w:rPr>
          <w:rFonts w:hint="eastAsia"/>
          <w:szCs w:val="21"/>
          <w:lang w:val="en-US"/>
        </w:rPr>
        <w:t xml:space="preserve"> </w:t>
      </w:r>
    </w:p>
    <w:p>
      <w:pPr>
        <w:pStyle w:val="5"/>
        <w:numPr>
          <w:ilvl w:val="2"/>
          <w:numId w:val="3"/>
        </w:numPr>
      </w:pPr>
      <w:bookmarkStart w:id="48" w:name="_Toc30974"/>
      <w:r>
        <w:rPr>
          <w:rFonts w:hint="eastAsia"/>
        </w:rPr>
        <w:t>夏季工况风场计算域</w:t>
      </w:r>
      <w:bookmarkEnd w:id="4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107</w:t>
            </w:r>
          </w:p>
        </w:tc>
      </w:tr>
    </w:tbl>
    <w:p>
      <w:pPr>
        <w:pStyle w:val="3"/>
        <w:ind w:firstLine="0" w:firstLineChars="0"/>
        <w:jc w:val="center"/>
        <w:rPr>
          <w:lang w:val="en-US"/>
        </w:rPr>
      </w:pPr>
      <w:r>
        <w:drawing>
          <wp:inline distT="0" distB="0" distL="0" distR="0">
            <wp:extent cx="5667375" cy="3124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509844741"/>
      <w:bookmarkStart w:id="51" w:name="_Toc27241"/>
      <w:r>
        <w:rPr>
          <w:rFonts w:hint="eastAsia"/>
        </w:rPr>
        <w:t>网格划分</w:t>
      </w:r>
      <w:bookmarkEnd w:id="50"/>
      <w:bookmarkEnd w:id="5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6"/>
      <w:bookmarkStart w:id="53" w:name="OLE_LINK277"/>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5" w:name="冬季网格总数"/>
            <w:r>
              <w:t>240665</w:t>
            </w:r>
            <w:bookmarkEnd w:id="55"/>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分弧精度"/>
            <w:r>
              <w:t>0.24</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初始网格"/>
            <w:r>
              <w:t>8.0</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最小细分级数"/>
            <w:r>
              <w:t>1</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大细分级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远场细分级数"/>
            <w:r>
              <w:t>1</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近场细分级数"/>
            <w:r>
              <w:t>2</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地面附面层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建筑附面层数"/>
            <w:r>
              <w:t>0</w:t>
            </w:r>
            <w:bookmarkEnd w:id="63"/>
          </w:p>
        </w:tc>
      </w:tr>
    </w:tbl>
    <w:p>
      <w:pPr>
        <w:rPr>
          <w:szCs w:val="21"/>
          <w:lang w:val="en-US"/>
        </w:rPr>
      </w:pPr>
    </w:p>
    <w:p>
      <w:pPr>
        <w:jc w:val="center"/>
      </w:pPr>
      <w:bookmarkStart w:id="64" w:name="网格图"/>
      <w:bookmarkEnd w:id="64"/>
      <w:r>
        <w:drawing>
          <wp:inline distT="0" distB="0" distL="0" distR="0">
            <wp:extent cx="5667375" cy="33718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33718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5" w:name="季节"/>
      <w:r>
        <w:rPr>
          <w:rFonts w:hint="eastAsia" w:ascii="黑体" w:hAnsi="黑体" w:eastAsia="黑体"/>
          <w:sz w:val="20"/>
          <w:szCs w:val="20"/>
        </w:rPr>
        <w:t>冬季</w:t>
      </w:r>
      <w:bookmarkEnd w:id="65"/>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4"/>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266325</w:t>
            </w:r>
            <w:bookmarkEnd w:id="5"/>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bookmarkEnd w:id="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4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bookmarkEnd w:id="14"/>
          </w:p>
        </w:tc>
      </w:tr>
    </w:tbl>
    <w:p>
      <w:pPr>
        <w:rPr>
          <w:szCs w:val="21"/>
          <w:lang w:val="en-US"/>
        </w:rPr>
      </w:pPr>
    </w:p>
    <w:p>
      <w:pPr>
        <w:jc w:val="center"/>
      </w:pPr>
      <w:r>
        <w:drawing>
          <wp:inline distT="0" distB="0" distL="0" distR="0">
            <wp:extent cx="5667375" cy="33718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5"/>
                    <a:stretch>
                      <a:fillRect/>
                    </a:stretch>
                  </pic:blipFill>
                  <pic:spPr>
                    <a:xfrm>
                      <a:off x="0" y="0"/>
                      <a:ext cx="5667375" cy="33718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66" w:name="网格划分信息"/>
      <w:bookmarkEnd w:id="66"/>
      <w:r>
        <w:rPr>
          <w:rFonts w:hint="eastAsia" w:ascii="黑体" w:hAnsi="黑体" w:eastAsia="黑体"/>
          <w:szCs w:val="20"/>
          <w:lang w:val="en-US"/>
        </w:rPr>
        <w:t>注：前述计算域随风向不同，所以相同的网格方案会产生不同的网格数量。</w:t>
      </w:r>
    </w:p>
    <w:bookmarkEnd w:id="49"/>
    <w:p>
      <w:pPr>
        <w:pStyle w:val="3"/>
        <w:ind w:firstLine="0" w:firstLineChars="0"/>
        <w:rPr>
          <w:rFonts w:ascii="黑体" w:hAnsi="黑体" w:eastAsia="黑体"/>
          <w:szCs w:val="20"/>
          <w:lang w:val="en-US"/>
        </w:rPr>
      </w:pPr>
    </w:p>
    <w:p>
      <w:pPr>
        <w:pStyle w:val="4"/>
        <w:numPr>
          <w:ilvl w:val="1"/>
          <w:numId w:val="3"/>
        </w:numPr>
      </w:pPr>
      <w:bookmarkStart w:id="67" w:name="_Toc17091"/>
      <w:bookmarkStart w:id="68" w:name="_Toc509844742"/>
      <w:r>
        <w:rPr>
          <w:rFonts w:hint="eastAsia"/>
        </w:rPr>
        <w:t>边界条件</w:t>
      </w:r>
      <w:bookmarkEnd w:id="67"/>
      <w:bookmarkEnd w:id="68"/>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9" w:name="_Toc509844743"/>
      <w:bookmarkStart w:id="70" w:name="_Toc4498"/>
      <w:r>
        <w:rPr>
          <w:rFonts w:hint="eastAsia"/>
        </w:rPr>
        <w:t>入口与出口边界条件</w:t>
      </w:r>
      <w:bookmarkEnd w:id="69"/>
      <w:bookmarkEnd w:id="70"/>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1" w:name="地面粗糙度指数2"/>
      <w:r>
        <w:rPr>
          <w:rFonts w:hint="eastAsia"/>
          <w:lang w:val="en-US"/>
        </w:rPr>
        <w:t>0.28</w:t>
      </w:r>
      <w:bookmarkEnd w:id="71"/>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2" w:name="_Toc509844744"/>
      <w:bookmarkStart w:id="73" w:name="_Toc17534"/>
      <w:r>
        <w:rPr>
          <w:rFonts w:hint="eastAsia"/>
        </w:rPr>
        <w:t>壁面边界条件</w:t>
      </w:r>
      <w:bookmarkEnd w:id="72"/>
      <w:bookmarkEnd w:id="73"/>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4" w:name="_Toc6367"/>
      <w:r>
        <w:rPr>
          <w:rFonts w:hint="eastAsia"/>
        </w:rPr>
        <w:t>湍流模型</w:t>
      </w:r>
      <w:bookmarkEnd w:id="38"/>
      <w:bookmarkEnd w:id="39"/>
      <w:bookmarkEnd w:id="74"/>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5" w:name="_Toc451698939"/>
      <w:bookmarkStart w:id="76" w:name="_Toc452108767"/>
      <w:bookmarkStart w:id="77" w:name="_Toc12989"/>
      <w:r>
        <w:rPr>
          <w:rFonts w:hint="eastAsia"/>
        </w:rPr>
        <w:t>求解计算</w:t>
      </w:r>
      <w:bookmarkEnd w:id="75"/>
      <w:bookmarkEnd w:id="76"/>
      <w:bookmarkEnd w:id="77"/>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8"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8"/>
      <w:r>
        <w:rPr>
          <w:rFonts w:hint="eastAsia" w:ascii="黑体" w:hAnsi="黑体" w:eastAsia="黑体"/>
          <w:sz w:val="20"/>
          <w:szCs w:val="20"/>
        </w:rPr>
        <w:t xml:space="preserve"> </w:t>
      </w:r>
      <w:bookmarkStart w:id="79" w:name="_Ref225175618"/>
      <w:r>
        <w:rPr>
          <w:rFonts w:hint="eastAsia" w:ascii="黑体" w:hAnsi="黑体" w:eastAsia="黑体"/>
          <w:sz w:val="20"/>
          <w:szCs w:val="20"/>
        </w:rPr>
        <w:t>计算流体力学的控制方程</w:t>
      </w:r>
      <w:bookmarkEnd w:id="79"/>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0"/>
    </w:p>
    <w:p>
      <w:pPr>
        <w:pStyle w:val="4"/>
      </w:pPr>
      <w:bookmarkStart w:id="80" w:name="_Toc509844747"/>
      <w:bookmarkStart w:id="81" w:name="_Toc17615"/>
      <w:r>
        <w:rPr>
          <w:rFonts w:hint="eastAsia"/>
        </w:rPr>
        <w:t>风速放大系数计算</w:t>
      </w:r>
      <w:bookmarkEnd w:id="80"/>
      <w:bookmarkEnd w:id="81"/>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2" w:name="地面粗糙度指数"/>
      <w:r>
        <w:rPr>
          <w:rFonts w:hint="eastAsia"/>
          <w:lang w:val="en-US"/>
        </w:rPr>
        <w:t>0.28</w:t>
      </w:r>
      <w:bookmarkEnd w:id="82"/>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3" w:name="_Toc31943"/>
      <w:bookmarkStart w:id="84" w:name="_Toc452108768"/>
      <w:r>
        <w:rPr>
          <w:rFonts w:hint="eastAsia"/>
        </w:rPr>
        <w:t>结果</w:t>
      </w:r>
      <w:r>
        <w:t>分析</w:t>
      </w:r>
      <w:bookmarkEnd w:id="83"/>
      <w:bookmarkEnd w:id="84"/>
    </w:p>
    <w:p>
      <w:pPr>
        <w:pStyle w:val="4"/>
        <w:rPr>
          <w:szCs w:val="21"/>
        </w:rPr>
      </w:pPr>
      <w:bookmarkStart w:id="85" w:name="_Toc6204"/>
      <w:r>
        <w:rPr>
          <w:rFonts w:hint="eastAsia"/>
          <w:szCs w:val="21"/>
        </w:rPr>
        <w:t>工况</w:t>
      </w:r>
      <w:r>
        <w:rPr>
          <w:szCs w:val="21"/>
        </w:rPr>
        <w:t>表</w:t>
      </w:r>
      <w:bookmarkEnd w:id="85"/>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6"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86"/>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7" w:name="_Toc31220"/>
      <w:bookmarkStart w:id="88" w:name="_Toc509844750"/>
      <w:r>
        <w:rPr>
          <w:rFonts w:hint="eastAsia"/>
        </w:rPr>
        <w:t>冬季工况</w:t>
      </w:r>
      <w:bookmarkEnd w:id="87"/>
      <w:bookmarkEnd w:id="88"/>
    </w:p>
    <w:p>
      <w:pPr>
        <w:ind w:firstLine="420" w:firstLineChars="200"/>
        <w:jc w:val="both"/>
      </w:pPr>
      <w:r>
        <w:rPr>
          <w:rFonts w:hint="eastAsia"/>
          <w:lang w:val="en-US"/>
        </w:rPr>
        <w:t>本项目冬季工况的入口边界风速为</w:t>
      </w:r>
      <w:bookmarkStart w:id="89" w:name="冬季入口边界风速"/>
      <w:r>
        <w:rPr>
          <w:rFonts w:hint="eastAsia" w:ascii="Calibri" w:hAnsi="Calibri"/>
          <w:szCs w:val="21"/>
        </w:rPr>
        <w:t>4.70</w:t>
      </w:r>
      <w:bookmarkEnd w:id="89"/>
      <w:r>
        <w:rPr>
          <w:rFonts w:ascii="Calibri" w:hAnsi="Calibri"/>
          <w:szCs w:val="21"/>
        </w:rPr>
        <w:t>m/s</w:t>
      </w:r>
      <w:r>
        <w:rPr>
          <w:rFonts w:hint="eastAsia" w:ascii="Calibri" w:hAnsi="Calibri"/>
          <w:szCs w:val="21"/>
        </w:rPr>
        <w:t>，风向为</w:t>
      </w:r>
      <w:bookmarkStart w:id="90" w:name="冬季入口边界风向"/>
      <w:r>
        <w:rPr>
          <w:szCs w:val="21"/>
        </w:rPr>
        <w:t>N</w:t>
      </w:r>
      <w:bookmarkEnd w:id="90"/>
      <w:r>
        <w:rPr>
          <w:rFonts w:hint="eastAsia"/>
          <w:szCs w:val="21"/>
        </w:rPr>
        <w:t>。</w:t>
      </w:r>
    </w:p>
    <w:p>
      <w:pPr>
        <w:pStyle w:val="5"/>
      </w:pPr>
      <w:bookmarkStart w:id="91" w:name="_Toc9592"/>
      <w:bookmarkStart w:id="92" w:name="_Toc509844751"/>
      <w:r>
        <w:rPr>
          <w:rFonts w:hint="eastAsia"/>
        </w:rPr>
        <w:t>风速达标分析</w:t>
      </w:r>
      <w:bookmarkEnd w:id="91"/>
      <w:bookmarkEnd w:id="92"/>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93" w:name="冬季工况人行区风速分析结论"/>
      <w:bookmarkEnd w:id="93"/>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4" w:name="冬季工况人行区风速云图"/>
      <w:bookmarkEnd w:id="94"/>
      <w:r>
        <w:drawing>
          <wp:inline distT="0" distB="0" distL="0" distR="0">
            <wp:extent cx="5667375" cy="29527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29527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95" w:name="_Toc10775"/>
      <w:bookmarkStart w:id="96" w:name="_Toc509844752"/>
      <w:r>
        <w:rPr>
          <w:rFonts w:hint="eastAsia"/>
        </w:rPr>
        <w:t>风速放大系数达标分析</w:t>
      </w:r>
      <w:bookmarkEnd w:id="95"/>
      <w:bookmarkEnd w:id="96"/>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7" w:name="冬季工况人行区风速放大系数分析结论"/>
      <w:bookmarkEnd w:id="97"/>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8" w:name="冬季工况人行区风速放大系数云图"/>
      <w:bookmarkEnd w:id="98"/>
      <w:r>
        <w:drawing>
          <wp:inline distT="0" distB="0" distL="0" distR="0">
            <wp:extent cx="5667375" cy="29146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29146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9" w:name="_Toc509844756"/>
      <w:bookmarkEnd w:id="99"/>
      <w:bookmarkStart w:id="100" w:name="_Toc509844757"/>
      <w:bookmarkEnd w:id="100"/>
      <w:bookmarkStart w:id="101" w:name="_Toc509844755"/>
      <w:bookmarkEnd w:id="101"/>
      <w:bookmarkStart w:id="102" w:name="_Toc509844754"/>
      <w:bookmarkEnd w:id="102"/>
    </w:p>
    <w:p>
      <w:pPr>
        <w:pStyle w:val="3"/>
        <w:ind w:firstLine="420"/>
        <w:rPr>
          <w:lang w:val="en-US"/>
        </w:rPr>
      </w:pPr>
    </w:p>
    <w:p>
      <w:pPr>
        <w:pStyle w:val="5"/>
      </w:pPr>
      <w:bookmarkStart w:id="103" w:name="_Toc509844753"/>
      <w:bookmarkStart w:id="104" w:name="_Toc23338"/>
      <w:r>
        <w:rPr>
          <w:rFonts w:hint="eastAsia"/>
        </w:rPr>
        <w:t>冬季工况风速/风速放大系数达标</w:t>
      </w:r>
      <w:bookmarkEnd w:id="103"/>
      <w:r>
        <w:rPr>
          <w:rFonts w:hint="eastAsia"/>
        </w:rPr>
        <w:t>结果汇总</w:t>
      </w:r>
      <w:bookmarkEnd w:id="10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5" w:name="冬季工况风速是否有超限区域"/>
            <w:r>
              <w:rPr>
                <w:rFonts w:hint="eastAsia" w:ascii="宋体" w:hAnsi="宋体" w:cs="宋体"/>
                <w:color w:val="000000"/>
                <w:sz w:val="22"/>
                <w:szCs w:val="22"/>
                <w:lang w:val="en-US"/>
              </w:rPr>
              <w:t>否</w:t>
            </w:r>
            <w:bookmarkEnd w:id="10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6" w:name="冬季工况风速达标判断"/>
            <w:r>
              <w:rPr>
                <w:rFonts w:hint="eastAsia" w:ascii="宋体" w:hAnsi="宋体" w:cs="宋体"/>
                <w:color w:val="000000"/>
                <w:sz w:val="22"/>
                <w:szCs w:val="22"/>
                <w:lang w:val="en-US"/>
              </w:rPr>
              <w:t>是</w:t>
            </w:r>
            <w:bookmarkEnd w:id="106"/>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风速放大系数达标判断"/>
            <w:r>
              <w:rPr>
                <w:rFonts w:hint="eastAsia" w:ascii="宋体" w:hAnsi="宋体" w:cs="宋体"/>
                <w:color w:val="000000"/>
                <w:sz w:val="22"/>
                <w:szCs w:val="22"/>
                <w:lang w:val="en-US"/>
              </w:rPr>
              <w:t>是</w:t>
            </w:r>
            <w:bookmarkEnd w:id="108"/>
          </w:p>
        </w:tc>
      </w:tr>
    </w:tbl>
    <w:p/>
    <w:p>
      <w:pPr>
        <w:pStyle w:val="5"/>
      </w:pPr>
      <w:bookmarkStart w:id="109" w:name="_Toc19918"/>
      <w:r>
        <w:rPr>
          <w:rFonts w:hint="eastAsia"/>
        </w:rPr>
        <w:t>建筑迎风面和背风面风压分析</w:t>
      </w:r>
      <w:bookmarkEnd w:id="16"/>
      <w:bookmarkEnd w:id="109"/>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0" w:name="冬季工况建筑迎风面风压云图"/>
      <w:bookmarkEnd w:id="110"/>
      <w:r>
        <w:drawing>
          <wp:inline distT="0" distB="0" distL="0" distR="0">
            <wp:extent cx="5667375" cy="31051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5"/>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1" w:name="冬季工况建筑背风面风压云图"/>
      <w:bookmarkEnd w:id="111"/>
      <w:r>
        <w:drawing>
          <wp:inline distT="0" distB="0" distL="0" distR="0">
            <wp:extent cx="5667375" cy="3143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6"/>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2" w:name="建筑迎风面和背风面风压差计算结果"/>
      <w:r>
        <w:rPr>
          <w:rFonts w:hint="eastAsia"/>
        </w:rPr>
        <w:t>建筑迎风面和背风面风压差计算结果</w:t>
      </w:r>
    </w:p>
    <w:p>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通风</w:t>
      </w:r>
      <w:bookmarkEnd w:id="114"/>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-1.07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0.24</w:t>
            </w:r>
          </w:p>
        </w:tc>
      </w:tr>
      <w:bookmarkEnd w:id="113"/>
    </w:tbl>
    <w:p>
      <w:bookmarkStart w:id="115" w:name="结论"/>
      <w:bookmarkEnd w:id="115"/>
      <w:r>
        <w:t>标准要求：迎背风面窗平均风压差（绝对值）≤5Pa。结论：该楼</w:t>
      </w:r>
      <w:r>
        <w:rPr>
          <w:b/>
          <w:color w:val="0000FF"/>
        </w:rPr>
        <w:t>达标</w:t>
      </w:r>
      <w:r>
        <w:t>。</w:t>
      </w:r>
    </w:p>
    <w:bookmarkEnd w:id="112"/>
    <w:p>
      <w:pPr>
        <w:jc w:val="center"/>
        <w:rPr>
          <w:rFonts w:ascii="Cambria" w:hAnsi="Cambria" w:eastAsia="黑体"/>
          <w:sz w:val="20"/>
        </w:rPr>
      </w:pPr>
      <w:bookmarkStart w:id="116" w:name="建筑迎背风面风压差表_新增"/>
      <w:bookmarkEnd w:id="116"/>
    </w:p>
    <w:bookmarkEnd w:id="23"/>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-0.07</w:t>
            </w:r>
          </w:p>
        </w:tc>
        <w:tc>
          <w:tcPr>
            <w:tcW w:w="1276" w:type="dxa"/>
            <w:shd w:val="clear" w:color="auto" w:fill="auto"/>
            <w:vAlign w:val="center"/>
          </w:tcPr>
          <w:p>
            <w:pPr>
              <w:jc w:val="center"/>
              <w:rPr>
                <w:lang w:val="en-US"/>
              </w:rPr>
            </w:pPr>
            <w:r>
              <w:rPr>
                <w:lang w:val="en-US"/>
              </w:rPr>
              <w:t>-1.05</w:t>
            </w:r>
          </w:p>
        </w:tc>
        <w:tc>
          <w:tcPr>
            <w:tcW w:w="1701" w:type="dxa"/>
            <w:shd w:val="clear" w:color="auto" w:fill="auto"/>
            <w:vAlign w:val="center"/>
          </w:tcPr>
          <w:p>
            <w:pPr>
              <w:jc w:val="center"/>
              <w:rPr>
                <w:lang w:val="en-US"/>
              </w:rPr>
            </w:pPr>
            <w:r>
              <w:rPr>
                <w:lang w:val="en-US"/>
              </w:rPr>
              <w:t>0.98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通风</w:t>
            </w:r>
          </w:p>
        </w:tc>
        <w:tc>
          <w:tcPr>
            <w:tcW w:w="1276" w:type="dxa"/>
            <w:shd w:val="clear" w:color="auto" w:fill="auto"/>
            <w:vAlign w:val="center"/>
          </w:tcPr>
          <w:p>
            <w:pPr>
              <w:jc w:val="center"/>
              <w:rPr>
                <w:lang w:val="en-US"/>
              </w:rPr>
            </w:pPr>
            <w:r>
              <w:rPr>
                <w:lang w:val="en-US"/>
              </w:rPr>
              <w:t>-0.83</w:t>
            </w:r>
          </w:p>
        </w:tc>
        <w:tc>
          <w:tcPr>
            <w:tcW w:w="1276" w:type="dxa"/>
            <w:shd w:val="clear" w:color="auto" w:fill="auto"/>
            <w:vAlign w:val="center"/>
          </w:tcPr>
          <w:p>
            <w:pPr>
              <w:jc w:val="center"/>
              <w:rPr>
                <w:lang w:val="en-US"/>
              </w:rPr>
            </w:pPr>
            <w:r>
              <w:rPr>
                <w:lang w:val="en-US"/>
              </w:rPr>
              <w:t>-1.07</w:t>
            </w:r>
          </w:p>
        </w:tc>
        <w:tc>
          <w:tcPr>
            <w:tcW w:w="1701" w:type="dxa"/>
            <w:shd w:val="clear" w:color="auto" w:fill="auto"/>
            <w:vAlign w:val="center"/>
          </w:tcPr>
          <w:p>
            <w:pPr>
              <w:jc w:val="center"/>
              <w:rPr>
                <w:lang w:val="en-US"/>
              </w:rPr>
            </w:pPr>
            <w:r>
              <w:rPr>
                <w:lang w:val="en-US"/>
              </w:rPr>
              <w:t>0.24</w:t>
            </w:r>
          </w:p>
        </w:tc>
        <w:tc>
          <w:tcPr>
            <w:tcW w:w="973" w:type="dxa"/>
            <w:shd w:val="clear" w:color="auto" w:fill="auto"/>
            <w:vAlign w:val="center"/>
          </w:tcPr>
          <w:p>
            <w:pPr>
              <w:jc w:val="center"/>
              <w:rPr>
                <w:lang w:val="en-US"/>
              </w:rPr>
            </w:pPr>
            <w:r>
              <w:rPr>
                <w:lang w:val="en-US"/>
              </w:rPr>
              <w:t>是</w:t>
            </w:r>
          </w:p>
        </w:tc>
      </w:tr>
      <w:bookmarkEnd w:id="117"/>
    </w:tbl>
    <w:p>
      <w:pPr>
        <w:rPr>
          <w:lang w:val="en-US"/>
        </w:rPr>
      </w:pPr>
      <w:bookmarkStart w:id="118" w:name="建筑迎风和背风面风压差结论汇总结论"/>
      <w:bookmarkEnd w:id="118"/>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19" w:name="冬季工况"/>
      <w:bookmarkEnd w:id="119"/>
      <w:r>
        <w:rPr>
          <w:rFonts w:hint="eastAsia"/>
          <w:lang w:val="en-US"/>
        </w:rPr>
        <w:t xml:space="preserve"> </w:t>
      </w:r>
    </w:p>
    <w:p>
      <w:pPr>
        <w:pStyle w:val="4"/>
      </w:pPr>
      <w:bookmarkStart w:id="120" w:name="_Toc23610"/>
      <w:bookmarkStart w:id="121" w:name="_Toc509844759"/>
      <w:r>
        <w:rPr>
          <w:rFonts w:hint="eastAsia"/>
        </w:rPr>
        <w:t>夏季工况</w:t>
      </w:r>
      <w:bookmarkEnd w:id="120"/>
      <w:bookmarkEnd w:id="121"/>
    </w:p>
    <w:p>
      <w:pPr>
        <w:pStyle w:val="3"/>
        <w:ind w:firstLine="420"/>
      </w:pPr>
      <w:r>
        <w:rPr>
          <w:rFonts w:hint="eastAsia"/>
          <w:lang w:val="en-US"/>
        </w:rPr>
        <w:t>本项目夏季</w:t>
      </w:r>
      <w:bookmarkEnd w:id="3"/>
      <w:r>
        <w:rPr>
          <w:rFonts w:hint="eastAsia"/>
          <w:lang w:val="en-US"/>
        </w:rPr>
        <w:t>工况的入口边界风速为</w:t>
      </w:r>
      <w:bookmarkStart w:id="122" w:name="入口边界风速"/>
      <w:r>
        <w:rPr>
          <w:rFonts w:hint="eastAsia"/>
          <w:lang w:val="en-US"/>
        </w:rPr>
        <w:t>3.00</w:t>
      </w:r>
      <w:bookmarkEnd w:id="122"/>
      <w:r>
        <w:rPr>
          <w:rFonts w:hint="eastAsia"/>
          <w:lang w:val="en-US"/>
        </w:rPr>
        <w:t>m/s，风向为</w:t>
      </w:r>
      <w:bookmarkStart w:id="123" w:name="入口边界风向"/>
      <w:r>
        <w:t>SW</w:t>
      </w:r>
      <w:bookmarkEnd w:id="123"/>
      <w:r>
        <w:rPr>
          <w:rFonts w:hint="eastAsia"/>
          <w:lang w:val="en-US"/>
        </w:rPr>
        <w:t>。</w:t>
      </w:r>
    </w:p>
    <w:p>
      <w:pPr>
        <w:pStyle w:val="3"/>
        <w:ind w:firstLine="420"/>
      </w:pPr>
      <w:r>
        <w:rPr>
          <w:rFonts w:hint="eastAsia"/>
          <w:lang w:val="en-US"/>
        </w:rPr>
        <w:t>根据前述《绿色建筑评价标准》 对于夏季工况的要求，夏季</w:t>
      </w:r>
      <w:bookmarkEnd w:id="6"/>
      <w:r>
        <w:rPr>
          <w:rFonts w:hint="eastAsia"/>
          <w:lang w:val="en-US"/>
        </w:rPr>
        <w:t>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26" w:name="_Toc509844760"/>
      <w:bookmarkStart w:id="127" w:name="_Toc22046"/>
      <w:r>
        <w:rPr>
          <w:rFonts w:hint="eastAsia"/>
        </w:rPr>
        <w:t>无风区计算分析</w:t>
      </w:r>
      <w:bookmarkEnd w:id="126"/>
      <w:bookmarkEnd w:id="127"/>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128" w:name="人活动区风速分析结论"/>
      <w:bookmarkEnd w:id="128"/>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129" w:name="人行区风速云图"/>
      <w:bookmarkEnd w:id="129"/>
      <w:r>
        <w:drawing>
          <wp:inline distT="0" distB="0" distL="0" distR="0">
            <wp:extent cx="5667375" cy="2952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7"/>
                    <a:stretch>
                      <a:fillRect/>
                    </a:stretch>
                  </pic:blipFill>
                  <pic:spPr>
                    <a:xfrm>
                      <a:off x="0" y="0"/>
                      <a:ext cx="5667375" cy="29527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130" w:name="_Toc12395"/>
      <w:bookmarkStart w:id="131" w:name="_Toc509844761"/>
      <w:r>
        <w:rPr>
          <w:rFonts w:hint="eastAsia"/>
        </w:rPr>
        <w:t>旋涡区分析</w:t>
      </w:r>
      <w:bookmarkEnd w:id="130"/>
      <w:bookmarkEnd w:id="131"/>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32" w:name="人行区风速矢量图"/>
      <w:bookmarkEnd w:id="132"/>
      <w:r>
        <w:drawing>
          <wp:inline distT="0" distB="0" distL="0" distR="0">
            <wp:extent cx="5667375" cy="319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8"/>
                    <a:stretch>
                      <a:fillRect/>
                    </a:stretch>
                  </pic:blipFill>
                  <pic:spPr>
                    <a:xfrm>
                      <a:off x="0" y="0"/>
                      <a:ext cx="5667375" cy="31908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33" w:name="_Toc509844762"/>
      <w:bookmarkStart w:id="134" w:name="_Toc25412"/>
      <w:r>
        <w:rPr>
          <w:rFonts w:hint="eastAsia"/>
        </w:rPr>
        <w:t>旋涡区/无风区达标</w:t>
      </w:r>
      <w:bookmarkEnd w:id="133"/>
      <w:r>
        <w:rPr>
          <w:rFonts w:hint="eastAsia"/>
        </w:rPr>
        <w:t>结果汇总</w:t>
      </w:r>
      <w:bookmarkEnd w:id="13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5" w:name="季节8"/>
      <w:r>
        <w:rPr>
          <w:rFonts w:hint="eastAsia" w:ascii="黑体" w:hAnsi="黑体" w:eastAsia="黑体"/>
          <w:sz w:val="20"/>
          <w:szCs w:val="20"/>
        </w:rPr>
        <w:t>夏季</w:t>
      </w:r>
      <w:bookmarkEnd w:id="135"/>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6" w:name="是否有无风区"/>
            <w:r>
              <w:rPr>
                <w:rFonts w:hint="eastAsia" w:ascii="宋体" w:hAnsi="宋体" w:cs="宋体"/>
                <w:color w:val="000000"/>
                <w:sz w:val="22"/>
                <w:szCs w:val="22"/>
                <w:lang w:val="en-US"/>
              </w:rPr>
              <w:t>否</w:t>
            </w:r>
            <w:bookmarkEnd w:id="136"/>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7" w:name="无风区达标判断"/>
            <w:r>
              <w:rPr>
                <w:rFonts w:hint="eastAsia" w:ascii="宋体" w:hAnsi="宋体" w:cs="宋体"/>
                <w:color w:val="000000"/>
                <w:sz w:val="22"/>
                <w:szCs w:val="22"/>
                <w:lang w:val="en-US"/>
              </w:rPr>
              <w:t>是</w:t>
            </w:r>
            <w:bookmarkEnd w:id="137"/>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8" w:name="是否有旋涡区"/>
            <w:r>
              <w:rPr>
                <w:rFonts w:ascii="宋体" w:hAnsi="宋体" w:cs="宋体"/>
                <w:color w:val="000000"/>
                <w:sz w:val="22"/>
                <w:szCs w:val="22"/>
                <w:lang w:val="en-US"/>
              </w:rPr>
              <w:t>否</w:t>
            </w:r>
            <w:bookmarkEnd w:id="138"/>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9" w:name="旋涡区达标判断"/>
            <w:r>
              <w:rPr>
                <w:rFonts w:ascii="宋体" w:hAnsi="宋体" w:cs="宋体"/>
                <w:color w:val="000000"/>
                <w:sz w:val="22"/>
                <w:szCs w:val="22"/>
                <w:lang w:val="en-US"/>
              </w:rPr>
              <w:t>是</w:t>
            </w:r>
            <w:bookmarkEnd w:id="139"/>
          </w:p>
        </w:tc>
      </w:tr>
    </w:tbl>
    <w:p>
      <w:pPr>
        <w:pStyle w:val="5"/>
      </w:pPr>
      <w:bookmarkStart w:id="140" w:name="_Toc504501018"/>
      <w:bookmarkStart w:id="141" w:name="_Toc509844763"/>
      <w:bookmarkStart w:id="142" w:name="_Toc30826"/>
      <w:r>
        <w:rPr>
          <w:rFonts w:hint="eastAsia"/>
        </w:rPr>
        <w:t>外窗内外表面风压</w:t>
      </w:r>
      <w:bookmarkEnd w:id="140"/>
      <w:r>
        <w:rPr>
          <w:rFonts w:hint="eastAsia"/>
        </w:rPr>
        <w:t>差达标分析</w:t>
      </w:r>
      <w:bookmarkEnd w:id="141"/>
      <w:bookmarkEnd w:id="142"/>
    </w:p>
    <w:p>
      <w:pPr>
        <w:pStyle w:val="3"/>
        <w:ind w:firstLine="420"/>
      </w:pPr>
      <w:r>
        <w:rPr>
          <w:rFonts w:hint="eastAsia"/>
          <w:lang w:val="en-US"/>
        </w:rPr>
        <w:t>分析《绿色建筑评价标准》，</w:t>
      </w:r>
      <w:bookmarkStart w:id="143" w:name="季节9"/>
      <w:r>
        <w:rPr>
          <w:rFonts w:hint="eastAsia"/>
          <w:lang w:val="en-US"/>
        </w:rPr>
        <w:t>夏季</w:t>
      </w:r>
      <w:bookmarkEnd w:id="143"/>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4" w:name="迎风面风压云图"/>
      <w:bookmarkEnd w:id="144"/>
      <w:r>
        <w:drawing>
          <wp:inline distT="0" distB="0" distL="0" distR="0">
            <wp:extent cx="5667375" cy="3105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9"/>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5" w:name="季节10"/>
      <w:r>
        <w:rPr>
          <w:rFonts w:hint="eastAsia" w:ascii="黑体" w:hAnsi="黑体" w:eastAsia="黑体"/>
          <w:sz w:val="20"/>
          <w:szCs w:val="20"/>
        </w:rPr>
        <w:t>夏季</w:t>
      </w:r>
      <w:bookmarkEnd w:id="145"/>
    </w:p>
    <w:p>
      <w:pPr>
        <w:pStyle w:val="13"/>
        <w:jc w:val="center"/>
      </w:pPr>
      <w:bookmarkStart w:id="146" w:name="背风面风压云图"/>
      <w:bookmarkEnd w:id="146"/>
      <w:r>
        <w:drawing>
          <wp:inline distT="0" distB="0" distL="0" distR="0">
            <wp:extent cx="5667375" cy="3143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80"/>
                    <a:stretch>
                      <a:fillRect/>
                    </a:stretch>
                  </pic:blipFill>
                  <pic:spPr>
                    <a:xfrm>
                      <a:off x="0" y="0"/>
                      <a:ext cx="5667375" cy="31432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7" w:name="季节11"/>
      <w:r>
        <w:rPr>
          <w:rFonts w:hint="eastAsia" w:ascii="黑体" w:hAnsi="黑体" w:eastAsia="黑体"/>
          <w:sz w:val="20"/>
          <w:szCs w:val="20"/>
        </w:rPr>
        <w:t>夏季</w:t>
      </w:r>
      <w:bookmarkEnd w:id="147"/>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blHeader/>
        </w:trPr>
        <w:tc>
          <w:tcPr>
            <w:tcW w:w="4361" w:type="dxa"/>
            <w:shd w:val="clear" w:color="auto" w:fill="E6E6E6"/>
            <w:vAlign w:val="center"/>
          </w:tcPr>
          <w:p>
            <w:pPr>
              <w:jc w:val="center"/>
              <w:rPr>
                <w:lang w:val="en-US"/>
              </w:rPr>
            </w:pPr>
            <w:bookmarkStart w:id="148"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DT单体(通风)</w:t>
            </w:r>
          </w:p>
        </w:tc>
        <w:tc>
          <w:tcPr>
            <w:tcW w:w="1134" w:type="dxa"/>
            <w:shd w:val="clear" w:color="auto" w:fill="auto"/>
            <w:vAlign w:val="center"/>
          </w:tcPr>
          <w:p>
            <w:pPr>
              <w:jc w:val="center"/>
              <w:rPr>
                <w:lang w:val="en-US"/>
              </w:rPr>
            </w:pPr>
            <w:r>
              <w:rPr>
                <w:lang w:val="en-US"/>
              </w:rPr>
              <w:t>121</w:t>
            </w:r>
          </w:p>
        </w:tc>
        <w:tc>
          <w:tcPr>
            <w:tcW w:w="1984" w:type="dxa"/>
            <w:shd w:val="clear" w:color="auto" w:fill="auto"/>
            <w:vAlign w:val="center"/>
          </w:tcPr>
          <w:p>
            <w:pPr>
              <w:jc w:val="center"/>
              <w:rPr>
                <w:lang w:val="en-US"/>
              </w:rPr>
            </w:pPr>
            <w:r>
              <w:rPr>
                <w:lang w:val="en-US"/>
              </w:rPr>
              <w:t>64</w:t>
            </w:r>
          </w:p>
        </w:tc>
        <w:tc>
          <w:tcPr>
            <w:tcW w:w="1116" w:type="dxa"/>
            <w:shd w:val="clear" w:color="auto" w:fill="auto"/>
            <w:vAlign w:val="center"/>
          </w:tcPr>
          <w:p>
            <w:pPr>
              <w:jc w:val="center"/>
              <w:rPr>
                <w:lang w:val="en-US"/>
              </w:rPr>
            </w:pPr>
            <w:r>
              <w:rPr>
                <w:lang w:val="en-US"/>
              </w:rPr>
              <w:t>52.89</w:t>
            </w:r>
          </w:p>
        </w:tc>
        <w:tc>
          <w:tcPr>
            <w:tcW w:w="708" w:type="dxa"/>
            <w:shd w:val="clear" w:color="auto" w:fill="auto"/>
            <w:vAlign w:val="center"/>
          </w:tcPr>
          <w:p>
            <w:pPr>
              <w:jc w:val="center"/>
              <w:rPr>
                <w:lang w:val="en-US"/>
              </w:rPr>
            </w:pPr>
            <w:r>
              <w:rPr>
                <w:lang w:val="en-US"/>
              </w:rPr>
              <w:t>是</w:t>
            </w:r>
          </w:p>
        </w:tc>
      </w:tr>
      <w:bookmarkEnd w:id="148"/>
    </w:tbl>
    <w:p>
      <w:r>
        <w:rPr>
          <w:rFonts w:hint="eastAsia"/>
          <w:lang w:val="en-US"/>
        </w:rPr>
        <w:t>说明：达标比例＝（室内外风压差大于0.5Pa的总数/可开启外窗总数）*100％</w:t>
      </w:r>
    </w:p>
    <w:bookmarkEnd w:id="31"/>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49"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lang w:val="en-US"/>
              </w:rPr>
            </w:pPr>
            <w:r>
              <w:rPr>
                <w:lang w:val="en-US"/>
              </w:rPr>
              <w:t>3300.09</w:t>
            </w:r>
          </w:p>
        </w:tc>
        <w:tc>
          <w:tcPr>
            <w:tcW w:w="2552" w:type="dxa"/>
            <w:vAlign w:val="center"/>
          </w:tcPr>
          <w:p>
            <w:pPr>
              <w:spacing w:line="360" w:lineRule="exact"/>
              <w:jc w:val="center"/>
              <w:rPr>
                <w:lang w:val="en-US"/>
              </w:rPr>
            </w:pPr>
            <w:r>
              <w:rPr>
                <w:lang w:val="en-US"/>
              </w:rPr>
              <w:t>2468.53</w:t>
            </w:r>
          </w:p>
        </w:tc>
        <w:tc>
          <w:tcPr>
            <w:tcW w:w="1134" w:type="dxa"/>
            <w:vAlign w:val="center"/>
          </w:tcPr>
          <w:p>
            <w:pPr>
              <w:spacing w:line="360" w:lineRule="exact"/>
              <w:jc w:val="center"/>
              <w:rPr>
                <w:lang w:val="en-US"/>
              </w:rPr>
            </w:pPr>
            <w:r>
              <w:rPr>
                <w:lang w:val="en-US"/>
              </w:rPr>
              <w:t>74.80</w:t>
            </w:r>
          </w:p>
        </w:tc>
        <w:tc>
          <w:tcPr>
            <w:tcW w:w="835" w:type="dxa"/>
            <w:vAlign w:val="center"/>
          </w:tcPr>
          <w:p>
            <w:pPr>
              <w:spacing w:line="360" w:lineRule="exact"/>
              <w:jc w:val="center"/>
              <w:rPr>
                <w:lang w:val="en-US"/>
              </w:rPr>
            </w:pPr>
            <w:r>
              <w:rPr>
                <w:lang w:val="en-US"/>
              </w:rPr>
              <w:t>是</w:t>
            </w:r>
          </w:p>
        </w:tc>
      </w:tr>
      <w:bookmarkEnd w:id="149"/>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2"/>
    </w:p>
    <w:p>
      <w:pPr>
        <w:rPr>
          <w:lang w:val="en-US"/>
        </w:rPr>
      </w:pPr>
      <w:bookmarkStart w:id="150" w:name="建筑室内外风压差达标判定结论"/>
      <w:r>
        <w:rPr>
          <w:rFonts w:hint="eastAsia"/>
          <w:lang w:val="en-US"/>
        </w:rPr>
        <w:t>结论：本项目中所有建筑均满足“50%以上可开启外窗室内外表面的风压差大于0.5Pa”的要求。</w:t>
      </w:r>
      <w:bookmarkEnd w:id="150"/>
      <w:r>
        <w:rPr>
          <w:rFonts w:hint="eastAsia"/>
          <w:lang w:val="en-US"/>
        </w:rPr>
        <w:t xml:space="preserve"> </w:t>
      </w:r>
    </w:p>
    <w:p>
      <w:pPr>
        <w:rPr>
          <w:lang w:val="en-US"/>
        </w:rPr>
      </w:pPr>
      <w:bookmarkStart w:id="151" w:name="其他工况"/>
      <w:bookmarkEnd w:id="151"/>
      <w:r>
        <w:rPr>
          <w:rFonts w:hint="eastAsia"/>
          <w:lang w:val="en-US"/>
        </w:rPr>
        <w:t xml:space="preserve"> </w:t>
      </w:r>
    </w:p>
    <w:p>
      <w:pPr>
        <w:pStyle w:val="4"/>
      </w:pPr>
      <w:bookmarkStart w:id="152" w:name="_Toc509844764"/>
      <w:bookmarkStart w:id="153" w:name="_Toc5912"/>
      <w:r>
        <w:rPr>
          <w:rFonts w:hint="eastAsia"/>
        </w:rPr>
        <w:t>结论</w:t>
      </w:r>
      <w:bookmarkEnd w:id="152"/>
      <w:bookmarkEnd w:id="153"/>
    </w:p>
    <w:p>
      <w:pPr>
        <w:pStyle w:val="5"/>
      </w:pPr>
      <w:bookmarkStart w:id="154" w:name="_Toc11038"/>
      <w:bookmarkStart w:id="155" w:name="_Toc509844765"/>
      <w:r>
        <w:rPr>
          <w:rFonts w:hint="eastAsia"/>
        </w:rPr>
        <w:t>冬季工况达标判断</w:t>
      </w:r>
      <w:bookmarkEnd w:id="154"/>
      <w:bookmarkEnd w:id="155"/>
      <w:bookmarkStart w:id="156" w:name="_Toc509844766"/>
      <w:bookmarkEnd w:id="15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57" w:name="标准要求冬季风速得分"/>
            <w:r>
              <w:rPr>
                <w:rFonts w:hint="eastAsia"/>
                <w:lang w:val="en-US"/>
              </w:rPr>
              <w:t>3</w:t>
            </w:r>
            <w:bookmarkEnd w:id="157"/>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58" w:name="冬季风速结果计算域"/>
            <w:r>
              <w:t>没有出现</w:t>
            </w:r>
            <w:bookmarkEnd w:id="15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59" w:name="冬季风速达标判定"/>
            <w:r>
              <w:rPr>
                <w:rFonts w:hint="eastAsia"/>
                <w:b/>
                <w:lang w:val="en-US"/>
              </w:rPr>
              <w:t>达标</w:t>
            </w:r>
            <w:bookmarkEnd w:id="159"/>
          </w:p>
        </w:tc>
        <w:tc>
          <w:tcPr>
            <w:tcW w:w="1416" w:type="dxa"/>
            <w:vMerge w:val="restart"/>
            <w:tcBorders>
              <w:top w:val="single" w:color="auto" w:sz="4" w:space="0"/>
            </w:tcBorders>
            <w:shd w:val="clear" w:color="auto" w:fill="auto"/>
            <w:vAlign w:val="center"/>
          </w:tcPr>
          <w:p>
            <w:pPr>
              <w:jc w:val="center"/>
              <w:rPr>
                <w:lang w:val="en-US"/>
              </w:rPr>
            </w:pPr>
            <w:bookmarkStart w:id="160" w:name="冬季风速得分"/>
            <w:r>
              <w:rPr>
                <w:rFonts w:hint="eastAsia"/>
                <w:lang w:val="en-US"/>
              </w:rPr>
              <w:t>3</w:t>
            </w:r>
            <w:bookmarkEnd w:id="16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61" w:name="冬季风速放大系数结果计算域"/>
            <w:r>
              <w:t>没有出现</w:t>
            </w:r>
            <w:bookmarkEnd w:id="161"/>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62" w:name="标准要求冬季风压得分"/>
            <w:r>
              <w:rPr>
                <w:rFonts w:hint="eastAsia"/>
                <w:lang w:val="en-US"/>
              </w:rPr>
              <w:t>2</w:t>
            </w:r>
            <w:bookmarkEnd w:id="162"/>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63" w:name="冬季迎背风面结果"/>
            <w:r>
              <w:t>没有出现</w:t>
            </w:r>
            <w:bookmarkEnd w:id="163"/>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64" w:name="冬季迎背风面达标判定"/>
            <w:r>
              <w:rPr>
                <w:rFonts w:hint="eastAsia"/>
                <w:b/>
                <w:lang w:val="en-US"/>
              </w:rPr>
              <w:t>达标</w:t>
            </w:r>
            <w:bookmarkEnd w:id="164"/>
          </w:p>
        </w:tc>
        <w:tc>
          <w:tcPr>
            <w:tcW w:w="1416" w:type="dxa"/>
            <w:shd w:val="clear" w:color="auto" w:fill="auto"/>
            <w:vAlign w:val="center"/>
          </w:tcPr>
          <w:p>
            <w:pPr>
              <w:jc w:val="center"/>
              <w:rPr>
                <w:lang w:val="en-US"/>
              </w:rPr>
            </w:pPr>
            <w:bookmarkStart w:id="165" w:name="冬季迎背风面得分"/>
            <w:r>
              <w:rPr>
                <w:rFonts w:hint="eastAsia"/>
                <w:lang w:val="en-US"/>
              </w:rPr>
              <w:t>2</w:t>
            </w:r>
            <w:bookmarkEnd w:id="165"/>
            <w:r>
              <w:rPr>
                <w:rFonts w:hint="eastAsia"/>
                <w:lang w:val="en-US"/>
              </w:rPr>
              <w:t>分</w:t>
            </w:r>
          </w:p>
        </w:tc>
      </w:tr>
    </w:tbl>
    <w:p>
      <w:pPr>
        <w:rPr>
          <w:szCs w:val="21"/>
          <w:lang w:val="en-US"/>
        </w:rPr>
      </w:pPr>
      <w:bookmarkStart w:id="166" w:name="_Toc509844768"/>
      <w:bookmarkEnd w:id="166"/>
      <w:bookmarkStart w:id="167" w:name="_Toc509844767"/>
      <w:bookmarkEnd w:id="167"/>
    </w:p>
    <w:bookmarkEnd w:id="0"/>
    <w:bookmarkEnd w:id="2"/>
    <w:p>
      <w:pPr>
        <w:pStyle w:val="5"/>
      </w:pPr>
      <w:bookmarkStart w:id="168" w:name="_Toc509844769"/>
      <w:bookmarkStart w:id="169" w:name="_Toc16266"/>
      <w:r>
        <w:rPr>
          <w:rFonts w:hint="eastAsia"/>
        </w:rPr>
        <w:t>过渡季、夏季工况达标判断</w:t>
      </w:r>
      <w:bookmarkEnd w:id="168"/>
      <w:bookmarkEnd w:id="16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0" w:name="标准要求夏季风速得分"/>
            <w:r>
              <w:rPr>
                <w:rFonts w:hint="eastAsia"/>
                <w:lang w:val="en-US"/>
              </w:rPr>
              <w:t>3</w:t>
            </w:r>
            <w:bookmarkEnd w:id="170"/>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71" w:name="夏季无风区结果计算域"/>
            <w:r>
              <w:rPr>
                <w:rFonts w:hint="eastAsia"/>
                <w:lang w:val="en-US"/>
              </w:rPr>
              <w:t>无</w:t>
            </w:r>
            <w:bookmarkEnd w:id="171"/>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72" w:name="夏季无风区达标判定"/>
            <w:r>
              <w:rPr>
                <w:rFonts w:hint="eastAsia"/>
                <w:b/>
                <w:lang w:val="en-US"/>
              </w:rPr>
              <w:t>达标</w:t>
            </w:r>
            <w:bookmarkEnd w:id="172"/>
          </w:p>
        </w:tc>
        <w:tc>
          <w:tcPr>
            <w:tcW w:w="1416" w:type="dxa"/>
            <w:vMerge w:val="restart"/>
            <w:tcBorders>
              <w:top w:val="single" w:color="auto" w:sz="4" w:space="0"/>
            </w:tcBorders>
            <w:shd w:val="clear" w:color="auto" w:fill="auto"/>
            <w:vAlign w:val="center"/>
          </w:tcPr>
          <w:p>
            <w:pPr>
              <w:jc w:val="center"/>
              <w:rPr>
                <w:lang w:val="en-US"/>
              </w:rPr>
            </w:pPr>
            <w:bookmarkStart w:id="173" w:name="夏季无风区得分"/>
            <w:r>
              <w:rPr>
                <w:rFonts w:hint="eastAsia"/>
                <w:lang w:val="en-US"/>
              </w:rPr>
              <w:t>3</w:t>
            </w:r>
            <w:bookmarkEnd w:id="173"/>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4" w:name="标准要求夏季风压得分"/>
            <w:r>
              <w:rPr>
                <w:rFonts w:hint="eastAsia"/>
                <w:lang w:val="en-US"/>
              </w:rPr>
              <w:t>2</w:t>
            </w:r>
            <w:bookmarkEnd w:id="174"/>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75" w:name="夏季窗内外风压差结果"/>
            <w:r>
              <w:rPr>
                <w:rFonts w:hint="eastAsia"/>
                <w:lang w:val="en-US"/>
              </w:rPr>
              <w:t>满足</w:t>
            </w:r>
            <w:bookmarkEnd w:id="175"/>
            <w:r>
              <w:rPr>
                <w:rFonts w:hint="eastAsia"/>
                <w:lang w:val="en-US"/>
              </w:rPr>
              <w:t>标准要求</w:t>
            </w:r>
          </w:p>
        </w:tc>
        <w:tc>
          <w:tcPr>
            <w:tcW w:w="1985" w:type="dxa"/>
            <w:shd w:val="clear" w:color="auto" w:fill="auto"/>
            <w:vAlign w:val="center"/>
          </w:tcPr>
          <w:p>
            <w:pPr>
              <w:jc w:val="center"/>
              <w:rPr>
                <w:b/>
                <w:lang w:val="en-US"/>
              </w:rPr>
            </w:pPr>
            <w:bookmarkStart w:id="176" w:name="夏季窗内外风压差达标判定"/>
            <w:r>
              <w:rPr>
                <w:rFonts w:hint="eastAsia"/>
                <w:b/>
                <w:lang w:val="en-US"/>
              </w:rPr>
              <w:t>达标</w:t>
            </w:r>
            <w:bookmarkEnd w:id="176"/>
          </w:p>
        </w:tc>
        <w:tc>
          <w:tcPr>
            <w:tcW w:w="1416" w:type="dxa"/>
            <w:shd w:val="clear" w:color="auto" w:fill="auto"/>
            <w:vAlign w:val="center"/>
          </w:tcPr>
          <w:p>
            <w:pPr>
              <w:jc w:val="center"/>
              <w:rPr>
                <w:lang w:val="en-US"/>
              </w:rPr>
            </w:pPr>
            <w:bookmarkStart w:id="177" w:name="夏季窗内外风压差得分"/>
            <w:r>
              <w:rPr>
                <w:rFonts w:hint="eastAsia"/>
                <w:lang w:val="en-US"/>
              </w:rPr>
              <w:t>2</w:t>
            </w:r>
            <w:bookmarkEnd w:id="177"/>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78" w:name="总得分"/>
      <w:r>
        <w:rPr>
          <w:rFonts w:hint="eastAsia"/>
          <w:lang w:val="en-US"/>
        </w:rPr>
        <w:t>10</w:t>
      </w:r>
      <w:bookmarkEnd w:id="17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2QzY2Q3M2Y4M2I4MjM3NDI5MmNkZTgzNzFjNTEifQ=="/>
  </w:docVars>
  <w:rsids>
    <w:rsidRoot w:val="45C8205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C307F00"/>
    <w:rsid w:val="35A95956"/>
    <w:rsid w:val="45C8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Char"/>
    <w:link w:val="2"/>
    <w:autoRedefine/>
    <w:qFormat/>
    <w:uiPriority w:val="0"/>
    <w:rPr>
      <w:b/>
      <w:bCs/>
      <w:kern w:val="32"/>
      <w:sz w:val="28"/>
      <w:szCs w:val="28"/>
    </w:rPr>
  </w:style>
  <w:style w:type="character" w:customStyle="1" w:styleId="28">
    <w:name w:val="标题 2 Char"/>
    <w:link w:val="4"/>
    <w:autoRedefine/>
    <w:qFormat/>
    <w:uiPriority w:val="0"/>
    <w:rPr>
      <w:rFonts w:ascii="宋体" w:cs="Arial"/>
      <w:b/>
      <w:bCs/>
      <w:iCs/>
      <w:color w:val="000000"/>
      <w:sz w:val="24"/>
      <w:szCs w:val="24"/>
    </w:rPr>
  </w:style>
  <w:style w:type="character" w:customStyle="1" w:styleId="29">
    <w:name w:val="页脚 Char"/>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autoRedefine/>
    <w:qFormat/>
    <w:uiPriority w:val="0"/>
    <w:rPr>
      <w:rFonts w:ascii="宋体" w:hAnsi="宋体" w:cs="Arial"/>
      <w:b/>
      <w:bCs/>
      <w:sz w:val="21"/>
      <w:szCs w:val="21"/>
    </w:rPr>
  </w:style>
  <w:style w:type="character" w:customStyle="1" w:styleId="34">
    <w:name w:val="批注框文本 Char"/>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Char"/>
    <w:link w:val="6"/>
    <w:autoRedefine/>
    <w:qFormat/>
    <w:uiPriority w:val="0"/>
    <w:rPr>
      <w:b/>
      <w:bCs/>
      <w:sz w:val="21"/>
      <w:szCs w:val="28"/>
      <w:lang w:val="en-GB"/>
    </w:rPr>
  </w:style>
  <w:style w:type="character" w:customStyle="1" w:styleId="38">
    <w:name w:val="标题 5 Char"/>
    <w:link w:val="7"/>
    <w:autoRedefine/>
    <w:qFormat/>
    <w:uiPriority w:val="0"/>
    <w:rPr>
      <w:b/>
      <w:bCs/>
      <w:iCs/>
      <w:sz w:val="21"/>
      <w:szCs w:val="26"/>
      <w:lang w:val="en-GB"/>
    </w:rPr>
  </w:style>
  <w:style w:type="character" w:customStyle="1" w:styleId="39">
    <w:name w:val="标题 6 Char"/>
    <w:link w:val="8"/>
    <w:autoRedefine/>
    <w:qFormat/>
    <w:uiPriority w:val="0"/>
    <w:rPr>
      <w:b/>
      <w:bCs/>
      <w:sz w:val="21"/>
      <w:szCs w:val="22"/>
      <w:lang w:val="en-GB"/>
    </w:rPr>
  </w:style>
  <w:style w:type="character" w:customStyle="1" w:styleId="40">
    <w:name w:val="标题 7 Char"/>
    <w:link w:val="9"/>
    <w:autoRedefine/>
    <w:qFormat/>
    <w:uiPriority w:val="0"/>
    <w:rPr>
      <w:sz w:val="24"/>
      <w:szCs w:val="24"/>
      <w:lang w:val="en-GB"/>
    </w:rPr>
  </w:style>
  <w:style w:type="character" w:customStyle="1" w:styleId="41">
    <w:name w:val="标题 8 Char"/>
    <w:link w:val="10"/>
    <w:autoRedefine/>
    <w:qFormat/>
    <w:uiPriority w:val="0"/>
    <w:rPr>
      <w:i/>
      <w:iCs/>
      <w:sz w:val="24"/>
      <w:szCs w:val="24"/>
      <w:lang w:val="en-GB"/>
    </w:rPr>
  </w:style>
  <w:style w:type="character" w:customStyle="1" w:styleId="42">
    <w:name w:val="标题 9 Char"/>
    <w:link w:val="11"/>
    <w:autoRedefine/>
    <w:qFormat/>
    <w:uiPriority w:val="0"/>
    <w:rPr>
      <w:rFonts w:ascii="Arial" w:hAnsi="Arial" w:cs="Arial"/>
      <w:sz w:val="22"/>
      <w:szCs w:val="22"/>
      <w:lang w:val="en-GB"/>
    </w:rPr>
  </w:style>
  <w:style w:type="character" w:customStyle="1" w:styleId="43">
    <w:name w:val="页眉 Char"/>
    <w:link w:val="18"/>
    <w:autoRedefine/>
    <w:qFormat/>
    <w:uiPriority w:val="0"/>
    <w:rPr>
      <w:sz w:val="21"/>
      <w:szCs w:val="18"/>
      <w:lang w:val="en-GB"/>
    </w:rPr>
  </w:style>
  <w:style w:type="character" w:customStyle="1" w:styleId="44">
    <w:name w:val="文档结构图 Char"/>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tmp5.dotx</Template>
  <Pages>22</Pages>
  <Words>6256</Words>
  <Characters>7058</Characters>
  <Lines>40</Lines>
  <Paragraphs>11</Paragraphs>
  <TotalTime>0</TotalTime>
  <ScaleCrop>false</ScaleCrop>
  <LinksUpToDate>false</LinksUpToDate>
  <CharactersWithSpaces>7280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2024-01-08T11:13:00Z</dcterms:created>
  <dc:creator>柒</dc:creator>
  <cp:lastModifiedBy>梵音</cp:lastModifiedBy>
  <dcterms:modified xsi:type="dcterms:W3CDTF">2024-01-09T11:49:55Z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CC61FD95A91F4AB68CB292D1C8465B47_13</vt:lpwstr>
  </property>
  <property fmtid="{D5CDD505-2E9C-101B-9397-08002B2CF9AE}" pid="3" name="KSOProductBuildVer">
    <vt:lpwstr>2052-12.1.0.16120</vt:lpwstr>
  </property>
</Properties>
</file>