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r>
              <w:t xml:space="preserve"> 乌素图</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2023年12月30日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T15754896387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2" w:name="项目地点"/>
            <w:r>
              <w:rPr>
                <w:rFonts w:hint="eastAsia"/>
                <w:lang w:val="en-US"/>
              </w:rPr>
              <w:t>呼和浩特</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3" w:name="光气候分区"/>
            <w:r>
              <w:rPr>
                <w:lang w:val="en-US"/>
              </w:rPr>
              <w:t>II</w:t>
            </w:r>
            <w:bookmarkEnd w:id="13"/>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4" w:name="光气候系数K"/>
            <w:r>
              <w:rPr>
                <w:lang w:val="en-US"/>
              </w:rPr>
              <w:t>0.90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5" w:name="地上建筑面积"/>
            <w:r>
              <w:rPr>
                <w:lang w:val="en-US"/>
              </w:rPr>
              <w:t>1160.24</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7" w:name="地上建筑层数"/>
            <w:r>
              <w:rPr>
                <w:lang w:val="en-US"/>
              </w:rPr>
              <w:t>2</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9" w:name="地上建筑高度"/>
            <w:r>
              <w:rPr>
                <w:lang w:val="en-US"/>
              </w:rPr>
              <w:t>9.60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1" w:name="备注"/>
            <w:bookmarkEnd w:id="21"/>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3" w:name="达标率评价要求"/>
      <w:r>
        <w:t>60%</w:t>
      </w:r>
      <w:bookmarkEnd w:id="23"/>
      <w:r>
        <w:t xml:space="preserve">, </w:t>
      </w:r>
      <w:r>
        <w:rPr>
          <w:rFonts w:hint="eastAsia"/>
        </w:rPr>
        <w:t>得</w:t>
      </w:r>
      <w:bookmarkStart w:id="24" w:name="达标率评价分值"/>
      <w:r>
        <w:t>3</w:t>
      </w:r>
      <w:bookmarkEnd w:id="24"/>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5" w:name="_Toc264043625"/>
      <w:bookmarkStart w:id="26" w:name="_Toc290149054"/>
      <w:bookmarkStart w:id="27" w:name="_Toc290209336"/>
      <w:bookmarkStart w:id="28" w:name="_Toc312399791"/>
      <w:bookmarkStart w:id="29" w:name="_Toc275165382"/>
      <w:bookmarkStart w:id="30" w:name="_Toc264569232"/>
      <w:bookmarkStart w:id="31" w:name="_Toc290209312"/>
      <w:r>
        <w:rPr>
          <w:rFonts w:hint="eastAsia"/>
        </w:rPr>
        <w:t>采光分析</w:t>
      </w:r>
      <w:r>
        <w:t>概述</w:t>
      </w:r>
      <w:bookmarkEnd w:id="25"/>
      <w:bookmarkEnd w:id="26"/>
      <w:bookmarkEnd w:id="27"/>
      <w:bookmarkEnd w:id="28"/>
      <w:bookmarkEnd w:id="29"/>
      <w:bookmarkEnd w:id="30"/>
      <w:bookmarkEnd w:id="31"/>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pict>
          <v:shape id="_x0000_i1025" o:spt="75" type="#_x0000_t75" style="height:35.25pt;width:84.75pt;" filled="f" o:preferrelative="t" stroked="f" coordsize="21600,21600">
            <v:path/>
            <v:fill on="f" focussize="0,0"/>
            <v:stroke on="f" joinstyle="miter"/>
            <v:imagedata r:id="rId7" o:title=""/>
            <o:lock v:ext="edit" aspectratio="t"/>
            <w10:wrap type="none"/>
            <w10:anchorlock/>
          </v:shape>
        </w:pict>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2" w:name="_Toc290209317"/>
      <w:bookmarkStart w:id="33" w:name="_Toc275165387"/>
      <w:bookmarkStart w:id="34" w:name="_Toc290209341"/>
      <w:bookmarkStart w:id="35" w:name="_Toc290149059"/>
      <w:bookmarkStart w:id="36" w:name="_Toc312399796"/>
      <w:bookmarkStart w:id="37" w:name="_Toc264043630"/>
      <w:bookmarkStart w:id="38" w:name="_Toc264569237"/>
      <w:r>
        <w:t>分析软件</w:t>
      </w:r>
      <w:bookmarkEnd w:id="32"/>
      <w:bookmarkEnd w:id="33"/>
      <w:bookmarkEnd w:id="34"/>
      <w:bookmarkEnd w:id="35"/>
      <w:bookmarkEnd w:id="36"/>
      <w:bookmarkEnd w:id="37"/>
      <w:bookmarkEnd w:id="38"/>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9" w:name="_Toc264043629"/>
      <w:bookmarkStart w:id="40" w:name="_Toc275165386"/>
      <w:bookmarkStart w:id="41" w:name="_Toc264569236"/>
      <w:bookmarkStart w:id="42" w:name="_Toc290149058"/>
      <w:bookmarkStart w:id="43" w:name="_Toc290209316"/>
      <w:bookmarkStart w:id="44" w:name="_Toc312399795"/>
      <w:bookmarkStart w:id="45" w:name="_Toc290209340"/>
      <w:r>
        <w:t>模拟</w:t>
      </w:r>
      <w:bookmarkEnd w:id="39"/>
      <w:bookmarkEnd w:id="40"/>
      <w:bookmarkEnd w:id="41"/>
      <w:bookmarkEnd w:id="42"/>
      <w:bookmarkEnd w:id="43"/>
      <w:bookmarkEnd w:id="44"/>
      <w:bookmarkEnd w:id="45"/>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6" w:name="分析面高"/>
      <w:r>
        <w:t>0.75</w:t>
      </w:r>
      <w:bookmarkEnd w:id="46"/>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7" w:name="网格划分小房间面积"/>
            <w:r>
              <w:rPr>
                <w:szCs w:val="18"/>
              </w:rPr>
              <w:t>10</w:t>
            </w:r>
            <w:bookmarkEnd w:id="47"/>
          </w:p>
        </w:tc>
        <w:tc>
          <w:tcPr>
            <w:tcW w:w="3272" w:type="dxa"/>
            <w:shd w:val="clear" w:color="auto" w:fill="auto"/>
            <w:vAlign w:val="center"/>
          </w:tcPr>
          <w:p>
            <w:pPr>
              <w:rPr>
                <w:szCs w:val="18"/>
              </w:rPr>
            </w:pPr>
            <w:bookmarkStart w:id="48" w:name="小房间网格大小"/>
            <w:r>
              <w:rPr>
                <w:szCs w:val="18"/>
              </w:rPr>
              <w:t>0.25</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9" w:name="网格划分房间面积"/>
            <w:r>
              <w:rPr>
                <w:szCs w:val="18"/>
              </w:rPr>
              <w:t>10~100</w:t>
            </w:r>
            <w:bookmarkEnd w:id="49"/>
          </w:p>
        </w:tc>
        <w:tc>
          <w:tcPr>
            <w:tcW w:w="3272" w:type="dxa"/>
            <w:shd w:val="clear" w:color="auto" w:fill="auto"/>
            <w:vAlign w:val="center"/>
          </w:tcPr>
          <w:p>
            <w:pPr>
              <w:rPr>
                <w:szCs w:val="18"/>
              </w:rPr>
            </w:pPr>
            <w:bookmarkStart w:id="50" w:name="网格大小"/>
            <w:r>
              <w:rPr>
                <w:szCs w:val="18"/>
              </w:rPr>
              <w:t>0.50</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1" w:name="网格划分大房间面积"/>
            <w:r>
              <w:rPr>
                <w:szCs w:val="18"/>
              </w:rPr>
              <w:t>100</w:t>
            </w:r>
            <w:bookmarkEnd w:id="51"/>
          </w:p>
        </w:tc>
        <w:tc>
          <w:tcPr>
            <w:tcW w:w="3272" w:type="dxa"/>
            <w:shd w:val="clear" w:color="auto" w:fill="auto"/>
            <w:vAlign w:val="center"/>
          </w:tcPr>
          <w:p>
            <w:pPr>
              <w:rPr>
                <w:szCs w:val="18"/>
              </w:rPr>
            </w:pPr>
            <w:bookmarkStart w:id="52" w:name="大房间网格大小"/>
            <w:r>
              <w:rPr>
                <w:szCs w:val="18"/>
              </w:rPr>
              <w:t>1.00</w:t>
            </w:r>
            <w:bookmarkEnd w:id="52"/>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3" w:name="顶棚反射比"/>
            <w:r>
              <w:t>0.75</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4" w:name="地面反射比"/>
            <w:r>
              <w:t>0.30</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5" w:name="墙面反射比"/>
            <w:r>
              <w:t>0.60</w:t>
            </w:r>
            <w:bookmarkEnd w:id="5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6" w:name="外表面反射比"/>
            <w:r>
              <w:t>0.50</w:t>
            </w:r>
            <w:bookmarkEnd w:id="56"/>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7" w:name="_Toc422822724"/>
      <w:r>
        <w:rPr>
          <w:rFonts w:hint="eastAsia"/>
        </w:rPr>
        <w:t>门窗类型参数</w:t>
      </w:r>
      <w:bookmarkEnd w:id="57"/>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8" w:name="窗"/>
      <w:bookmarkStart w:id="59" w:name="_Toc422822727"/>
      <w:r>
        <w:t>普通</w:t>
      </w:r>
      <w:r>
        <w:rPr>
          <w:rFonts w:hint="eastAsia"/>
        </w:rPr>
        <w:t>窗</w:t>
      </w:r>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1800</w:t>
            </w:r>
          </w:p>
        </w:tc>
        <w:tc>
          <w:tcPr>
            <w:vAlign w:val="center"/>
          </w:tcPr>
          <w:p>
            <w:r>
              <w:t>3600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C1002</w:t>
            </w:r>
          </w:p>
        </w:tc>
        <w:tc>
          <w:tcPr>
            <w:vAlign w:val="center"/>
          </w:tcPr>
          <w:p>
            <w:r>
              <w:t>1000</w:t>
            </w:r>
          </w:p>
        </w:tc>
        <w:tc>
          <w:tcPr>
            <w:vAlign w:val="center"/>
          </w:tcPr>
          <w:p>
            <w:r>
              <w:t>200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C1510</w:t>
            </w:r>
          </w:p>
        </w:tc>
        <w:tc>
          <w:tcPr>
            <w:vAlign w:val="center"/>
          </w:tcPr>
          <w:p>
            <w:r>
              <w:t>1500</w:t>
            </w:r>
          </w:p>
        </w:tc>
        <w:tc>
          <w:tcPr>
            <w:vAlign w:val="center"/>
          </w:tcPr>
          <w:p>
            <w:r>
              <w:t>1000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C1520</w:t>
            </w:r>
          </w:p>
        </w:tc>
        <w:tc>
          <w:tcPr>
            <w:vAlign w:val="center"/>
          </w:tcPr>
          <w:p>
            <w:r>
              <w:t>1500</w:t>
            </w:r>
          </w:p>
        </w:tc>
        <w:tc>
          <w:tcPr>
            <w:vAlign w:val="center"/>
          </w:tcPr>
          <w:p>
            <w:r>
              <w:t>2000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C1525</w:t>
            </w:r>
          </w:p>
        </w:tc>
        <w:tc>
          <w:tcPr>
            <w:vAlign w:val="center"/>
          </w:tcPr>
          <w:p>
            <w:r>
              <w:t>1500</w:t>
            </w:r>
          </w:p>
        </w:tc>
        <w:tc>
          <w:tcPr>
            <w:vAlign w:val="center"/>
          </w:tcPr>
          <w:p>
            <w:r>
              <w:t>2500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3600</w:t>
            </w:r>
          </w:p>
        </w:tc>
        <w:tc>
          <w:tcPr>
            <w:vAlign w:val="center"/>
          </w:tcPr>
          <w:p>
            <w:r>
              <w:t>1500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DK1230</w:t>
            </w:r>
          </w:p>
        </w:tc>
        <w:tc>
          <w:tcPr>
            <w:vAlign w:val="center"/>
          </w:tcPr>
          <w:p>
            <w:r>
              <w:t>1200</w:t>
            </w:r>
          </w:p>
        </w:tc>
        <w:tc>
          <w:tcPr>
            <w:vAlign w:val="center"/>
          </w:tcPr>
          <w:p>
            <w:r>
              <w:t>3000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DK1236</w:t>
            </w:r>
          </w:p>
        </w:tc>
        <w:tc>
          <w:tcPr>
            <w:vAlign w:val="center"/>
          </w:tcPr>
          <w:p>
            <w:r>
              <w:t>1200</w:t>
            </w:r>
          </w:p>
        </w:tc>
        <w:tc>
          <w:tcPr>
            <w:vAlign w:val="center"/>
          </w:tcPr>
          <w:p>
            <w:r>
              <w:t>3600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DK1536</w:t>
            </w:r>
          </w:p>
        </w:tc>
        <w:tc>
          <w:tcPr>
            <w:vAlign w:val="center"/>
          </w:tcPr>
          <w:p>
            <w:r>
              <w:t>1500</w:t>
            </w:r>
          </w:p>
        </w:tc>
        <w:tc>
          <w:tcPr>
            <w:vAlign w:val="center"/>
          </w:tcPr>
          <w:p>
            <w:r>
              <w:t>3600</w:t>
            </w:r>
          </w:p>
        </w:tc>
        <w:tc>
          <w:tcPr>
            <w:vAlign w:val="center"/>
          </w:tcPr>
          <w:p>
            <w:r>
              <w:t>单层钢窗</w:t>
            </w:r>
          </w:p>
        </w:tc>
        <w:tc>
          <w:tcPr>
            <w:vAlign w:val="center"/>
          </w:tcPr>
          <w:p>
            <w:r>
              <w:t>透明PC板</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DK1836</w:t>
            </w:r>
          </w:p>
        </w:tc>
        <w:tc>
          <w:tcPr>
            <w:vAlign w:val="center"/>
          </w:tcPr>
          <w:p>
            <w:r>
              <w:t>1800</w:t>
            </w:r>
          </w:p>
        </w:tc>
        <w:tc>
          <w:tcPr>
            <w:vAlign w:val="center"/>
          </w:tcPr>
          <w:p>
            <w:r>
              <w:t>3600</w:t>
            </w:r>
          </w:p>
        </w:tc>
        <w:tc>
          <w:tcPr>
            <w:vAlign w:val="center"/>
          </w:tcPr>
          <w:p>
            <w:r>
              <w:t>单层钢窗</w:t>
            </w:r>
          </w:p>
        </w:tc>
        <w:tc>
          <w:tcPr>
            <w:vAlign w:val="center"/>
          </w:tcPr>
          <w:p>
            <w:r>
              <w:t>透明PC板</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5"/>
      </w:pPr>
      <w:bookmarkStart w:id="60" w:name="天窗"/>
      <w:r>
        <w:rPr>
          <w:rFonts w:hint="eastAsia"/>
        </w:rPr>
        <w:t xml:space="preserve">天 </w:t>
      </w:r>
      <w:r>
        <w:t xml:space="preserve"> </w:t>
      </w:r>
      <w:r>
        <w:rPr>
          <w:rFonts w:hint="eastAsia"/>
        </w:rPr>
        <w:t>窗</w:t>
      </w:r>
      <w:bookmarkEnd w:id="59"/>
    </w:p>
    <w:bookmarkEnd w:id="60"/>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500</w:t>
            </w:r>
          </w:p>
        </w:tc>
        <w:tc>
          <w:tcPr>
            <w:vAlign w:val="center"/>
          </w:tcPr>
          <w:p>
            <w:r>
              <w:t>20000</w:t>
            </w:r>
          </w:p>
        </w:tc>
        <w:tc>
          <w:tcPr>
            <w:vAlign w:val="center"/>
          </w:tcPr>
          <w:p>
            <w:r>
              <w:t>9.659</w:t>
            </w:r>
          </w:p>
        </w:tc>
        <w:tc>
          <w:tcPr>
            <w:vAlign w:val="center"/>
          </w:tcPr>
          <w:p>
            <w:r>
              <w:t>单层铝窗</w:t>
            </w:r>
          </w:p>
        </w:tc>
        <w:tc>
          <w:tcPr>
            <w:vAlign w:val="center"/>
          </w:tcPr>
          <w:p>
            <w:r>
              <w:t>透明PC板</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61" w:name="窗污染折减系数"/>
      <w:bookmarkEnd w:id="61"/>
    </w:p>
    <w:p>
      <w:pPr>
        <w:pStyle w:val="2"/>
      </w:pPr>
      <w:bookmarkStart w:id="62" w:name="_Toc422822729"/>
      <w:r>
        <w:rPr>
          <w:rFonts w:hint="eastAsia"/>
        </w:rPr>
        <w:t>分析统计结果</w:t>
      </w:r>
      <w:bookmarkEnd w:id="62"/>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92"/>
        <w:gridCol w:w="509"/>
        <w:gridCol w:w="566"/>
        <w:gridCol w:w="792"/>
        <w:gridCol w:w="56"/>
        <w:gridCol w:w="848"/>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采光系数</w:t>
            </w:r>
            <w:r>
              <w:br w:type="textWrapping"/>
            </w:r>
            <w:r>
              <w:t>要求(%)</w:t>
            </w:r>
          </w:p>
        </w:tc>
        <w:tc>
          <w:tcPr>
            <w:gridSpan w:val="2"/>
            <w:shd w:val="clear" w:color="auto" w:fill="E6E6E6"/>
            <w:vAlign w:val="center"/>
          </w:tcPr>
          <w:p>
            <w:pPr>
              <w:jc w:val="center"/>
            </w:pPr>
            <w:r>
              <w:t>内区面积</w:t>
            </w:r>
            <w:r>
              <w:br w:type="textWrapping"/>
            </w:r>
            <w:r>
              <w:t>(m2)</w:t>
            </w:r>
          </w:p>
        </w:tc>
        <w:tc>
          <w:tcPr>
            <w:gridSpan w:val="2"/>
            <w:shd w:val="clear" w:color="auto" w:fill="E6E6E6"/>
            <w:vAlign w:val="center"/>
          </w:tcPr>
          <w:p>
            <w:pPr>
              <w:jc w:val="center"/>
            </w:pPr>
            <w:r>
              <w:t>达标面积</w:t>
            </w:r>
            <w:r>
              <w:br w:type="textWrapping"/>
            </w:r>
            <w:r>
              <w:t>(m2)</w:t>
            </w:r>
          </w:p>
        </w:tc>
        <w:tc>
          <w:tcPr>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1007</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0.90</w:t>
            </w:r>
          </w:p>
        </w:tc>
        <w:tc>
          <w:tcPr>
            <w:gridSpan w:val="2"/>
            <w:vAlign w:val="center"/>
          </w:tcPr>
          <w:p>
            <w:pPr>
              <w:jc w:val="center"/>
            </w:pPr>
            <w:r>
              <w:t>0.26</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1010</w:t>
            </w:r>
          </w:p>
        </w:tc>
        <w:tc>
          <w:tcPr>
            <w:gridSpan w:val="2"/>
            <w:vAlign w:val="center"/>
          </w:tcPr>
          <w:p>
            <w:pPr>
              <w:jc w:val="center"/>
            </w:pPr>
            <w:r>
              <w:t>连接通道</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1.80</w:t>
            </w:r>
          </w:p>
        </w:tc>
        <w:tc>
          <w:tcPr>
            <w:gridSpan w:val="2"/>
            <w:vAlign w:val="center"/>
          </w:tcPr>
          <w:p>
            <w:pPr>
              <w:jc w:val="center"/>
            </w:pPr>
            <w:r>
              <w:t>68.43</w:t>
            </w:r>
          </w:p>
        </w:tc>
        <w:tc>
          <w:tcPr>
            <w:gridSpan w:val="2"/>
            <w:vAlign w:val="center"/>
          </w:tcPr>
          <w:p>
            <w:pPr>
              <w:jc w:val="center"/>
              <w:rPr>
                <w:rFonts w:hint="default" w:eastAsia="微软雅黑"/>
                <w:lang w:val="en-US" w:eastAsia="zh-CN"/>
              </w:rPr>
            </w:pPr>
            <w:r>
              <w:rPr>
                <w:rFonts w:hint="eastAsia"/>
                <w:lang w:val="en-US" w:eastAsia="zh-CN"/>
              </w:rPr>
              <w:t>34.52</w:t>
            </w:r>
          </w:p>
        </w:tc>
        <w:tc>
          <w:tcPr>
            <w:vAlign w:val="center"/>
          </w:tcPr>
          <w:p>
            <w:pPr>
              <w:jc w:val="center"/>
              <w:rPr>
                <w:rFonts w:hint="default" w:eastAsia="微软雅黑"/>
                <w:lang w:val="en-US" w:eastAsia="zh-CN"/>
              </w:rPr>
            </w:pPr>
            <w:r>
              <w:rPr>
                <w:rFonts w:hint="eastAsia"/>
                <w:lang w:val="en-US" w:eastAsia="zh-CN"/>
              </w:rP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1012</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0.90</w:t>
            </w:r>
          </w:p>
        </w:tc>
        <w:tc>
          <w:tcPr>
            <w:gridSpan w:val="2"/>
            <w:vAlign w:val="center"/>
          </w:tcPr>
          <w:p>
            <w:pPr>
              <w:jc w:val="center"/>
            </w:pPr>
            <w:r>
              <w:t>19.33</w:t>
            </w:r>
          </w:p>
        </w:tc>
        <w:tc>
          <w:tcPr>
            <w:gridSpan w:val="2"/>
            <w:vAlign w:val="center"/>
          </w:tcPr>
          <w:p>
            <w:pPr>
              <w:jc w:val="center"/>
            </w:pPr>
            <w:r>
              <w:t>0.00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1013</w:t>
            </w:r>
          </w:p>
        </w:tc>
        <w:tc>
          <w:tcPr>
            <w:gridSpan w:val="2"/>
            <w:vAlign w:val="center"/>
          </w:tcPr>
          <w:p>
            <w:pPr>
              <w:jc w:val="center"/>
            </w:pPr>
            <w:r>
              <w:t>登录厅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1.80</w:t>
            </w:r>
          </w:p>
        </w:tc>
        <w:tc>
          <w:tcPr>
            <w:gridSpan w:val="2"/>
            <w:vAlign w:val="center"/>
          </w:tcPr>
          <w:p>
            <w:pPr>
              <w:jc w:val="center"/>
            </w:pPr>
            <w:r>
              <w:t>4.31</w:t>
            </w:r>
          </w:p>
        </w:tc>
        <w:tc>
          <w:tcPr>
            <w:gridSpan w:val="2"/>
            <w:vAlign w:val="center"/>
          </w:tcPr>
          <w:p>
            <w:pPr>
              <w:jc w:val="center"/>
              <w:rPr>
                <w:rFonts w:hint="default" w:eastAsia="微软雅黑"/>
                <w:lang w:val="en-US" w:eastAsia="zh-CN"/>
              </w:rPr>
            </w:pPr>
            <w:r>
              <w:rPr>
                <w:rFonts w:hint="eastAsia"/>
                <w:lang w:val="en-US" w:eastAsia="zh-CN"/>
              </w:rPr>
              <w:t>4.31</w:t>
            </w:r>
          </w:p>
        </w:tc>
        <w:tc>
          <w:tcPr>
            <w:vAlign w:val="center"/>
          </w:tcPr>
          <w:p>
            <w:pPr>
              <w:jc w:val="center"/>
            </w:pPr>
            <w:r>
              <w:rPr>
                <w:rFonts w:hint="eastAsia"/>
                <w:lang w:val="en-US" w:eastAsia="zh-CN"/>
              </w:rPr>
              <w:t>10</w:t>
            </w: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2001</w:t>
            </w:r>
          </w:p>
        </w:tc>
        <w:tc>
          <w:tcPr>
            <w:gridSpan w:val="2"/>
            <w:vAlign w:val="center"/>
          </w:tcPr>
          <w:p>
            <w:pPr>
              <w:jc w:val="center"/>
            </w:pPr>
            <w:r>
              <w:t>登录厅</w:t>
            </w:r>
          </w:p>
        </w:tc>
        <w:tc>
          <w:tcPr>
            <w:gridSpan w:val="2"/>
            <w:vAlign w:val="center"/>
          </w:tcPr>
          <w:p>
            <w:pPr>
              <w:jc w:val="center"/>
            </w:pPr>
            <w:r>
              <w:t>IV</w:t>
            </w:r>
          </w:p>
        </w:tc>
        <w:tc>
          <w:tcPr>
            <w:vAlign w:val="center"/>
          </w:tcPr>
          <w:p>
            <w:pPr>
              <w:jc w:val="center"/>
            </w:pPr>
            <w:r>
              <w:t>顶部</w:t>
            </w:r>
          </w:p>
        </w:tc>
        <w:tc>
          <w:tcPr>
            <w:gridSpan w:val="2"/>
            <w:vAlign w:val="center"/>
          </w:tcPr>
          <w:p>
            <w:pPr>
              <w:jc w:val="center"/>
            </w:pPr>
            <w:r>
              <w:t>0.90</w:t>
            </w:r>
          </w:p>
        </w:tc>
        <w:tc>
          <w:tcPr>
            <w:gridSpan w:val="2"/>
            <w:vAlign w:val="center"/>
          </w:tcPr>
          <w:p>
            <w:pPr>
              <w:jc w:val="center"/>
            </w:pPr>
            <w:r>
              <w:t>95.43</w:t>
            </w:r>
          </w:p>
        </w:tc>
        <w:tc>
          <w:tcPr>
            <w:gridSpan w:val="2"/>
            <w:vAlign w:val="center"/>
          </w:tcPr>
          <w:p>
            <w:pPr>
              <w:jc w:val="center"/>
            </w:pPr>
            <w:r>
              <w:t>95.43</w:t>
            </w:r>
          </w:p>
        </w:tc>
        <w:tc>
          <w:tcPr>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2005</w:t>
            </w:r>
          </w:p>
        </w:tc>
        <w:tc>
          <w:tcPr>
            <w:gridSpan w:val="2"/>
            <w:vAlign w:val="center"/>
          </w:tcPr>
          <w:p>
            <w:pPr>
              <w:jc w:val="center"/>
            </w:pPr>
            <w:r>
              <w:t>登录厅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1.80</w:t>
            </w:r>
          </w:p>
        </w:tc>
        <w:tc>
          <w:tcPr>
            <w:gridSpan w:val="2"/>
            <w:vAlign w:val="center"/>
          </w:tcPr>
          <w:p>
            <w:pPr>
              <w:jc w:val="center"/>
            </w:pPr>
            <w:r>
              <w:t>0.26</w:t>
            </w:r>
          </w:p>
        </w:tc>
        <w:tc>
          <w:tcPr>
            <w:gridSpan w:val="2"/>
            <w:vAlign w:val="center"/>
          </w:tcPr>
          <w:p>
            <w:pPr>
              <w:jc w:val="center"/>
              <w:rPr>
                <w:rFonts w:hint="default" w:eastAsia="微软雅黑"/>
                <w:lang w:val="en-US" w:eastAsia="zh-CN"/>
              </w:rPr>
            </w:pPr>
            <w:r>
              <w:rPr>
                <w:rFonts w:hint="eastAsia"/>
                <w:lang w:val="en-US" w:eastAsia="zh-CN"/>
              </w:rPr>
              <w:t>0.26</w:t>
            </w:r>
          </w:p>
        </w:tc>
        <w:tc>
          <w:tcPr>
            <w:vAlign w:val="center"/>
          </w:tcPr>
          <w:p>
            <w:pPr>
              <w:jc w:val="cente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库房</w:t>
            </w:r>
          </w:p>
        </w:tc>
        <w:tc>
          <w:tcPr>
            <w:gridSpan w:val="2"/>
            <w:vAlign w:val="center"/>
          </w:tcPr>
          <w:p>
            <w:r>
              <w:t>侧面</w:t>
            </w:r>
          </w:p>
        </w:tc>
        <w:tc>
          <w:tcPr>
            <w:gridSpan w:val="2"/>
            <w:vAlign w:val="center"/>
          </w:tcPr>
          <w:p>
            <w:r>
              <w:t>0.90</w:t>
            </w:r>
          </w:p>
        </w:tc>
        <w:tc>
          <w:tcPr>
            <w:gridSpan w:val="3"/>
            <w:vAlign w:val="center"/>
          </w:tcPr>
          <w:p>
            <w:r>
              <w:t>150</w:t>
            </w:r>
          </w:p>
        </w:tc>
        <w:tc>
          <w:tcPr>
            <w:gridSpan w:val="2"/>
            <w:vAlign w:val="center"/>
          </w:tcPr>
          <w:p>
            <w:r>
              <w:t>19.59</w:t>
            </w:r>
          </w:p>
        </w:tc>
        <w:tc>
          <w:tcPr>
            <w:gridSpan w:val="2"/>
            <w:vAlign w:val="center"/>
          </w:tcPr>
          <w:p>
            <w:r>
              <w:t>0.00</w:t>
            </w:r>
          </w:p>
        </w:tc>
        <w:tc>
          <w:tcPr>
            <w:gridSpan w:val="3"/>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连接通道</w:t>
            </w:r>
          </w:p>
        </w:tc>
        <w:tc>
          <w:tcPr>
            <w:gridSpan w:val="2"/>
            <w:vAlign w:val="center"/>
          </w:tcPr>
          <w:p>
            <w:r>
              <w:t>侧面</w:t>
            </w:r>
          </w:p>
        </w:tc>
        <w:tc>
          <w:tcPr>
            <w:gridSpan w:val="2"/>
            <w:vAlign w:val="center"/>
          </w:tcPr>
          <w:p>
            <w:r>
              <w:t>1.80</w:t>
            </w:r>
          </w:p>
        </w:tc>
        <w:tc>
          <w:tcPr>
            <w:gridSpan w:val="3"/>
            <w:vAlign w:val="center"/>
          </w:tcPr>
          <w:p>
            <w:r>
              <w:t>300</w:t>
            </w:r>
          </w:p>
        </w:tc>
        <w:tc>
          <w:tcPr>
            <w:gridSpan w:val="2"/>
            <w:vAlign w:val="center"/>
          </w:tcPr>
          <w:p>
            <w:r>
              <w:t>68.43</w:t>
            </w:r>
          </w:p>
        </w:tc>
        <w:tc>
          <w:tcPr>
            <w:gridSpan w:val="2"/>
            <w:vAlign w:val="center"/>
          </w:tcPr>
          <w:p>
            <w:pPr>
              <w:rPr>
                <w:rFonts w:hint="default" w:eastAsia="微软雅黑"/>
                <w:lang w:val="en-US" w:eastAsia="zh-CN"/>
              </w:rPr>
            </w:pPr>
            <w:r>
              <w:rPr>
                <w:rFonts w:hint="eastAsia"/>
                <w:lang w:val="en-US" w:eastAsia="zh-CN"/>
              </w:rPr>
              <w:t>34.52</w:t>
            </w:r>
          </w:p>
        </w:tc>
        <w:tc>
          <w:tcPr>
            <w:gridSpan w:val="3"/>
            <w:vAlign w:val="center"/>
          </w:tcPr>
          <w:p>
            <w:pPr>
              <w:rPr>
                <w:rFonts w:hint="default" w:eastAsia="微软雅黑"/>
                <w:lang w:val="en-US" w:eastAsia="zh-CN"/>
              </w:rPr>
            </w:pPr>
            <w:r>
              <w:rPr>
                <w:rFonts w:hint="eastAsia"/>
                <w:lang w:val="en-US" w:eastAsia="zh-CN"/>
              </w:rP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登录厅</w:t>
            </w:r>
          </w:p>
        </w:tc>
        <w:tc>
          <w:tcPr>
            <w:gridSpan w:val="2"/>
            <w:vAlign w:val="center"/>
          </w:tcPr>
          <w:p>
            <w:r>
              <w:t>侧面</w:t>
            </w:r>
          </w:p>
        </w:tc>
        <w:tc>
          <w:tcPr>
            <w:gridSpan w:val="2"/>
            <w:vAlign w:val="center"/>
          </w:tcPr>
          <w:p>
            <w:r>
              <w:t>1.80</w:t>
            </w:r>
          </w:p>
        </w:tc>
        <w:tc>
          <w:tcPr>
            <w:gridSpan w:val="3"/>
            <w:vAlign w:val="center"/>
          </w:tcPr>
          <w:p>
            <w:r>
              <w:t>300</w:t>
            </w:r>
          </w:p>
        </w:tc>
        <w:tc>
          <w:tcPr>
            <w:gridSpan w:val="2"/>
            <w:vAlign w:val="center"/>
          </w:tcPr>
          <w:p>
            <w:r>
              <w:t>4.57</w:t>
            </w:r>
          </w:p>
        </w:tc>
        <w:tc>
          <w:tcPr>
            <w:gridSpan w:val="2"/>
            <w:vAlign w:val="center"/>
          </w:tcPr>
          <w:p>
            <w:r>
              <w:t>0.00</w:t>
            </w:r>
          </w:p>
        </w:tc>
        <w:tc>
          <w:tcPr>
            <w:gridSpan w:val="3"/>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r>
              <w:t>登录厅</w:t>
            </w:r>
          </w:p>
        </w:tc>
        <w:tc>
          <w:tcPr>
            <w:gridSpan w:val="2"/>
            <w:vAlign w:val="center"/>
          </w:tcPr>
          <w:p>
            <w:r>
              <w:t>顶部</w:t>
            </w:r>
          </w:p>
        </w:tc>
        <w:tc>
          <w:tcPr>
            <w:gridSpan w:val="2"/>
            <w:vAlign w:val="center"/>
          </w:tcPr>
          <w:p>
            <w:r>
              <w:t>0.90</w:t>
            </w:r>
          </w:p>
        </w:tc>
        <w:tc>
          <w:tcPr>
            <w:gridSpan w:val="3"/>
            <w:vAlign w:val="center"/>
          </w:tcPr>
          <w:p>
            <w:r>
              <w:t>150</w:t>
            </w:r>
          </w:p>
        </w:tc>
        <w:tc>
          <w:tcPr>
            <w:gridSpan w:val="2"/>
            <w:vAlign w:val="center"/>
          </w:tcPr>
          <w:p>
            <w:r>
              <w:t>95.43</w:t>
            </w:r>
          </w:p>
        </w:tc>
        <w:tc>
          <w:tcPr>
            <w:gridSpan w:val="2"/>
            <w:vAlign w:val="center"/>
          </w:tcPr>
          <w:p>
            <w:r>
              <w:t>95.43</w:t>
            </w:r>
          </w:p>
        </w:tc>
        <w:tc>
          <w:tcPr>
            <w:gridSpan w:val="3"/>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r>
              <w:t>总计达标面积比例(%)</w:t>
            </w:r>
          </w:p>
        </w:tc>
        <w:tc>
          <w:tcPr>
            <w:gridSpan w:val="7"/>
            <w:vAlign w:val="center"/>
          </w:tcPr>
          <w:p>
            <w:pPr>
              <w:rPr>
                <w:rFonts w:hint="default" w:eastAsia="微软雅黑"/>
                <w:lang w:val="en-US" w:eastAsia="zh-CN"/>
              </w:rPr>
            </w:pPr>
            <w:r>
              <w:rPr>
                <w:rFonts w:hint="eastAsia"/>
                <w:lang w:val="en-US" w:eastAsia="zh-CN"/>
              </w:rPr>
              <w:t>65</w:t>
            </w:r>
          </w:p>
        </w:tc>
      </w:tr>
    </w:tbl>
    <w:p>
      <w:pPr>
        <w:rPr>
          <w:lang w:val="en-US"/>
        </w:rPr>
      </w:pPr>
      <w:bookmarkStart w:id="63" w:name="达标率表格"/>
      <w:bookmarkEnd w:id="63"/>
    </w:p>
    <w:p>
      <w:pPr>
        <w:pStyle w:val="2"/>
      </w:pPr>
      <w:bookmarkStart w:id="64" w:name="_Toc422822730"/>
      <w:r>
        <w:rPr>
          <w:rFonts w:hint="eastAsia"/>
        </w:rPr>
        <w:t>达标率彩图</w:t>
      </w:r>
      <w:bookmarkEnd w:id="64"/>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5" w:name="达标图"/>
      <w:bookmarkEnd w:id="65"/>
    </w:p>
    <w:p>
      <w:pPr>
        <w:rPr>
          <w:sz w:val="18"/>
          <w:lang w:val="en-US"/>
        </w:rPr>
      </w:pPr>
      <w:r>
        <w:drawing>
          <wp:inline distT="0" distB="0" distL="0" distR="0">
            <wp:extent cx="5667375" cy="2609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667375" cy="2609850"/>
                    </a:xfrm>
                    <a:prstGeom prst="rect">
                      <a:avLst/>
                    </a:prstGeom>
                  </pic:spPr>
                </pic:pic>
              </a:graphicData>
            </a:graphic>
          </wp:inline>
        </w:drawing>
      </w:r>
    </w:p>
    <w:p>
      <w:pPr>
        <w:rPr>
          <w:sz w:val="18"/>
          <w:lang w:val="en-US"/>
        </w:rPr>
      </w:pPr>
      <w:r>
        <w:rPr>
          <w:sz w:val="18"/>
          <w:lang w:val="en-US"/>
        </w:rPr>
        <w:t>1层</w:t>
      </w:r>
    </w:p>
    <w:p>
      <w:pPr>
        <w:rPr>
          <w:sz w:val="18"/>
          <w:lang w:val="en-US"/>
        </w:rPr>
      </w:pPr>
      <w:r>
        <w:drawing>
          <wp:inline distT="0" distB="0" distL="0" distR="0">
            <wp:extent cx="5667375" cy="2609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2609850"/>
                    </a:xfrm>
                    <a:prstGeom prst="rect">
                      <a:avLst/>
                    </a:prstGeom>
                  </pic:spPr>
                </pic:pic>
              </a:graphicData>
            </a:graphic>
          </wp:inline>
        </w:drawing>
      </w:r>
    </w:p>
    <w:p>
      <w:pPr>
        <w:rPr>
          <w:sz w:val="18"/>
          <w:lang w:val="en-US"/>
        </w:rPr>
      </w:pPr>
      <w:r>
        <w:rPr>
          <w:sz w:val="18"/>
          <w:lang w:val="en-US"/>
        </w:rPr>
        <w:t>2层</w:t>
      </w:r>
    </w:p>
    <w:p>
      <w:pPr>
        <w:rPr>
          <w:sz w:val="18"/>
          <w:lang w:val="en-US"/>
        </w:rPr>
      </w:pPr>
    </w:p>
    <w:p>
      <w:pPr>
        <w:pStyle w:val="2"/>
      </w:pPr>
      <w:bookmarkStart w:id="66" w:name="_Toc422822731"/>
      <w:r>
        <w:rPr>
          <w:rFonts w:hint="eastAsia"/>
        </w:rPr>
        <w:t>评价结论</w:t>
      </w:r>
      <w:bookmarkEnd w:id="66"/>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7" w:name="采光面积"/>
            <w:r>
              <w:rPr>
                <w:rFonts w:hint="eastAsia"/>
              </w:rPr>
              <w:t>188.02</w:t>
            </w:r>
            <w:bookmarkEnd w:id="67"/>
          </w:p>
        </w:tc>
        <w:tc>
          <w:tcPr>
            <w:tcW w:w="3420" w:type="dxa"/>
            <w:vAlign w:val="center"/>
          </w:tcPr>
          <w:p>
            <w:pPr>
              <w:rPr>
                <w:rFonts w:hint="default" w:eastAsia="微软雅黑"/>
                <w:lang w:val="en-US" w:eastAsia="zh-CN"/>
              </w:rPr>
            </w:pPr>
            <w:r>
              <w:rPr>
                <w:rFonts w:hint="eastAsia"/>
                <w:lang w:val="en-US" w:eastAsia="zh-CN"/>
              </w:rPr>
              <w:t>124.02</w:t>
            </w:r>
          </w:p>
        </w:tc>
        <w:tc>
          <w:tcPr>
            <w:tcW w:w="1980" w:type="dxa"/>
            <w:vAlign w:val="center"/>
          </w:tcPr>
          <w:p>
            <w:pPr>
              <w:rPr>
                <w:rFonts w:hint="default" w:eastAsia="微软雅黑"/>
                <w:lang w:val="en-US" w:eastAsia="zh-CN"/>
              </w:rPr>
            </w:pPr>
            <w:r>
              <w:rPr>
                <w:rFonts w:hint="eastAsia"/>
                <w:lang w:val="en-US" w:eastAsia="zh-CN"/>
              </w:rPr>
              <w:t>65</w:t>
            </w:r>
          </w:p>
        </w:tc>
        <w:tc>
          <w:tcPr>
            <w:tcW w:w="1260" w:type="dxa"/>
            <w:vAlign w:val="center"/>
          </w:tcPr>
          <w:p>
            <w:pPr>
              <w:rPr>
                <w:rFonts w:hint="default" w:eastAsia="微软雅黑"/>
                <w:lang w:val="en-US" w:eastAsia="zh-CN"/>
              </w:rPr>
            </w:pPr>
            <w:r>
              <w:rPr>
                <w:rFonts w:hint="eastAsia"/>
                <w:lang w:val="en-US" w:eastAsia="zh-CN"/>
              </w:rPr>
              <w:t>71</w:t>
            </w:r>
            <w:bookmarkStart w:id="68" w:name="_GoBack"/>
            <w:bookmarkEnd w:id="68"/>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pict>
        <v:shape id="_x0000_s2049" o:spid="_x0000_s2049"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docVars>
    <w:docVar w:name="commondata" w:val="eyJoZGlkIjoiMWE1Njc1MTYwZjRmZjcyZTNiYjBjNTlmNDZjZTExMDQifQ=="/>
  </w:docVars>
  <w:rsids>
    <w:rsidRoot w:val="00217F62"/>
    <w:rsid w:val="001915A3"/>
    <w:rsid w:val="00217F62"/>
    <w:rsid w:val="00A906D8"/>
    <w:rsid w:val="00AB5A74"/>
    <w:rsid w:val="00F071AE"/>
    <w:rsid w:val="46A7774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autoRedefine/>
    <w:semiHidden/>
    <w:uiPriority w:val="0"/>
    <w:pPr>
      <w:shd w:val="clear" w:color="auto" w:fill="000080"/>
    </w:pPr>
  </w:style>
  <w:style w:type="paragraph" w:styleId="13">
    <w:name w:val="annotation text"/>
    <w:basedOn w:val="1"/>
    <w:autoRedefine/>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autoRedefine/>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autoRedefine/>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autoRedefine/>
    <w:qFormat/>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autoRedefine/>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autoRedefine/>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7B5C1-5358-491D-81B1-DFD9DDE359BE}">
  <ds:schemaRefs/>
</ds:datastoreItem>
</file>

<file path=docProps/app.xml><?xml version="1.0" encoding="utf-8"?>
<Properties xmlns="http://schemas.openxmlformats.org/officeDocument/2006/extended-properties" xmlns:vt="http://schemas.openxmlformats.org/officeDocument/2006/docPropsVTypes">
  <Template>公建内区采光分析报告书.dotx</Template>
  <Company>ths</Company>
  <Pages>6</Pages>
  <Words>456</Words>
  <Characters>2602</Characters>
  <Lines>21</Lines>
  <Paragraphs>6</Paragraphs>
  <TotalTime>171</TotalTime>
  <ScaleCrop>false</ScaleCrop>
  <LinksUpToDate>false</LinksUpToDate>
  <CharactersWithSpaces>3052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2016-12-05T07:50:00Z</dcterms:created>
  <dc:creator>LiuQY</dc:creator>
  <cp:lastModifiedBy>Administrator</cp:lastModifiedBy>
  <cp:lastPrinted>2411-12-31T16:00:00Z</cp:lastPrinted>
  <dcterms:modified xsi:type="dcterms:W3CDTF">2024-03-16T07:09:15Z</dcterms:modified>
  <dc:title>公建内区采光分析报告书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3033D5B5F5D84257A3272B18CB139AAC_12</vt:lpwstr>
  </property>
</Properties>
</file>