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xxxx项目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苏州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r>
              <w:rPr>
                <w:rFonts w:hint="eastAsia" w:ascii="宋体" w:hAnsi="宋体"/>
                <w:szCs w:val="21"/>
              </w:rPr>
              <w:t>xxxx有限公司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r>
              <w:rPr>
                <w:rFonts w:hint="eastAsia" w:ascii="宋体" w:hAnsi="宋体"/>
                <w:szCs w:val="21"/>
              </w:rPr>
              <w:t>xxxx建筑设计有限公司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2024年01月06日</w:t>
            </w:r>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r>
        <w:drawing>
          <wp:inline distT="0" distB="0" distL="0" distR="0">
            <wp:extent cx="1628775" cy="16287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建筑通风计算软件Vent20</w:t>
            </w:r>
            <w:r>
              <w:rPr>
                <w:rFonts w:ascii="宋体" w:hAnsi="宋体"/>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8" w:name="目录"/>
      <w:r>
        <w:rPr>
          <w:rFonts w:ascii="宋体" w:hAnsi="宋体"/>
          <w:bCs w:val="0"/>
          <w:caps/>
        </w:rPr>
        <w:fldChar w:fldCharType="begin"/>
      </w:r>
      <w:r>
        <w:rPr>
          <w:rFonts w:ascii="宋体" w:hAnsi="宋体"/>
          <w:bCs w:val="0"/>
          <w:caps/>
        </w:rPr>
        <w:instrText xml:space="preserve"> HYPERLINK \l _Toc20043 </w:instrText>
      </w:r>
      <w:r>
        <w:rPr>
          <w:rFonts w:ascii="宋体" w:hAnsi="宋体"/>
          <w:bCs w:val="0"/>
          <w:caps/>
        </w:rPr>
        <w:fldChar w:fldCharType="separate"/>
      </w:r>
      <w:r>
        <w:rPr>
          <w:rFonts w:hint="eastAsia"/>
        </w:rPr>
        <w:t>1 项目概况</w:t>
      </w:r>
      <w:r>
        <w:tab/>
      </w:r>
      <w:r>
        <w:fldChar w:fldCharType="begin"/>
      </w:r>
      <w:r>
        <w:instrText xml:space="preserve"> PAGEREF _Toc20043 \h </w:instrText>
      </w:r>
      <w:r>
        <w:fldChar w:fldCharType="separate"/>
      </w:r>
      <w:r>
        <w:t>3</w:t>
      </w:r>
      <w:r>
        <w:fldChar w:fldCharType="end"/>
      </w:r>
      <w:r>
        <w:rPr>
          <w:rFonts w:ascii="宋体" w:hAnsi="宋体"/>
          <w:bCs w:val="0"/>
          <w:caps/>
        </w:rPr>
        <w:fldChar w:fldCharType="end"/>
      </w:r>
    </w:p>
    <w:p>
      <w:pPr>
        <w:pStyle w:val="20"/>
        <w:tabs>
          <w:tab w:val="right" w:leader="dot" w:pos="9070"/>
          <w:tab w:val="clear" w:pos="540"/>
          <w:tab w:val="clear" w:pos="840"/>
          <w:tab w:val="clear" w:pos="9360"/>
        </w:tabs>
      </w:pPr>
      <w:r>
        <w:fldChar w:fldCharType="begin"/>
      </w:r>
      <w:r>
        <w:instrText xml:space="preserve"> HYPERLINK \l _Toc3701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_Toc3701 \h </w:instrText>
      </w:r>
      <w:r>
        <w:fldChar w:fldCharType="separate"/>
      </w:r>
      <w:r>
        <w:t>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_Toc11041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_Toc11041 \h </w:instrText>
      </w:r>
      <w:r>
        <w:fldChar w:fldCharType="separate"/>
      </w:r>
      <w:r>
        <w:t>5</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_Toc6609 </w:instrText>
      </w:r>
      <w:r>
        <w:fldChar w:fldCharType="separate"/>
      </w:r>
      <w:r>
        <w:rPr>
          <w:rFonts w:hint="eastAsia"/>
        </w:rPr>
        <w:t>2 计算</w:t>
      </w:r>
      <w:r>
        <w:t>依据</w:t>
      </w:r>
      <w:r>
        <w:tab/>
      </w:r>
      <w:r>
        <w:fldChar w:fldCharType="begin"/>
      </w:r>
      <w:r>
        <w:instrText xml:space="preserve"> PAGEREF _Toc6609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_Toc11029 </w:instrText>
      </w:r>
      <w:r>
        <w:fldChar w:fldCharType="separate"/>
      </w:r>
      <w:r>
        <w:rPr>
          <w:rFonts w:hint="eastAsia"/>
        </w:rPr>
        <w:t>3 参考</w:t>
      </w:r>
      <w:r>
        <w:t>标准</w:t>
      </w:r>
      <w:r>
        <w:tab/>
      </w:r>
      <w:r>
        <w:fldChar w:fldCharType="begin"/>
      </w:r>
      <w:r>
        <w:instrText xml:space="preserve"> PAGEREF _Toc11029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_Toc7423 </w:instrText>
      </w:r>
      <w:r>
        <w:fldChar w:fldCharType="separate"/>
      </w:r>
      <w:r>
        <w:rPr>
          <w:rFonts w:hint="eastAsia"/>
        </w:rPr>
        <w:t>4 计算原理</w:t>
      </w:r>
      <w:r>
        <w:tab/>
      </w:r>
      <w:r>
        <w:fldChar w:fldCharType="begin"/>
      </w:r>
      <w:r>
        <w:instrText xml:space="preserve"> PAGEREF _Toc7423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_Toc23825 </w:instrText>
      </w:r>
      <w:r>
        <w:fldChar w:fldCharType="separate"/>
      </w:r>
      <w:r>
        <w:rPr>
          <w:rFonts w:hint="eastAsia"/>
          <w:lang w:val="en-GB"/>
        </w:rPr>
        <w:t xml:space="preserve">4.1 </w:t>
      </w:r>
      <w:r>
        <w:rPr>
          <w:rFonts w:hint="eastAsia"/>
        </w:rPr>
        <w:t>风场计算域</w:t>
      </w:r>
      <w:r>
        <w:tab/>
      </w:r>
      <w:r>
        <w:fldChar w:fldCharType="begin"/>
      </w:r>
      <w:r>
        <w:instrText xml:space="preserve"> PAGEREF _Toc23825 \h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_Toc1688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_Toc1688 \h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_Toc2878 </w:instrText>
      </w:r>
      <w:r>
        <w:fldChar w:fldCharType="separate"/>
      </w:r>
      <w:r>
        <w:rPr>
          <w:rFonts w:hint="eastAsia" w:eastAsia="宋体"/>
          <w:szCs w:val="24"/>
          <w:lang w:val="en-GB"/>
        </w:rPr>
        <w:t xml:space="preserve">4.1.2 </w:t>
      </w:r>
      <w:r>
        <w:rPr>
          <w:rFonts w:hint="eastAsia"/>
        </w:rPr>
        <w:t>夏季工况风场计算域</w:t>
      </w:r>
      <w:r>
        <w:tab/>
      </w:r>
      <w:r>
        <w:fldChar w:fldCharType="begin"/>
      </w:r>
      <w:r>
        <w:instrText xml:space="preserve"> PAGEREF _Toc2878 \h </w:instrText>
      </w:r>
      <w:r>
        <w:fldChar w:fldCharType="separate"/>
      </w:r>
      <w:r>
        <w:t>7</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_Toc32334 </w:instrText>
      </w:r>
      <w:r>
        <w:fldChar w:fldCharType="separate"/>
      </w:r>
      <w:r>
        <w:rPr>
          <w:rFonts w:hint="eastAsia"/>
          <w:lang w:val="en-GB"/>
        </w:rPr>
        <w:t xml:space="preserve">4.2 </w:t>
      </w:r>
      <w:r>
        <w:rPr>
          <w:rFonts w:hint="eastAsia"/>
        </w:rPr>
        <w:t>网格划分</w:t>
      </w:r>
      <w:r>
        <w:tab/>
      </w:r>
      <w:r>
        <w:fldChar w:fldCharType="begin"/>
      </w:r>
      <w:r>
        <w:instrText xml:space="preserve"> PAGEREF _Toc32334 \h </w:instrText>
      </w:r>
      <w:r>
        <w:fldChar w:fldCharType="separate"/>
      </w:r>
      <w:r>
        <w:t>8</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_Toc21507 </w:instrText>
      </w:r>
      <w:r>
        <w:fldChar w:fldCharType="separate"/>
      </w:r>
      <w:r>
        <w:rPr>
          <w:rFonts w:hint="eastAsia"/>
          <w:lang w:val="en-GB"/>
        </w:rPr>
        <w:t xml:space="preserve">4.3 </w:t>
      </w:r>
      <w:r>
        <w:rPr>
          <w:rFonts w:hint="eastAsia"/>
        </w:rPr>
        <w:t>边界条件</w:t>
      </w:r>
      <w:r>
        <w:tab/>
      </w:r>
      <w:r>
        <w:fldChar w:fldCharType="begin"/>
      </w:r>
      <w:r>
        <w:instrText xml:space="preserve"> PAGEREF _Toc21507 \h </w:instrText>
      </w:r>
      <w:r>
        <w:fldChar w:fldCharType="separate"/>
      </w:r>
      <w:r>
        <w:t>10</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_Toc28774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_Toc28774 \h </w:instrText>
      </w:r>
      <w:r>
        <w:fldChar w:fldCharType="separate"/>
      </w:r>
      <w:r>
        <w:t>11</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_Toc1064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_Toc1064 \h </w:instrText>
      </w:r>
      <w:r>
        <w:fldChar w:fldCharType="separate"/>
      </w:r>
      <w:r>
        <w:t>11</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_Toc2512 </w:instrText>
      </w:r>
      <w:r>
        <w:fldChar w:fldCharType="separate"/>
      </w:r>
      <w:r>
        <w:rPr>
          <w:rFonts w:hint="eastAsia"/>
          <w:lang w:val="en-GB"/>
        </w:rPr>
        <w:t xml:space="preserve">4.4 </w:t>
      </w:r>
      <w:r>
        <w:rPr>
          <w:rFonts w:hint="eastAsia"/>
        </w:rPr>
        <w:t>湍流模型</w:t>
      </w:r>
      <w:r>
        <w:tab/>
      </w:r>
      <w:r>
        <w:fldChar w:fldCharType="begin"/>
      </w:r>
      <w:r>
        <w:instrText xml:space="preserve"> PAGEREF _Toc2512 \h </w:instrText>
      </w:r>
      <w:r>
        <w:fldChar w:fldCharType="separate"/>
      </w:r>
      <w:r>
        <w:t>11</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_Toc764 </w:instrText>
      </w:r>
      <w:r>
        <w:fldChar w:fldCharType="separate"/>
      </w:r>
      <w:r>
        <w:rPr>
          <w:rFonts w:hint="eastAsia"/>
          <w:lang w:val="en-GB"/>
        </w:rPr>
        <w:t xml:space="preserve">4.5 </w:t>
      </w:r>
      <w:r>
        <w:rPr>
          <w:rFonts w:hint="eastAsia"/>
        </w:rPr>
        <w:t>求解计算</w:t>
      </w:r>
      <w:r>
        <w:tab/>
      </w:r>
      <w:r>
        <w:fldChar w:fldCharType="begin"/>
      </w:r>
      <w:r>
        <w:instrText xml:space="preserve"> PAGEREF _Toc764 \h </w:instrText>
      </w:r>
      <w:r>
        <w:fldChar w:fldCharType="separate"/>
      </w:r>
      <w:r>
        <w:t>12</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_Toc21051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_Toc21051 \h </w:instrText>
      </w:r>
      <w:r>
        <w:fldChar w:fldCharType="separate"/>
      </w:r>
      <w:r>
        <w:t>13</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_Toc15258 </w:instrText>
      </w:r>
      <w:r>
        <w:fldChar w:fldCharType="separate"/>
      </w:r>
      <w:r>
        <w:rPr>
          <w:rFonts w:hint="eastAsia"/>
        </w:rPr>
        <w:t>5 结果</w:t>
      </w:r>
      <w:r>
        <w:t>分析</w:t>
      </w:r>
      <w:r>
        <w:tab/>
      </w:r>
      <w:r>
        <w:fldChar w:fldCharType="begin"/>
      </w:r>
      <w:r>
        <w:instrText xml:space="preserve"> PAGEREF _Toc15258 \h </w:instrText>
      </w:r>
      <w:r>
        <w:fldChar w:fldCharType="separate"/>
      </w:r>
      <w:r>
        <w:t>14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_Toc22544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_Toc22544 \h </w:instrText>
      </w:r>
      <w:r>
        <w:fldChar w:fldCharType="separate"/>
      </w:r>
      <w:r>
        <w:t>14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_Toc31470 </w:instrText>
      </w:r>
      <w:r>
        <w:fldChar w:fldCharType="separate"/>
      </w:r>
      <w:r>
        <w:rPr>
          <w:rFonts w:hint="eastAsia"/>
          <w:lang w:val="en-GB"/>
        </w:rPr>
        <w:t xml:space="preserve">5.2 </w:t>
      </w:r>
      <w:r>
        <w:rPr>
          <w:rFonts w:hint="eastAsia"/>
        </w:rPr>
        <w:t>冬季工况</w:t>
      </w:r>
      <w:r>
        <w:tab/>
      </w:r>
      <w:r>
        <w:fldChar w:fldCharType="begin"/>
      </w:r>
      <w:r>
        <w:instrText xml:space="preserve"> PAGEREF _Toc31470 \h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_Toc16645 </w:instrText>
      </w:r>
      <w:r>
        <w:fldChar w:fldCharType="separate"/>
      </w:r>
      <w:r>
        <w:rPr>
          <w:rFonts w:hint="eastAsia" w:eastAsia="宋体"/>
          <w:szCs w:val="24"/>
          <w:lang w:val="en-GB"/>
        </w:rPr>
        <w:t xml:space="preserve">5.2.1 </w:t>
      </w:r>
      <w:r>
        <w:rPr>
          <w:rFonts w:hint="eastAsia"/>
        </w:rPr>
        <w:t>人行区域风速达标分析</w:t>
      </w:r>
      <w:r>
        <w:tab/>
      </w:r>
      <w:r>
        <w:fldChar w:fldCharType="begin"/>
      </w:r>
      <w:r>
        <w:instrText xml:space="preserve"> PAGEREF _Toc16645 \h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_Toc23642 </w:instrText>
      </w:r>
      <w:r>
        <w:fldChar w:fldCharType="separate"/>
      </w:r>
      <w:r>
        <w:rPr>
          <w:rFonts w:hint="eastAsia" w:eastAsia="宋体"/>
          <w:szCs w:val="24"/>
          <w:lang w:val="en-GB"/>
        </w:rPr>
        <w:t xml:space="preserve">5.2.2 </w:t>
      </w:r>
      <w:r>
        <w:rPr>
          <w:rFonts w:hint="eastAsia"/>
        </w:rPr>
        <w:t>人行区域风速放大系数达标分析</w:t>
      </w:r>
      <w:r>
        <w:tab/>
      </w:r>
      <w:r>
        <w:fldChar w:fldCharType="begin"/>
      </w:r>
      <w:r>
        <w:instrText xml:space="preserve"> PAGEREF _Toc23642 \h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_Toc5250 </w:instrText>
      </w:r>
      <w:r>
        <w:fldChar w:fldCharType="separate"/>
      </w:r>
      <w:r>
        <w:rPr>
          <w:rFonts w:hint="eastAsia" w:eastAsia="宋体"/>
          <w:szCs w:val="24"/>
          <w:lang w:val="en-GB"/>
        </w:rPr>
        <w:t xml:space="preserve">5.2.3 </w:t>
      </w:r>
      <w:r>
        <w:rPr>
          <w:rFonts w:hint="eastAsia"/>
        </w:rPr>
        <w:t>户外休息区、儿童娱乐区</w:t>
      </w:r>
      <w:r>
        <w:t>域风速达标分析</w:t>
      </w:r>
      <w:r>
        <w:tab/>
      </w:r>
      <w:r>
        <w:fldChar w:fldCharType="begin"/>
      </w:r>
      <w:r>
        <w:instrText xml:space="preserve"> PAGEREF _Toc5250 \h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_Toc5314 </w:instrText>
      </w:r>
      <w:r>
        <w:fldChar w:fldCharType="separate"/>
      </w:r>
      <w:r>
        <w:rPr>
          <w:rFonts w:hint="eastAsia" w:eastAsia="宋体"/>
          <w:szCs w:val="24"/>
          <w:lang w:val="en-GB"/>
        </w:rPr>
        <w:t xml:space="preserve">5.2.4 </w:t>
      </w:r>
      <w:r>
        <w:rPr>
          <w:rFonts w:hint="eastAsia"/>
        </w:rPr>
        <w:t>户外休息区、儿童娱乐区风速放大系数达标</w:t>
      </w:r>
      <w:r>
        <w:t>分析</w:t>
      </w:r>
      <w:r>
        <w:tab/>
      </w:r>
      <w:r>
        <w:fldChar w:fldCharType="begin"/>
      </w:r>
      <w:r>
        <w:instrText xml:space="preserve"> PAGEREF _Toc5314 \h </w:instrText>
      </w:r>
      <w:r>
        <w:fldChar w:fldCharType="separate"/>
      </w:r>
      <w:r>
        <w:t>15</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_Toc1097 </w:instrText>
      </w:r>
      <w:r>
        <w:fldChar w:fldCharType="separate"/>
      </w:r>
      <w:r>
        <w:rPr>
          <w:rFonts w:hint="eastAsia" w:eastAsia="宋体"/>
          <w:szCs w:val="24"/>
          <w:lang w:val="en-GB"/>
        </w:rPr>
        <w:t xml:space="preserve">5.2.5 </w:t>
      </w:r>
      <w:r>
        <w:rPr>
          <w:rFonts w:hint="eastAsia"/>
        </w:rPr>
        <w:t>冬季工况风速/风速放大系数达标结果汇总</w:t>
      </w:r>
      <w:r>
        <w:tab/>
      </w:r>
      <w:r>
        <w:fldChar w:fldCharType="begin"/>
      </w:r>
      <w:r>
        <w:instrText xml:space="preserve"> PAGEREF _Toc1097 \h </w:instrText>
      </w:r>
      <w:r>
        <w:fldChar w:fldCharType="separate"/>
      </w:r>
      <w:r>
        <w:t>16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_Toc25997 </w:instrText>
      </w:r>
      <w:r>
        <w:fldChar w:fldCharType="separate"/>
      </w:r>
      <w:r>
        <w:rPr>
          <w:rFonts w:hint="eastAsia" w:eastAsia="宋体"/>
          <w:szCs w:val="24"/>
          <w:lang w:val="en-GB"/>
        </w:rPr>
        <w:t xml:space="preserve">5.2.6 </w:t>
      </w:r>
      <w:r>
        <w:rPr>
          <w:rFonts w:hint="eastAsia"/>
        </w:rPr>
        <w:t>建筑迎风面和背风面风压分析</w:t>
      </w:r>
      <w:r>
        <w:tab/>
      </w:r>
      <w:r>
        <w:fldChar w:fldCharType="begin"/>
      </w:r>
      <w:r>
        <w:instrText xml:space="preserve"> PAGEREF _Toc25997 \h </w:instrText>
      </w:r>
      <w:r>
        <w:fldChar w:fldCharType="separate"/>
      </w:r>
      <w:r>
        <w:t>16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_Toc28716 </w:instrText>
      </w:r>
      <w:r>
        <w:fldChar w:fldCharType="separate"/>
      </w:r>
      <w:r>
        <w:rPr>
          <w:rFonts w:hint="eastAsia"/>
          <w:lang w:val="en-GB"/>
        </w:rPr>
        <w:t xml:space="preserve">5.3 </w:t>
      </w:r>
      <w:r>
        <w:rPr>
          <w:rFonts w:hint="eastAsia"/>
        </w:rPr>
        <w:t>夏季工况</w:t>
      </w:r>
      <w:r>
        <w:tab/>
      </w:r>
      <w:r>
        <w:fldChar w:fldCharType="begin"/>
      </w:r>
      <w:r>
        <w:instrText xml:space="preserve"> PAGEREF _Toc28716 \h </w:instrText>
      </w:r>
      <w:r>
        <w:fldChar w:fldCharType="separate"/>
      </w:r>
      <w:r>
        <w:t>19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_Toc19259 </w:instrText>
      </w:r>
      <w:r>
        <w:fldChar w:fldCharType="separate"/>
      </w:r>
      <w:r>
        <w:rPr>
          <w:rFonts w:hint="eastAsia" w:eastAsia="宋体"/>
          <w:szCs w:val="24"/>
          <w:lang w:val="en-GB"/>
        </w:rPr>
        <w:t xml:space="preserve">5.3.1 </w:t>
      </w:r>
      <w:r>
        <w:rPr>
          <w:rFonts w:hint="eastAsia"/>
        </w:rPr>
        <w:t>人活动区域无风区计算分析</w:t>
      </w:r>
      <w:r>
        <w:tab/>
      </w:r>
      <w:r>
        <w:fldChar w:fldCharType="begin"/>
      </w:r>
      <w:r>
        <w:instrText xml:space="preserve"> PAGEREF _Toc19259 \h </w:instrText>
      </w:r>
      <w:r>
        <w:fldChar w:fldCharType="separate"/>
      </w:r>
      <w:r>
        <w:t>19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_Toc30392 </w:instrText>
      </w:r>
      <w:r>
        <w:fldChar w:fldCharType="separate"/>
      </w:r>
      <w:r>
        <w:rPr>
          <w:rFonts w:hint="eastAsia" w:eastAsia="宋体"/>
          <w:szCs w:val="24"/>
          <w:lang w:val="en-GB"/>
        </w:rPr>
        <w:t xml:space="preserve">5.3.2 </w:t>
      </w:r>
      <w:r>
        <w:rPr>
          <w:rFonts w:hint="eastAsia"/>
        </w:rPr>
        <w:t>人活动区域旋涡区分析</w:t>
      </w:r>
      <w:r>
        <w:tab/>
      </w:r>
      <w:r>
        <w:fldChar w:fldCharType="begin"/>
      </w:r>
      <w:r>
        <w:instrText xml:space="preserve"> PAGEREF _Toc30392 \h </w:instrText>
      </w:r>
      <w:r>
        <w:fldChar w:fldCharType="separate"/>
      </w:r>
      <w:r>
        <w:t>20</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_Toc30194 </w:instrText>
      </w:r>
      <w:r>
        <w:fldChar w:fldCharType="separate"/>
      </w:r>
      <w:r>
        <w:rPr>
          <w:rFonts w:hint="eastAsia" w:eastAsia="宋体"/>
          <w:szCs w:val="24"/>
          <w:lang w:val="en-GB"/>
        </w:rPr>
        <w:t xml:space="preserve">5.3.3 </w:t>
      </w:r>
      <w:r>
        <w:rPr>
          <w:rFonts w:hint="eastAsia"/>
        </w:rPr>
        <w:t>人活动区域旋涡区/无风区达标结果汇总</w:t>
      </w:r>
      <w:r>
        <w:tab/>
      </w:r>
      <w:r>
        <w:fldChar w:fldCharType="begin"/>
      </w:r>
      <w:r>
        <w:instrText xml:space="preserve"> PAGEREF _Toc30194 \h </w:instrText>
      </w:r>
      <w:r>
        <w:fldChar w:fldCharType="separate"/>
      </w:r>
      <w:r>
        <w:t>21</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_Toc3105 </w:instrText>
      </w:r>
      <w:r>
        <w:fldChar w:fldCharType="separate"/>
      </w:r>
      <w:r>
        <w:rPr>
          <w:rFonts w:hint="eastAsia" w:eastAsia="宋体"/>
          <w:szCs w:val="24"/>
          <w:lang w:val="en-GB"/>
        </w:rPr>
        <w:t xml:space="preserve">5.3.4 </w:t>
      </w:r>
      <w:r>
        <w:rPr>
          <w:rFonts w:hint="eastAsia"/>
        </w:rPr>
        <w:t>外窗内外表面风压差达标分析</w:t>
      </w:r>
      <w:r>
        <w:tab/>
      </w:r>
      <w:r>
        <w:fldChar w:fldCharType="begin"/>
      </w:r>
      <w:r>
        <w:instrText xml:space="preserve"> PAGEREF _Toc3105 \h </w:instrText>
      </w:r>
      <w:r>
        <w:fldChar w:fldCharType="separate"/>
      </w:r>
      <w:r>
        <w:t>21</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_Toc816 </w:instrText>
      </w:r>
      <w:r>
        <w:fldChar w:fldCharType="separate"/>
      </w:r>
      <w:r>
        <w:rPr>
          <w:rFonts w:hint="eastAsia"/>
          <w:lang w:val="en-GB"/>
        </w:rPr>
        <w:t xml:space="preserve">5.4 </w:t>
      </w:r>
      <w:r>
        <w:rPr>
          <w:rFonts w:hint="eastAsia"/>
        </w:rPr>
        <w:t>结论</w:t>
      </w:r>
      <w:r>
        <w:tab/>
      </w:r>
      <w:r>
        <w:fldChar w:fldCharType="begin"/>
      </w:r>
      <w:r>
        <w:instrText xml:space="preserve"> PAGEREF _Toc816 \h </w:instrText>
      </w:r>
      <w:r>
        <w:fldChar w:fldCharType="separate"/>
      </w:r>
      <w:r>
        <w:t>23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_Toc20893 </w:instrText>
      </w:r>
      <w:r>
        <w:fldChar w:fldCharType="separate"/>
      </w:r>
      <w:r>
        <w:rPr>
          <w:rFonts w:hint="eastAsia" w:eastAsia="宋体"/>
          <w:szCs w:val="24"/>
          <w:lang w:val="en-GB"/>
        </w:rPr>
        <w:t xml:space="preserve">5.4.1 </w:t>
      </w:r>
      <w:r>
        <w:rPr>
          <w:rFonts w:hint="eastAsia"/>
        </w:rPr>
        <w:t>冬季工况达标判断</w:t>
      </w:r>
      <w:r>
        <w:tab/>
      </w:r>
      <w:r>
        <w:fldChar w:fldCharType="begin"/>
      </w:r>
      <w:r>
        <w:instrText xml:space="preserve"> PAGEREF _Toc20893 \h </w:instrText>
      </w:r>
      <w:r>
        <w:fldChar w:fldCharType="separate"/>
      </w:r>
      <w:r>
        <w:t>23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_Toc27198 </w:instrText>
      </w:r>
      <w:r>
        <w:fldChar w:fldCharType="separate"/>
      </w:r>
      <w:r>
        <w:rPr>
          <w:rFonts w:hint="eastAsia" w:eastAsia="宋体"/>
          <w:szCs w:val="24"/>
          <w:lang w:val="en-GB"/>
        </w:rPr>
        <w:t xml:space="preserve">5.4.2 </w:t>
      </w:r>
      <w:r>
        <w:rPr>
          <w:rFonts w:hint="eastAsia"/>
        </w:rPr>
        <w:t>过渡季、夏季工况达标判断</w:t>
      </w:r>
      <w:r>
        <w:tab/>
      </w:r>
      <w:r>
        <w:fldChar w:fldCharType="begin"/>
      </w:r>
      <w:r>
        <w:instrText xml:space="preserve"> PAGEREF _Toc27198 \h </w:instrText>
      </w:r>
      <w:r>
        <w:fldChar w:fldCharType="separate"/>
      </w:r>
      <w:r>
        <w:t>23</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9" w:name="_Toc20043"/>
      <w:bookmarkStart w:id="10" w:name="_Toc452108759"/>
      <w:r>
        <w:rPr>
          <w:rFonts w:hint="eastAsia"/>
        </w:rPr>
        <w:t>项目概况</w:t>
      </w:r>
      <w:bookmarkEnd w:id="9"/>
    </w:p>
    <w:p>
      <w:pPr>
        <w:pStyle w:val="3"/>
        <w:ind w:firstLine="420"/>
        <w:rPr>
          <w:lang w:val="en-US"/>
        </w:rPr>
      </w:pPr>
      <w:bookmarkStart w:id="11" w:name="项目概况"/>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2" w:name="_Toc3701"/>
      <w:bookmarkStart w:id="13" w:name="_Toc452108760"/>
      <w:r>
        <w:rPr>
          <w:rFonts w:hint="eastAsia"/>
        </w:rPr>
        <w:t>总</w:t>
      </w:r>
      <w:r>
        <w:t>平面图</w:t>
      </w:r>
      <w:bookmarkEnd w:id="12"/>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9B9BF2"/>
          </w:tcPr>
          <w:p>
            <w:pPr>
              <w:pStyle w:val="3"/>
              <w:spacing w:line="400" w:lineRule="exact"/>
              <w:ind w:firstLine="0" w:firstLineChars="0"/>
              <w:rPr>
                <w:lang w:val="en-US"/>
              </w:rPr>
            </w:pPr>
            <w:bookmarkStart w:id="14" w:name="总平面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EC8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shd w:val="clear" w:color="auto" w:fill="97FF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FFFF9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CADD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shd w:val="clear" w:color="auto" w:fill="FF97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bookmarkEnd w:id="14"/>
    </w:tbl>
    <w:p>
      <w:pPr>
        <w:pStyle w:val="3"/>
        <w:ind w:firstLine="0" w:firstLineChars="0"/>
        <w:jc w:val="center"/>
        <w:rPr>
          <w:lang w:val="en-US"/>
        </w:rPr>
      </w:pPr>
      <w:r>
        <w:rPr>
          <w:rFonts w:hint="eastAsia"/>
          <w:lang w:val="en-US"/>
        </w:rPr>
        <w:t xml:space="preserve"> </w:t>
      </w:r>
      <w:bookmarkStart w:id="15" w:name="总平面图"/>
      <w:bookmarkEnd w:id="15"/>
      <w:r>
        <w:drawing>
          <wp:inline distT="0" distB="0" distL="0" distR="0">
            <wp:extent cx="5667375" cy="38004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0"/>
                    <a:stretch>
                      <a:fillRect/>
                    </a:stretch>
                  </pic:blipFill>
                  <pic:spPr>
                    <a:xfrm>
                      <a:off x="0" y="0"/>
                      <a:ext cx="5667375" cy="380047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6" w:name="_Toc11041"/>
      <w:bookmarkStart w:id="17" w:name="_Toc452108761"/>
      <w:r>
        <w:rPr>
          <w:rFonts w:hint="eastAsia"/>
        </w:rPr>
        <w:t>三</w:t>
      </w:r>
      <w:r>
        <w:t>维视图</w:t>
      </w:r>
      <w:bookmarkEnd w:id="16"/>
      <w:bookmarkEnd w:id="17"/>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9B9BF2"/>
          </w:tcPr>
          <w:p>
            <w:pPr>
              <w:pStyle w:val="3"/>
              <w:spacing w:line="400" w:lineRule="exact"/>
              <w:ind w:firstLine="0" w:firstLineChars="0"/>
              <w:rPr>
                <w:lang w:val="en-US"/>
              </w:rPr>
            </w:pPr>
            <w:bookmarkStart w:id="18" w:name="三维视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EC8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shd w:val="clear" w:color="auto" w:fill="97FF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FFFF9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CADD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shd w:val="clear" w:color="auto" w:fill="FF97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tbl>
    <w:p>
      <w:pPr>
        <w:pStyle w:val="3"/>
        <w:ind w:firstLine="0" w:firstLineChars="0"/>
        <w:jc w:val="center"/>
        <w:rPr>
          <w:lang w:val="en-US"/>
        </w:rPr>
      </w:pPr>
      <w:r>
        <w:rPr>
          <w:rFonts w:hint="eastAsia"/>
          <w:lang w:val="en-US"/>
        </w:rPr>
        <w:t xml:space="preserve"> </w:t>
      </w:r>
      <w:bookmarkStart w:id="19" w:name="三维视图"/>
      <w:bookmarkEnd w:id="19"/>
      <w:r>
        <w:drawing>
          <wp:inline distT="0" distB="0" distL="0" distR="0">
            <wp:extent cx="5667375" cy="38195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1"/>
                    <a:stretch>
                      <a:fillRect/>
                    </a:stretch>
                  </pic:blipFill>
                  <pic:spPr>
                    <a:xfrm>
                      <a:off x="0" y="0"/>
                      <a:ext cx="5667375" cy="38195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0" w:name="TitleFormat"/>
      <w:bookmarkStart w:id="21" w:name="_Toc6609"/>
      <w:bookmarkStart w:id="22" w:name="_Toc452108762"/>
      <w:r>
        <w:rPr>
          <w:rFonts w:hint="eastAsia"/>
        </w:rPr>
        <w:t>计算</w:t>
      </w:r>
      <w:r>
        <w:t>依据</w:t>
      </w:r>
      <w:bookmarkEnd w:id="20"/>
      <w:bookmarkEnd w:id="21"/>
      <w:bookmarkEnd w:id="22"/>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bookmarkStart w:id="23" w:name="参考标准名称1"/>
      <w:r>
        <w:rPr>
          <w:rFonts w:hint="eastAsia"/>
          <w:lang w:val="en-US"/>
        </w:rPr>
        <w:t>《绿色建筑评价标准》GB/T50378-2019</w:t>
      </w:r>
      <w:bookmarkEnd w:id="23"/>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4" w:name="_Toc11029"/>
      <w:bookmarkStart w:id="25" w:name="_Toc452108763"/>
      <w:r>
        <w:rPr>
          <w:rFonts w:hint="eastAsia"/>
        </w:rPr>
        <w:t>参考</w:t>
      </w:r>
      <w:r>
        <w:t>标准</w:t>
      </w:r>
      <w:bookmarkEnd w:id="24"/>
    </w:p>
    <w:p>
      <w:pPr>
        <w:pStyle w:val="3"/>
        <w:ind w:firstLine="420"/>
        <w:rPr>
          <w:lang w:val="en-US"/>
        </w:rPr>
      </w:pPr>
      <w:r>
        <w:rPr>
          <w:rFonts w:hint="eastAsia"/>
          <w:lang w:val="en-US"/>
        </w:rPr>
        <w:t>室外风环境评价依据为</w:t>
      </w:r>
      <w:bookmarkStart w:id="26" w:name="参考标准名称2"/>
      <w:r>
        <w:rPr>
          <w:rFonts w:hint="eastAsia"/>
          <w:lang w:val="en-US"/>
        </w:rPr>
        <w:t>《绿色建筑评价标准》GB/T50378-2019</w:t>
      </w:r>
      <w:bookmarkEnd w:id="26"/>
      <w:r>
        <w:rPr>
          <w:rFonts w:hint="eastAsia"/>
          <w:lang w:val="en-US"/>
        </w:rPr>
        <w:t>中有关室外风环境的条目要求。具体要求如下：</w:t>
      </w:r>
    </w:p>
    <w:p>
      <w:pPr>
        <w:pStyle w:val="3"/>
        <w:ind w:firstLine="420"/>
        <w:rPr>
          <w:lang w:val="en-US"/>
        </w:rPr>
      </w:pPr>
      <w:bookmarkStart w:id="27" w:name="_Toc451698935"/>
      <w:bookmarkStart w:id="28" w:name="_Toc452108764"/>
      <w:bookmarkStart w:id="29"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0" w:name="参考标准冬季风速得分"/>
      <w:r>
        <w:rPr>
          <w:lang w:val="en-US"/>
        </w:rPr>
        <w:t>3</w:t>
      </w:r>
      <w:r>
        <w:rPr>
          <w:rFonts w:hint="eastAsia"/>
          <w:lang w:val="en-US"/>
        </w:rPr>
        <w:t>分；除迎风第一排建筑外，建筑迎风面与背风面表面风压差不超过5Pa，得</w:t>
      </w:r>
      <w:bookmarkStart w:id="31" w:name="参考标准冬季风压得分"/>
      <w:r>
        <w:rPr>
          <w:lang w:val="en-US"/>
        </w:rPr>
        <w:t>2</w:t>
      </w:r>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bookmarkStart w:id="32" w:name="参考标准夏季风速得分"/>
      <w:r>
        <w:rPr>
          <w:lang w:val="en-US"/>
        </w:rPr>
        <w:t>3</w:t>
      </w:r>
      <w:bookmarkEnd w:id="32"/>
      <w:r>
        <w:rPr>
          <w:rFonts w:hint="eastAsia"/>
          <w:lang w:val="en-US"/>
        </w:rPr>
        <w:t>分；50%以上可开启外窗室内外表面的风压差大于0.5Pa，得</w:t>
      </w:r>
      <w:bookmarkStart w:id="33" w:name="参考标准夏季风压得分"/>
      <w:r>
        <w:rPr>
          <w:lang w:val="en-US"/>
        </w:rPr>
        <w:t>2</w:t>
      </w:r>
      <w:bookmarkEnd w:id="33"/>
      <w:r>
        <w:rPr>
          <w:rFonts w:hint="eastAsia"/>
          <w:lang w:val="en-US"/>
        </w:rPr>
        <w:t>分。</w:t>
      </w:r>
    </w:p>
    <w:p>
      <w:pPr>
        <w:pStyle w:val="2"/>
      </w:pPr>
      <w:bookmarkStart w:id="34" w:name="_Toc7423"/>
      <w:r>
        <w:rPr>
          <w:rFonts w:hint="eastAsia"/>
        </w:rPr>
        <w:t>计算原理</w:t>
      </w:r>
      <w:bookmarkEnd w:id="27"/>
      <w:bookmarkEnd w:id="28"/>
      <w:bookmarkEnd w:id="34"/>
    </w:p>
    <w:p>
      <w:pPr>
        <w:pStyle w:val="4"/>
        <w:numPr>
          <w:ilvl w:val="1"/>
          <w:numId w:val="3"/>
        </w:numPr>
      </w:pPr>
      <w:bookmarkStart w:id="35" w:name="_Toc509844740"/>
      <w:bookmarkStart w:id="36" w:name="_Toc23825"/>
      <w:bookmarkStart w:id="37" w:name="_Toc452108765"/>
      <w:bookmarkStart w:id="38" w:name="_Toc451698937"/>
      <w:r>
        <w:rPr>
          <w:rFonts w:hint="eastAsia"/>
        </w:rPr>
        <w:t>风场计算域</w:t>
      </w:r>
      <w:bookmarkEnd w:id="35"/>
      <w:bookmarkEnd w:id="36"/>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9" w:name="_Toc1688"/>
      <w:bookmarkStart w:id="40" w:name="季节1"/>
      <w:r>
        <w:rPr>
          <w:rFonts w:hint="eastAsia"/>
        </w:rPr>
        <w:t>冬季工况风场计算域</w:t>
      </w:r>
      <w:bookmarkEnd w:id="39"/>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1" w:name="季节2"/>
      <w:r>
        <w:rPr>
          <w:rFonts w:hint="eastAsia" w:ascii="黑体" w:hAnsi="黑体" w:eastAsia="黑体"/>
          <w:sz w:val="20"/>
          <w:szCs w:val="20"/>
        </w:rPr>
        <w:t>冬季</w:t>
      </w:r>
      <w:bookmarkEnd w:id="41"/>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2" w:name="冬季风场X尺寸"/>
            <w:r>
              <w:t>485</w:t>
            </w:r>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3" w:name="冬季风场Y尺寸"/>
            <w:r>
              <w:t>474</w:t>
            </w:r>
            <w:bookmarkEnd w:id="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4" w:name="冬季风场Z尺寸"/>
            <w:r>
              <w:t>117</w:t>
            </w:r>
            <w:bookmarkEnd w:id="44"/>
          </w:p>
        </w:tc>
      </w:tr>
    </w:tbl>
    <w:p>
      <w:pPr>
        <w:pStyle w:val="3"/>
        <w:ind w:firstLine="0" w:firstLineChars="0"/>
        <w:jc w:val="center"/>
        <w:rPr>
          <w:lang w:val="en-US"/>
        </w:rPr>
      </w:pPr>
      <w:bookmarkStart w:id="45" w:name="冬季工况风场计算域图示"/>
      <w:bookmarkEnd w:id="45"/>
      <w:r>
        <w:drawing>
          <wp:inline distT="0" distB="0" distL="0" distR="0">
            <wp:extent cx="5667375" cy="34099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2"/>
                    <a:stretch>
                      <a:fillRect/>
                    </a:stretch>
                  </pic:blipFill>
                  <pic:spPr>
                    <a:xfrm>
                      <a:off x="0" y="0"/>
                      <a:ext cx="5667375" cy="340995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w:t>
      </w:r>
      <w:bookmarkStart w:id="46" w:name="季节3"/>
      <w:r>
        <w:rPr>
          <w:rFonts w:hint="eastAsia" w:ascii="黑体" w:hAnsi="黑体"/>
        </w:rPr>
        <w:t>冬季</w:t>
      </w:r>
      <w:bookmarkEnd w:id="46"/>
      <w:r>
        <w:rPr>
          <w:rFonts w:hint="eastAsia"/>
        </w:rPr>
        <w:t>工况风场计算域图示</w:t>
      </w:r>
      <w:r>
        <w:rPr>
          <w:rFonts w:hint="eastAsia"/>
          <w:szCs w:val="21"/>
          <w:lang w:val="en-US"/>
        </w:rPr>
        <w:t xml:space="preserve"> </w:t>
      </w:r>
    </w:p>
    <w:p>
      <w:pPr>
        <w:pStyle w:val="5"/>
        <w:numPr>
          <w:ilvl w:val="2"/>
          <w:numId w:val="3"/>
        </w:numPr>
      </w:pPr>
      <w:bookmarkStart w:id="47" w:name="_Toc2878"/>
      <w:r>
        <w:rPr>
          <w:rFonts w:hint="eastAsia"/>
        </w:rPr>
        <w:t>夏季工况风场计算域</w:t>
      </w:r>
      <w:bookmarkEnd w:id="47"/>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 xml:space="preserve"> 夏季工况风场计算域信息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117</w:t>
            </w:r>
          </w:p>
        </w:tc>
      </w:tr>
    </w:tbl>
    <w:p>
      <w:pPr>
        <w:pStyle w:val="3"/>
        <w:ind w:firstLine="0" w:firstLineChars="0"/>
        <w:jc w:val="center"/>
        <w:rPr>
          <w:lang w:val="en-US"/>
        </w:rPr>
      </w:pPr>
      <w:r>
        <w:drawing>
          <wp:inline distT="0" distB="0" distL="0" distR="0">
            <wp:extent cx="5667375" cy="34099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3"/>
                    <a:stretch>
                      <a:fillRect/>
                    </a:stretch>
                  </pic:blipFill>
                  <pic:spPr>
                    <a:xfrm>
                      <a:off x="0" y="0"/>
                      <a:ext cx="5667375" cy="340995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hint="eastAsia" w:ascii="黑体" w:hAnsi="黑体"/>
        </w:rPr>
        <w:t xml:space="preserve">  夏季</w:t>
      </w:r>
      <w:r>
        <w:rPr>
          <w:rFonts w:hint="eastAsia"/>
        </w:rPr>
        <w:t>工况风场计算域图示</w:t>
      </w:r>
      <w:r>
        <w:rPr>
          <w:rFonts w:hint="eastAsia"/>
          <w:szCs w:val="21"/>
          <w:lang w:val="en-US"/>
        </w:rPr>
        <w:t xml:space="preserve"> </w:t>
      </w:r>
    </w:p>
    <w:p>
      <w:pPr>
        <w:pStyle w:val="3"/>
        <w:ind w:firstLine="315" w:firstLineChars="150"/>
        <w:rPr>
          <w:lang w:val="en-US"/>
        </w:rPr>
      </w:pPr>
      <w:bookmarkStart w:id="48" w:name="计算域"/>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49" w:name="_Toc509844741"/>
      <w:bookmarkStart w:id="50" w:name="_Toc32334"/>
      <w:r>
        <w:rPr>
          <w:rFonts w:hint="eastAsia"/>
        </w:rPr>
        <w:t>网格划分</w:t>
      </w:r>
      <w:bookmarkEnd w:id="49"/>
      <w:bookmarkEnd w:id="50"/>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51" w:name="OLE_LINK277"/>
      <w:bookmarkStart w:id="52" w:name="OLE_LINK276"/>
      <w:r>
        <w:rPr>
          <w:rFonts w:hint="eastAsia"/>
        </w:rPr>
        <w:t>1）普通网格：指除靠近地面和建筑以外的网格，通常不需要特别加密处理</w:t>
      </w:r>
    </w:p>
    <w:p>
      <w:pPr>
        <w:pStyle w:val="12"/>
        <w:numPr>
          <w:ilvl w:val="0"/>
          <w:numId w:val="4"/>
        </w:numPr>
        <w:spacing w:before="156"/>
      </w:pPr>
      <w:bookmarkStart w:id="53" w:name="OLE_LINK15"/>
      <w:r>
        <w:rPr>
          <w:rFonts w:hint="eastAsia"/>
        </w:rPr>
        <w:t>分弧精度：对于有圆弧特征的建筑局部，把圆弧分解为线段时，弦到弧的最大距离；</w:t>
      </w:r>
    </w:p>
    <w:bookmarkEnd w:id="53"/>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bookmarkEnd w:id="51"/>
      <w:bookmarkEnd w:id="52"/>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bookmarkStart w:id="54" w:name="冬季网格总数"/>
            <w:r>
              <w:t>1518159</w:t>
            </w:r>
            <w:bookmarkEnd w:id="54"/>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5" w:name="冬季分弧精度"/>
            <w:r>
              <w:t>0.18</w:t>
            </w:r>
            <w:bookmarkEnd w:id="55"/>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6" w:name="冬季初始网格"/>
            <w:r>
              <w:t>8.0</w:t>
            </w:r>
            <w:bookmarkEnd w:id="56"/>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7" w:name="冬季最小细分级数"/>
            <w:r>
              <w:t>2</w:t>
            </w:r>
            <w:bookmarkEnd w:id="57"/>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8" w:name="冬季最大细分级数"/>
            <w:r>
              <w:t>3</w:t>
            </w:r>
            <w:bookmarkEnd w:id="58"/>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9" w:name="冬季远场细分级数"/>
            <w:r>
              <w:t>2</w:t>
            </w:r>
            <w:bookmarkEnd w:id="59"/>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0" w:name="冬季近场细分级数"/>
            <w:r>
              <w:t>3</w:t>
            </w:r>
            <w:bookmarkEnd w:id="60"/>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1" w:name="冬季地面附面层数"/>
            <w:r>
              <w:t>4</w:t>
            </w:r>
            <w:bookmarkEnd w:id="61"/>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2" w:name="冬季建筑附面层数"/>
            <w:r>
              <w:t>1</w:t>
            </w:r>
            <w:bookmarkEnd w:id="62"/>
          </w:p>
        </w:tc>
      </w:tr>
    </w:tbl>
    <w:p>
      <w:pPr>
        <w:rPr>
          <w:szCs w:val="21"/>
          <w:lang w:val="en-US"/>
        </w:rPr>
      </w:pPr>
    </w:p>
    <w:p>
      <w:pPr>
        <w:jc w:val="center"/>
      </w:pPr>
      <w:bookmarkStart w:id="63" w:name="网格图"/>
      <w:bookmarkEnd w:id="63"/>
      <w:r>
        <w:drawing>
          <wp:inline distT="0" distB="0" distL="0" distR="0">
            <wp:extent cx="5667375" cy="34290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4"/>
                    <a:stretch>
                      <a:fillRect/>
                    </a:stretch>
                  </pic:blipFill>
                  <pic:spPr>
                    <a:xfrm>
                      <a:off x="0" y="0"/>
                      <a:ext cx="5667375" cy="3429000"/>
                    </a:xfrm>
                    <a:prstGeom prst="rect">
                      <a:avLst/>
                    </a:prstGeom>
                  </pic:spPr>
                </pic:pic>
              </a:graphicData>
            </a:graphic>
          </wp:inline>
        </w:drawing>
      </w:r>
    </w:p>
    <w:p>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64" w:name="季节"/>
      <w:r>
        <w:rPr>
          <w:rFonts w:hint="eastAsia" w:ascii="黑体" w:hAnsi="黑体" w:eastAsia="黑体"/>
          <w:sz w:val="20"/>
          <w:szCs w:val="20"/>
        </w:rPr>
        <w:t>冬季</w:t>
      </w:r>
      <w:bookmarkEnd w:id="64"/>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2</w:t>
      </w:r>
      <w:r>
        <w:rPr>
          <w:rFonts w:ascii="黑体" w:hAnsi="黑体"/>
        </w:rPr>
        <w:fldChar w:fldCharType="end"/>
      </w:r>
      <w:r>
        <w:rPr>
          <w:rFonts w:hint="eastAsia" w:ascii="黑体" w:hAnsi="黑体"/>
        </w:rPr>
        <w:t>夏季</w:t>
      </w:r>
      <w:bookmarkEnd w:id="3"/>
      <w:r>
        <w:rPr>
          <w:rFonts w:hint="eastAsia" w:ascii="黑体" w:hAnsi="黑体"/>
        </w:rPr>
        <w:t>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r>
              <w:t>638721</w:t>
            </w:r>
            <w:bookmarkEnd w:id="4"/>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0.24</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bookmarkEnd w:id="6"/>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bookmarkEnd w:id="7"/>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bookmarkEnd w:id="40"/>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bookmarkEnd w:id="8"/>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bookmarkEnd w:id="10"/>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bookmarkEnd w:id="11"/>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w:t>
            </w:r>
            <w:bookmarkEnd w:id="13"/>
          </w:p>
        </w:tc>
      </w:tr>
    </w:tbl>
    <w:p>
      <w:pPr>
        <w:rPr>
          <w:szCs w:val="21"/>
          <w:lang w:val="en-US"/>
        </w:rPr>
      </w:pPr>
    </w:p>
    <w:p>
      <w:pPr>
        <w:jc w:val="center"/>
      </w:pPr>
      <w:r>
        <w:drawing>
          <wp:inline distT="0" distB="0" distL="0" distR="0">
            <wp:extent cx="5667375" cy="34290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5"/>
                    <a:stretch>
                      <a:fillRect/>
                    </a:stretch>
                  </pic:blipFill>
                  <pic:spPr>
                    <a:xfrm>
                      <a:off x="0" y="0"/>
                      <a:ext cx="5667375" cy="3429000"/>
                    </a:xfrm>
                    <a:prstGeom prst="rect">
                      <a:avLst/>
                    </a:prstGeom>
                  </pic:spPr>
                </pic:pic>
              </a:graphicData>
            </a:graphic>
          </wp:inline>
        </w:drawing>
      </w:r>
    </w:p>
    <w:p>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网格图-夏季</w:t>
      </w:r>
    </w:p>
    <w:p>
      <w:pPr>
        <w:pStyle w:val="3"/>
        <w:ind w:firstLine="630" w:firstLineChars="300"/>
        <w:rPr>
          <w:rFonts w:ascii="黑体" w:hAnsi="黑体" w:eastAsia="黑体"/>
          <w:szCs w:val="20"/>
          <w:lang w:val="en-US"/>
        </w:rPr>
      </w:pPr>
      <w:bookmarkStart w:id="65" w:name="网格划分信息"/>
      <w:bookmarkEnd w:id="65"/>
      <w:r>
        <w:rPr>
          <w:rFonts w:hint="eastAsia" w:ascii="黑体" w:hAnsi="黑体" w:eastAsia="黑体"/>
          <w:szCs w:val="20"/>
          <w:lang w:val="en-US"/>
        </w:rPr>
        <w:t>注：前述计算域随风向不同，所以相同的网格方案会产生不同的网格数量。</w:t>
      </w:r>
    </w:p>
    <w:bookmarkEnd w:id="48"/>
    <w:p>
      <w:pPr>
        <w:pStyle w:val="3"/>
        <w:ind w:firstLine="0" w:firstLineChars="0"/>
        <w:rPr>
          <w:rFonts w:ascii="黑体" w:hAnsi="黑体" w:eastAsia="黑体"/>
          <w:szCs w:val="20"/>
          <w:lang w:val="en-US"/>
        </w:rPr>
      </w:pPr>
    </w:p>
    <w:p>
      <w:pPr>
        <w:pStyle w:val="4"/>
        <w:numPr>
          <w:ilvl w:val="1"/>
          <w:numId w:val="3"/>
        </w:numPr>
      </w:pPr>
      <w:bookmarkStart w:id="66" w:name="_Toc21507"/>
      <w:bookmarkStart w:id="67" w:name="_Toc509844742"/>
      <w:r>
        <w:rPr>
          <w:rFonts w:hint="eastAsia"/>
        </w:rPr>
        <w:t>边界条件</w:t>
      </w:r>
      <w:bookmarkEnd w:id="66"/>
      <w:bookmarkEnd w:id="67"/>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68" w:name="_Toc509844743"/>
      <w:bookmarkStart w:id="69" w:name="_Toc28774"/>
      <w:r>
        <w:rPr>
          <w:rFonts w:hint="eastAsia"/>
        </w:rPr>
        <w:t>入口与出口边界条件</w:t>
      </w:r>
      <w:bookmarkEnd w:id="68"/>
      <w:bookmarkEnd w:id="69"/>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25pt;width:71.25pt;" o:ole="t" filled="f" o:preferrelative="t" stroked="f" coordsize="21600,21600">
            <v:path/>
            <v:fill on="f" focussize="0,0"/>
            <v:stroke on="f" joinstyle="miter"/>
            <v:imagedata r:id="rId18" o:title=""/>
            <o:lock v:ext="edit" aspectratio="t"/>
            <w10:wrap type="none"/>
            <w10:anchorlock/>
          </v:shape>
          <o:OLEObject Type="Embed" ProgID="Equation.3" ShapeID="_x0000_i1025" DrawAspect="Content" ObjectID="_1468075725" r:id="rId17">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joinstyle="miter"/>
            <v:imagedata r:id="rId20" o:title=""/>
            <o:lock v:ext="edit" aspectratio="t"/>
            <w10:wrap type="none"/>
            <w10:anchorlock/>
          </v:shape>
          <o:OLEObject Type="Embed" ProgID="Equation.3" ShapeID="_x0000_i1026" DrawAspect="Content" ObjectID="_1468075726" r:id="rId19">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4.25pt;" o:ole="t" filled="f" o:preferrelative="t" stroked="f" coordsize="21600,21600">
            <v:path/>
            <v:fill on="f" focussize="0,0"/>
            <v:stroke on="f" joinstyle="miter"/>
            <v:imagedata r:id="rId22" o:title=""/>
            <o:lock v:ext="edit" aspectratio="t"/>
            <w10:wrap type="none"/>
            <w10:anchorlock/>
          </v:shape>
          <o:OLEObject Type="Embed" ProgID="Equation.3" ShapeID="_x0000_i1027" DrawAspect="Content" ObjectID="_1468075727" r:id="rId21">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70" w:name="地面粗糙度指数2"/>
      <w:r>
        <w:rPr>
          <w:rFonts w:hint="eastAsia"/>
          <w:lang w:val="en-US"/>
        </w:rPr>
        <w:t>0.14</w:t>
      </w:r>
      <w:bookmarkEnd w:id="70"/>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71" w:name="_Toc1064"/>
      <w:bookmarkStart w:id="72" w:name="_Toc509844744"/>
      <w:r>
        <w:rPr>
          <w:rFonts w:hint="eastAsia"/>
        </w:rPr>
        <w:t>壁面边界条件</w:t>
      </w:r>
      <w:bookmarkEnd w:id="71"/>
      <w:bookmarkEnd w:id="72"/>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73" w:name="_Toc2512"/>
      <w:r>
        <w:rPr>
          <w:rFonts w:hint="eastAsia"/>
        </w:rPr>
        <w:t>湍流模型</w:t>
      </w:r>
      <w:bookmarkEnd w:id="37"/>
      <w:bookmarkEnd w:id="38"/>
      <w:bookmarkEnd w:id="73"/>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74" w:name="_Toc764"/>
      <w:bookmarkStart w:id="75" w:name="_Toc452108767"/>
      <w:bookmarkStart w:id="76" w:name="_Toc451698939"/>
      <w:r>
        <w:rPr>
          <w:rFonts w:hint="eastAsia"/>
        </w:rPr>
        <w:t>求解计算</w:t>
      </w:r>
      <w:bookmarkEnd w:id="74"/>
      <w:bookmarkEnd w:id="75"/>
      <w:bookmarkEnd w:id="76"/>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77"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7"/>
      <w:r>
        <w:rPr>
          <w:rFonts w:hint="eastAsia" w:ascii="黑体" w:hAnsi="黑体" w:eastAsia="黑体"/>
          <w:sz w:val="20"/>
          <w:szCs w:val="20"/>
        </w:rPr>
        <w:t xml:space="preserve"> </w:t>
      </w:r>
      <w:bookmarkStart w:id="78" w:name="_Ref225175618"/>
      <w:r>
        <w:rPr>
          <w:rFonts w:hint="eastAsia" w:ascii="黑体" w:hAnsi="黑体" w:eastAsia="黑体"/>
          <w:sz w:val="20"/>
          <w:szCs w:val="20"/>
        </w:rPr>
        <w:t>计算流体力学的控制方程</w:t>
      </w:r>
      <w:bookmarkEnd w:id="78"/>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9"/>
    </w:p>
    <w:p>
      <w:pPr>
        <w:pStyle w:val="4"/>
      </w:pPr>
      <w:bookmarkStart w:id="79" w:name="_Toc509844747"/>
      <w:bookmarkStart w:id="80" w:name="_Toc21051"/>
      <w:r>
        <w:rPr>
          <w:rFonts w:hint="eastAsia"/>
        </w:rPr>
        <w:t>风速放大系数计算</w:t>
      </w:r>
      <w:bookmarkEnd w:id="79"/>
      <w:bookmarkEnd w:id="80"/>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25pt;width:12.75pt;" o:ole="t" filled="f" o:preferrelative="t" stroked="f" coordsize="21600,21600">
            <v:path/>
            <v:fill on="f" focussize="0,0"/>
            <v:stroke on="f" joinstyle="miter"/>
            <v:imagedata r:id="rId64" o:title=""/>
            <o:lock v:ext="edit" aspectratio="t"/>
            <w10:wrap type="none"/>
            <w10:anchorlock/>
          </v:shape>
          <o:OLEObject Type="Embed" ProgID="Equation.3" ShapeID="_x0000_i1028" DrawAspect="Content" ObjectID="_1468075728" r:id="rId63">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6" o:title=""/>
            <o:lock v:ext="edit" aspectratio="t"/>
            <w10:wrap type="none"/>
            <w10:anchorlock/>
          </v:shape>
          <o:OLEObject Type="Embed" ProgID="Equation.3" ShapeID="_x0000_i1029" DrawAspect="Content" ObjectID="_1468075729" r:id="rId65">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25pt;width:24pt;" o:ole="t" filled="f" o:preferrelative="t" stroked="f" coordsize="21600,21600">
            <v:path/>
            <v:fill on="f" focussize="0,0"/>
            <v:stroke on="f" joinstyle="miter"/>
            <v:imagedata r:id="rId68" o:title=""/>
            <o:lock v:ext="edit" aspectratio="t"/>
            <w10:wrap type="none"/>
            <w10:anchorlock/>
          </v:shape>
          <o:OLEObject Type="Embed" ProgID="Equation.3" ShapeID="_x0000_i1030" DrawAspect="Content" ObjectID="_1468075730" r:id="rId67">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25pt;width:20.25pt;" o:ole="t" filled="f" o:preferrelative="t" stroked="f" coordsize="21600,21600">
            <v:path/>
            <v:fill on="f" focussize="0,0"/>
            <v:stroke on="f" joinstyle="miter"/>
            <v:imagedata r:id="rId70" o:title=""/>
            <o:lock v:ext="edit" aspectratio="t"/>
            <w10:wrap type="none"/>
            <w10:anchorlock/>
          </v:shape>
          <o:OLEObject Type="Embed" ProgID="Equation.3" ShapeID="_x0000_i1031" DrawAspect="Content" ObjectID="_1468075731" r:id="rId69">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81" w:name="地面粗糙度指数"/>
      <w:r>
        <w:rPr>
          <w:rFonts w:hint="eastAsia"/>
          <w:lang w:val="en-US"/>
        </w:rPr>
        <w:t>0.14</w:t>
      </w:r>
      <w:bookmarkEnd w:id="81"/>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82" w:name="_Toc15258"/>
      <w:bookmarkStart w:id="83" w:name="_Toc452108768"/>
      <w:r>
        <w:rPr>
          <w:rFonts w:hint="eastAsia"/>
        </w:rPr>
        <w:t>结果</w:t>
      </w:r>
      <w:r>
        <w:t>分析</w:t>
      </w:r>
      <w:bookmarkEnd w:id="82"/>
      <w:bookmarkEnd w:id="83"/>
    </w:p>
    <w:p>
      <w:pPr>
        <w:pStyle w:val="4"/>
        <w:rPr>
          <w:szCs w:val="21"/>
        </w:rPr>
      </w:pPr>
      <w:bookmarkStart w:id="84" w:name="_Toc22544"/>
      <w:r>
        <w:rPr>
          <w:rFonts w:hint="eastAsia"/>
          <w:szCs w:val="21"/>
        </w:rPr>
        <w:t>工况</w:t>
      </w:r>
      <w:r>
        <w:rPr>
          <w:szCs w:val="21"/>
        </w:rPr>
        <w:t>表</w:t>
      </w:r>
      <w:bookmarkEnd w:id="84"/>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85"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4"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4.80</w:t>
            </w:r>
          </w:p>
        </w:tc>
        <w:tc>
          <w:tcPr>
            <w:tcW w:w="994" w:type="pct"/>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ascii="Calibri" w:hAnsi="Calibri"/>
                <w:szCs w:val="21"/>
              </w:rPr>
              <w:t>N</w:t>
            </w:r>
          </w:p>
        </w:tc>
        <w:tc>
          <w:tcPr>
            <w:tcW w:w="994" w:type="pct"/>
            <w:tcBorders>
              <w:top w:val="single" w:color="auto" w:sz="4" w:space="0"/>
              <w:left w:val="single" w:color="auto" w:sz="4" w:space="0"/>
              <w:bottom w:val="single" w:color="auto" w:sz="4" w:space="0"/>
              <w:right w:val="single" w:color="auto" w:sz="12" w:space="0"/>
            </w:tcBorders>
          </w:tcPr>
          <w:p>
            <w:pPr>
              <w:rPr>
                <w:rFonts w:ascii="Calibri" w:hAnsi="Calibri"/>
                <w:szCs w:val="21"/>
              </w:rPr>
            </w:pPr>
            <w:r>
              <w:rPr>
                <w:rFonts w:ascii="Calibri" w:hAnsi="Calibri"/>
                <w:szCs w:val="21"/>
              </w:rPr>
              <w:t>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2</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3.90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SE</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315.0</w:t>
            </w:r>
          </w:p>
        </w:tc>
      </w:tr>
      <w:bookmarkEnd w:id="85"/>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1"/>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pStyle w:val="4"/>
      </w:pPr>
      <w:bookmarkStart w:id="86" w:name="_Toc31470"/>
      <w:bookmarkStart w:id="87" w:name="_Toc509844750"/>
      <w:r>
        <w:rPr>
          <w:rFonts w:hint="eastAsia"/>
        </w:rPr>
        <w:t>冬季工况</w:t>
      </w:r>
      <w:bookmarkEnd w:id="86"/>
      <w:bookmarkEnd w:id="87"/>
    </w:p>
    <w:p>
      <w:pPr>
        <w:ind w:firstLine="420" w:firstLineChars="200"/>
        <w:jc w:val="both"/>
      </w:pPr>
      <w:r>
        <w:rPr>
          <w:rFonts w:hint="eastAsia"/>
          <w:lang w:val="en-US"/>
        </w:rPr>
        <w:t>本项目冬季工况的入口边界风速为</w:t>
      </w:r>
      <w:bookmarkStart w:id="88" w:name="冬季入口边界风速"/>
      <w:r>
        <w:rPr>
          <w:rFonts w:hint="eastAsia" w:ascii="Calibri" w:hAnsi="Calibri"/>
          <w:szCs w:val="21"/>
        </w:rPr>
        <w:t>4.80</w:t>
      </w:r>
      <w:bookmarkEnd w:id="88"/>
      <w:r>
        <w:rPr>
          <w:rFonts w:ascii="Calibri" w:hAnsi="Calibri"/>
          <w:szCs w:val="21"/>
        </w:rPr>
        <w:t>m/s</w:t>
      </w:r>
      <w:r>
        <w:rPr>
          <w:rFonts w:hint="eastAsia" w:ascii="Calibri" w:hAnsi="Calibri"/>
          <w:szCs w:val="21"/>
        </w:rPr>
        <w:t>，风向为</w:t>
      </w:r>
      <w:bookmarkStart w:id="89" w:name="冬季入口边界风向"/>
      <w:r>
        <w:rPr>
          <w:szCs w:val="21"/>
        </w:rPr>
        <w:t>N</w:t>
      </w:r>
      <w:bookmarkEnd w:id="89"/>
      <w:r>
        <w:rPr>
          <w:rFonts w:hint="eastAsia"/>
          <w:szCs w:val="21"/>
        </w:rPr>
        <w:t>。</w:t>
      </w:r>
    </w:p>
    <w:p>
      <w:pPr>
        <w:pStyle w:val="5"/>
      </w:pPr>
      <w:bookmarkStart w:id="90" w:name="_Toc509844751"/>
      <w:bookmarkStart w:id="91" w:name="_Toc16645"/>
      <w:r>
        <w:rPr>
          <w:rFonts w:hint="eastAsia"/>
        </w:rPr>
        <w:t>人行区域风速达标分析</w:t>
      </w:r>
      <w:bookmarkEnd w:id="90"/>
      <w:bookmarkEnd w:id="91"/>
      <w:r>
        <w:rPr>
          <w:rFonts w:hint="eastAsia"/>
        </w:rPr>
        <w:t xml:space="preserve"> </w:t>
      </w:r>
    </w:p>
    <w:p>
      <w:pPr>
        <w:pStyle w:val="3"/>
        <w:ind w:left="420" w:firstLine="0" w:firstLineChars="0"/>
        <w:rPr>
          <w:lang w:val="en-US"/>
        </w:rPr>
      </w:pPr>
      <w:bookmarkStart w:id="92" w:name="冬季工况人行区风速分析"/>
      <w:r>
        <w:rPr>
          <w:rFonts w:hint="eastAsia"/>
          <w:lang w:val="en-US"/>
        </w:rPr>
        <w:t>（本项目未划分人行区域）</w:t>
      </w:r>
    </w:p>
    <w:bookmarkEnd w:id="92"/>
    <w:p>
      <w:pPr>
        <w:pStyle w:val="3"/>
        <w:ind w:firstLine="420"/>
        <w:rPr>
          <w:lang w:val="en-US"/>
        </w:rPr>
      </w:pPr>
    </w:p>
    <w:p>
      <w:pPr>
        <w:pStyle w:val="5"/>
      </w:pPr>
      <w:bookmarkStart w:id="93" w:name="_Toc509844752"/>
      <w:bookmarkStart w:id="94" w:name="_Toc23642"/>
      <w:r>
        <w:rPr>
          <w:rFonts w:hint="eastAsia"/>
        </w:rPr>
        <w:t>人行区域风速放大系数达标分析</w:t>
      </w:r>
      <w:bookmarkEnd w:id="93"/>
      <w:bookmarkEnd w:id="94"/>
    </w:p>
    <w:p>
      <w:pPr>
        <w:pStyle w:val="3"/>
        <w:ind w:firstLine="420"/>
        <w:rPr>
          <w:lang w:val="en-US"/>
        </w:rPr>
      </w:pPr>
      <w:bookmarkStart w:id="95" w:name="冬季工况人行区风速放大系数分析"/>
      <w:r>
        <w:rPr>
          <w:rFonts w:hint="eastAsia"/>
          <w:lang w:val="en-US"/>
        </w:rPr>
        <w:t>（本项目未划分人行区域）</w:t>
      </w:r>
    </w:p>
    <w:bookmarkEnd w:id="95"/>
    <w:p>
      <w:pPr>
        <w:pStyle w:val="3"/>
        <w:ind w:firstLine="420"/>
        <w:rPr>
          <w:lang w:val="en-US"/>
        </w:rPr>
      </w:pPr>
    </w:p>
    <w:p>
      <w:pPr>
        <w:pStyle w:val="5"/>
      </w:pPr>
      <w:bookmarkStart w:id="96" w:name="_Toc5250"/>
      <w:r>
        <w:rPr>
          <w:rFonts w:hint="eastAsia"/>
        </w:rPr>
        <w:t>户外休息区、儿童娱乐区</w:t>
      </w:r>
      <w:r>
        <w:t>域风速达标分析</w:t>
      </w:r>
      <w:bookmarkEnd w:id="96"/>
    </w:p>
    <w:p>
      <w:pPr>
        <w:pStyle w:val="3"/>
        <w:ind w:firstLine="420"/>
      </w:pPr>
      <w:r>
        <w:rPr>
          <w:rFonts w:hint="eastAsia"/>
          <w:lang w:val="en-US"/>
        </w:rPr>
        <w:t>下图为本项目划定的</w:t>
      </w:r>
      <w:r>
        <w:rPr>
          <w:rFonts w:hint="eastAsia"/>
          <w:b/>
          <w:lang w:val="en-US"/>
        </w:rPr>
        <w:t>户外休息区、儿童娱乐区</w:t>
      </w:r>
      <w:r>
        <w:rPr>
          <w:rFonts w:hint="eastAsia"/>
          <w:lang w:val="en-US"/>
        </w:rPr>
        <w:t>风速分布云图，依据《绿色建筑评价标准》要求，需特别关注户外休息区、儿童娱乐区风场，如果有风速超标区域，图中会用速度上限值为2m/s的黑色等值线标示。</w:t>
      </w:r>
    </w:p>
    <w:p>
      <w:pPr>
        <w:pStyle w:val="3"/>
        <w:ind w:firstLine="420"/>
        <w:rPr>
          <w:lang w:val="en-US"/>
        </w:rPr>
      </w:pPr>
      <w:r>
        <w:rPr>
          <w:rFonts w:hint="eastAsia"/>
          <w:lang w:val="en-US"/>
        </w:rPr>
        <w:t>分析下列图数据，</w:t>
      </w:r>
      <w:bookmarkStart w:id="97" w:name="冬季工况休息区风速分析结论"/>
      <w:bookmarkEnd w:id="97"/>
      <w:r>
        <w:rPr>
          <w:lang w:val="en-US"/>
        </w:rPr>
        <w:t>黑色等值线内的户外休息区、儿童娱乐区风速</w:t>
      </w:r>
      <w:r>
        <w:rPr>
          <w:color w:val="FF0000"/>
          <w:lang w:val="en-US"/>
        </w:rPr>
        <w:t>大于</w:t>
      </w:r>
      <w:r>
        <w:rPr>
          <w:lang w:val="en-US"/>
        </w:rPr>
        <w:t>2m/s，因此</w:t>
      </w:r>
      <w:r>
        <w:rPr>
          <w:color w:val="FF0000"/>
          <w:lang w:val="en-US"/>
        </w:rPr>
        <w:t>不满足</w:t>
      </w:r>
      <w:r>
        <w:rPr>
          <w:lang w:val="en-US"/>
        </w:rPr>
        <w:t>绿标要求。</w:t>
      </w:r>
    </w:p>
    <w:p>
      <w:pPr>
        <w:pStyle w:val="3"/>
        <w:ind w:left="-6" w:leftChars="-3" w:firstLine="4" w:firstLineChars="2"/>
        <w:jc w:val="center"/>
        <w:rPr>
          <w:rFonts w:ascii="Calibri Light" w:hAnsi="Calibri Light" w:eastAsia="黑体"/>
          <w:sz w:val="20"/>
          <w:szCs w:val="20"/>
        </w:rPr>
      </w:pPr>
      <w:bookmarkStart w:id="98" w:name="冬季工况休息区风速云图"/>
      <w:bookmarkEnd w:id="98"/>
      <w:r>
        <w:drawing>
          <wp:inline distT="0" distB="0" distL="0" distR="0">
            <wp:extent cx="5667375" cy="31718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72"/>
                    <a:stretch>
                      <a:fillRect/>
                    </a:stretch>
                  </pic:blipFill>
                  <pic:spPr>
                    <a:xfrm>
                      <a:off x="0" y="0"/>
                      <a:ext cx="5667375" cy="317182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户外休息区、儿童娱乐区-1.5米高度水平面风速云图-冬季</w:t>
      </w:r>
    </w:p>
    <w:p>
      <w:pPr>
        <w:pStyle w:val="5"/>
      </w:pPr>
      <w:bookmarkStart w:id="99" w:name="_Toc5314"/>
      <w:r>
        <w:rPr>
          <w:rFonts w:hint="eastAsia"/>
        </w:rPr>
        <w:t>户外休息区、儿童娱乐区风速放大系数达标</w:t>
      </w:r>
      <w:r>
        <w:t>分析</w:t>
      </w:r>
      <w:bookmarkEnd w:id="99"/>
    </w:p>
    <w:p>
      <w:pPr>
        <w:pStyle w:val="3"/>
        <w:ind w:firstLine="420"/>
        <w:jc w:val="left"/>
        <w:rPr>
          <w:lang w:val="en-US"/>
        </w:rPr>
      </w:pPr>
      <w:r>
        <w:rPr>
          <w:rFonts w:hint="eastAsia"/>
          <w:lang w:val="en-US"/>
        </w:rPr>
        <w:t>下图为本项目划定的</w:t>
      </w:r>
      <w:r>
        <w:rPr>
          <w:rFonts w:hint="eastAsia"/>
        </w:rPr>
        <w:t>户外休息区、儿童娱乐区</w:t>
      </w:r>
      <w:r>
        <w:rPr>
          <w:rFonts w:hint="eastAsia"/>
          <w:lang w:val="en-US"/>
        </w:rPr>
        <w:t>风速放大系数分布云图，依据《绿色建筑评价标准》要求，如果有风速放大系数超标区域，图中会用风速放大系数上限值为2的黑色等值线标示。分析下列云图数据，</w:t>
      </w:r>
      <w:bookmarkStart w:id="100" w:name="冬季工况户外休息区和儿童娱乐区风速放大系数分析结论"/>
      <w:bookmarkEnd w:id="100"/>
      <w:r>
        <w:rPr>
          <w:lang w:val="en-US"/>
        </w:rPr>
        <w:t>区域内</w:t>
      </w:r>
      <w:r>
        <w:rPr>
          <w:color w:val="00FF00"/>
          <w:lang w:val="en-US"/>
        </w:rPr>
        <w:t>没有</w:t>
      </w:r>
      <w:r>
        <w:rPr>
          <w:lang w:val="en-US"/>
        </w:rPr>
        <w:t>风速放大系数超限区域</w:t>
      </w:r>
      <w:r>
        <w:rPr>
          <w:color w:val="00FF00"/>
          <w:lang w:val="en-US"/>
        </w:rPr>
        <w:t>满足</w:t>
      </w:r>
      <w:r>
        <w:rPr>
          <w:lang w:val="en-US"/>
        </w:rPr>
        <w:t>标准要求。</w:t>
      </w:r>
    </w:p>
    <w:p>
      <w:pPr>
        <w:pStyle w:val="13"/>
        <w:jc w:val="center"/>
      </w:pPr>
      <w:bookmarkStart w:id="101" w:name="冬季工况户外休息区和儿童娱乐区风速放大系数云图"/>
      <w:bookmarkEnd w:id="101"/>
      <w:r>
        <w:drawing>
          <wp:inline distT="0" distB="0" distL="0" distR="0">
            <wp:extent cx="5667375" cy="312420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73"/>
                    <a:stretch>
                      <a:fillRect/>
                    </a:stretch>
                  </pic:blipFill>
                  <pic:spPr>
                    <a:xfrm>
                      <a:off x="0" y="0"/>
                      <a:ext cx="5667375" cy="3124200"/>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户外休息区、儿童娱乐区-1.5米高度水平面风速放大系数云图-冬季</w:t>
      </w:r>
    </w:p>
    <w:p>
      <w:pPr>
        <w:pStyle w:val="3"/>
        <w:ind w:firstLine="420"/>
        <w:rPr>
          <w:lang w:val="en-US"/>
        </w:rPr>
      </w:pPr>
    </w:p>
    <w:p>
      <w:pPr>
        <w:pStyle w:val="3"/>
        <w:ind w:firstLine="420"/>
        <w:rPr>
          <w:rFonts w:ascii="黑体" w:hAnsi="黑体" w:eastAsia="黑体"/>
          <w:szCs w:val="20"/>
          <w:lang w:val="en-US"/>
        </w:rPr>
      </w:pPr>
      <w:r>
        <w:rPr>
          <w:rFonts w:hint="eastAsia" w:ascii="黑体" w:hAnsi="黑体" w:eastAsia="黑体"/>
          <w:szCs w:val="20"/>
          <w:lang w:val="en-US"/>
        </w:rPr>
        <w:t>注：</w:t>
      </w:r>
    </w:p>
    <w:p>
      <w:pPr>
        <w:pStyle w:val="3"/>
        <w:ind w:firstLine="420"/>
        <w:rPr>
          <w:rFonts w:ascii="黑体" w:hAnsi="黑体" w:eastAsia="黑体"/>
          <w:szCs w:val="20"/>
          <w:lang w:val="en-US"/>
        </w:rPr>
      </w:pPr>
      <w:r>
        <w:rPr>
          <w:rFonts w:hint="eastAsia" w:ascii="黑体" w:hAnsi="黑体" w:eastAsia="黑体"/>
          <w:szCs w:val="20"/>
          <w:lang w:val="en-US"/>
        </w:rPr>
        <w:t>1）</w:t>
      </w:r>
      <w:r>
        <w:rPr>
          <w:rFonts w:hint="eastAsia" w:ascii="黑体" w:hAnsi="黑体" w:eastAsia="黑体"/>
          <w:lang w:val="en-US"/>
        </w:rPr>
        <w:t>人行道及停车场等短暂停留区域定义为人行区，评价目标为避免人行走艰难；儿童娱乐区、以及庭院、游憩广场（户外休息区））为较长时间停留的人活动区域，重点考察区域内的舒适性</w:t>
      </w:r>
      <w:r>
        <w:rPr>
          <w:rFonts w:hint="eastAsia" w:ascii="黑体" w:hAnsi="黑体" w:eastAsia="黑体"/>
          <w:szCs w:val="20"/>
          <w:lang w:val="en-US"/>
        </w:rPr>
        <w:t>。</w:t>
      </w:r>
    </w:p>
    <w:p>
      <w:pPr>
        <w:pStyle w:val="3"/>
        <w:ind w:firstLine="420"/>
        <w:rPr>
          <w:rFonts w:ascii="黑体" w:hAnsi="黑体" w:eastAsia="黑体"/>
          <w:szCs w:val="20"/>
          <w:lang w:val="en-US"/>
        </w:rPr>
      </w:pPr>
      <w:r>
        <w:rPr>
          <w:rFonts w:hint="eastAsia" w:ascii="黑体" w:hAnsi="黑体" w:eastAsia="黑体"/>
          <w:szCs w:val="20"/>
          <w:lang w:val="en-US"/>
        </w:rPr>
        <w:t>2）计算域内风速分布云图中图例上限均为计算域内实际风速最大值，图例上限也可按需求在软件中调整。</w:t>
      </w:r>
    </w:p>
    <w:p>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pPr>
        <w:pStyle w:val="3"/>
        <w:ind w:firstLine="420"/>
        <w:rPr>
          <w:lang w:val="en-US"/>
        </w:rPr>
      </w:pPr>
    </w:p>
    <w:p>
      <w:pPr>
        <w:pStyle w:val="5"/>
      </w:pPr>
      <w:bookmarkStart w:id="102" w:name="_Toc509844753"/>
      <w:bookmarkStart w:id="103" w:name="_Toc1097"/>
      <w:r>
        <w:rPr>
          <w:rFonts w:hint="eastAsia"/>
        </w:rPr>
        <w:t>冬季工况风速/风速放大系数达标</w:t>
      </w:r>
      <w:bookmarkEnd w:id="102"/>
      <w:r>
        <w:rPr>
          <w:rFonts w:hint="eastAsia"/>
        </w:rPr>
        <w:t>结果汇总</w:t>
      </w:r>
      <w:bookmarkEnd w:id="103"/>
    </w:p>
    <w:p>
      <w:pPr>
        <w:pStyle w:val="3"/>
        <w:ind w:firstLine="420"/>
      </w:pPr>
      <w:r>
        <w:rPr>
          <w:rFonts w:hint="eastAsia"/>
          <w:lang w:val="en-US"/>
        </w:rPr>
        <w:t>综合上述冬季工况风场中风速和风速放大系数的计算分析，将分析结果汇总如下表：</w:t>
      </w:r>
    </w:p>
    <w:p>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人行区域风速</w:t>
            </w:r>
          </w:p>
        </w:tc>
        <w:tc>
          <w:tcPr>
            <w:tcW w:w="1581" w:type="dxa"/>
            <w:tcBorders>
              <w:top w:val="nil"/>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4" w:name="冬季工况风速是否有超限区域"/>
            <w:r>
              <w:rPr>
                <w:rFonts w:hint="eastAsia" w:ascii="宋体" w:hAnsi="宋体" w:cs="宋体"/>
                <w:color w:val="000000"/>
                <w:sz w:val="22"/>
                <w:szCs w:val="22"/>
                <w:lang w:val="en-US"/>
              </w:rPr>
              <w:t>/</w:t>
            </w:r>
            <w:bookmarkEnd w:id="104"/>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05" w:name="冬季工况风速达标判断"/>
            <w:r>
              <w:rPr>
                <w:rFonts w:hint="eastAsia" w:ascii="宋体" w:hAnsi="宋体" w:cs="宋体"/>
                <w:color w:val="000000"/>
                <w:sz w:val="22"/>
                <w:szCs w:val="22"/>
                <w:lang w:val="en-US"/>
              </w:rPr>
              <w:t>/</w:t>
            </w:r>
            <w:bookmarkEnd w:id="105"/>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人行区域风速放大系数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6" w:name="冬季工况风速放大系数是否有超限区域"/>
            <w:r>
              <w:rPr>
                <w:rFonts w:hint="eastAsia" w:ascii="宋体" w:hAnsi="宋体" w:cs="宋体"/>
                <w:color w:val="000000"/>
                <w:sz w:val="22"/>
                <w:szCs w:val="22"/>
                <w:lang w:val="en-US"/>
              </w:rPr>
              <w:t>/</w:t>
            </w:r>
            <w:bookmarkEnd w:id="106"/>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07" w:name="冬季工况风速放大系数达标判断"/>
            <w:r>
              <w:rPr>
                <w:rFonts w:hint="eastAsia" w:ascii="宋体" w:hAnsi="宋体" w:cs="宋体"/>
                <w:color w:val="000000"/>
                <w:sz w:val="22"/>
                <w:szCs w:val="22"/>
                <w:lang w:val="en-US"/>
              </w:rPr>
              <w:t>/</w:t>
            </w:r>
            <w:bookmarkEnd w:id="107"/>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户外休息区、儿童娱乐区风速</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r>
              <w:rPr>
                <w:rFonts w:hint="eastAsia" w:ascii="宋体" w:hAnsi="宋体" w:cs="宋体"/>
                <w:color w:val="000000"/>
                <w:sz w:val="22"/>
                <w:szCs w:val="22"/>
                <w:lang w:val="en-US"/>
              </w:rPr>
              <w:t>否</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是</w:t>
            </w:r>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rPr>
              <w:t>户外休息区、儿童娱乐区风速放大系数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bookmarkStart w:id="108" w:name="冬季工况休息区和儿童娱乐区风速放大系数标准要求限值"/>
            <w:r>
              <w:rPr>
                <w:rFonts w:ascii="宋体" w:hAnsi="宋体" w:cs="宋体"/>
                <w:szCs w:val="21"/>
              </w:rPr>
              <w:t>2</w:t>
            </w:r>
            <w:bookmarkEnd w:id="108"/>
            <w:r>
              <w:rPr>
                <w:rFonts w:hint="eastAsia" w:ascii="宋体" w:hAnsi="宋体" w:cs="宋体"/>
                <w:szCs w:val="21"/>
              </w:rPr>
              <w:t xml:space="preserve"> </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9" w:name="冬季工况户外休息区风速放大系数是否有超限区域"/>
            <w:r>
              <w:rPr>
                <w:rFonts w:hint="eastAsia" w:ascii="宋体" w:hAnsi="宋体" w:cs="宋体"/>
                <w:color w:val="000000"/>
                <w:sz w:val="22"/>
                <w:szCs w:val="22"/>
                <w:lang w:val="en-US"/>
              </w:rPr>
              <w:t>否</w:t>
            </w:r>
            <w:bookmarkEnd w:id="109"/>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10" w:name="冬季工况户外休息区风速放大系数达标判断"/>
            <w:r>
              <w:rPr>
                <w:rFonts w:hint="eastAsia" w:ascii="宋体" w:hAnsi="宋体" w:cs="宋体"/>
                <w:color w:val="000000"/>
                <w:sz w:val="22"/>
                <w:szCs w:val="22"/>
                <w:lang w:val="en-US"/>
              </w:rPr>
              <w:t>是</w:t>
            </w:r>
            <w:bookmarkEnd w:id="110"/>
          </w:p>
        </w:tc>
      </w:tr>
    </w:tbl>
    <w:p/>
    <w:p>
      <w:pPr>
        <w:pStyle w:val="5"/>
      </w:pPr>
      <w:bookmarkStart w:id="111" w:name="_Toc25997"/>
      <w:r>
        <w:rPr>
          <w:rFonts w:hint="eastAsia"/>
        </w:rPr>
        <w:t>建筑迎风面和背风面风压分析</w:t>
      </w:r>
      <w:bookmarkEnd w:id="18"/>
      <w:bookmarkEnd w:id="111"/>
    </w:p>
    <w:p>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pPr>
        <w:pStyle w:val="6"/>
        <w:rPr>
          <w:lang w:val="en-US"/>
        </w:rPr>
      </w:pPr>
      <w:r>
        <w:rPr>
          <w:rFonts w:hint="eastAsia"/>
          <w:lang w:val="en-US"/>
        </w:rPr>
        <w:t>建筑迎风面和背风面风压差计算方法</w:t>
      </w:r>
    </w:p>
    <w:p>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pPr>
        <w:pStyle w:val="3"/>
        <w:ind w:firstLine="0" w:firstLineChars="0"/>
        <w:jc w:val="center"/>
        <w:rPr>
          <w:lang w:val="en-US"/>
        </w:rPr>
      </w:pPr>
      <w:r>
        <w:rPr>
          <w:lang w:val="en-US"/>
        </w:rPr>
        <w:drawing>
          <wp:inline distT="0" distB="0" distL="0" distR="0">
            <wp:extent cx="3657600" cy="2924175"/>
            <wp:effectExtent l="0" t="0" r="0" b="9525"/>
            <wp:docPr id="6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tblPrEx>
          <w:tblCellMar>
            <w:top w:w="0" w:type="dxa"/>
            <w:left w:w="108" w:type="dxa"/>
            <w:bottom w:w="0" w:type="dxa"/>
            <w:right w:w="108" w:type="dxa"/>
          </w:tblCellMar>
        </w:tblPrEx>
        <w:tc>
          <w:tcPr>
            <w:tcW w:w="8188" w:type="dxa"/>
            <w:shd w:val="clear" w:color="auto" w:fill="auto"/>
          </w:tcPr>
          <w:p>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1.1</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6"/>
      </w:pPr>
      <w:r>
        <w:rPr>
          <w:rFonts w:hint="eastAsia"/>
        </w:rPr>
        <w:t>建筑迎风面和背风面风压云图</w:t>
      </w:r>
    </w:p>
    <w:p>
      <w:pPr>
        <w:pStyle w:val="13"/>
        <w:jc w:val="center"/>
        <w:rPr>
          <w:lang w:val="en-US"/>
        </w:rPr>
      </w:pPr>
      <w:bookmarkStart w:id="112" w:name="冬季工况建筑迎风面风压云图"/>
      <w:bookmarkEnd w:id="112"/>
      <w:r>
        <w:drawing>
          <wp:inline distT="0" distB="0" distL="0" distR="0">
            <wp:extent cx="5667375" cy="339090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5"/>
                    <a:stretch>
                      <a:fillRect/>
                    </a:stretch>
                  </pic:blipFill>
                  <pic:spPr>
                    <a:xfrm>
                      <a:off x="0" y="0"/>
                      <a:ext cx="5667375" cy="33909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pPr>
        <w:pStyle w:val="13"/>
        <w:jc w:val="center"/>
      </w:pPr>
      <w:bookmarkStart w:id="113" w:name="冬季工况建筑背风面风压云图"/>
      <w:bookmarkEnd w:id="113"/>
      <w:r>
        <w:drawing>
          <wp:inline distT="0" distB="0" distL="0" distR="0">
            <wp:extent cx="5667375" cy="34290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6"/>
                    <a:stretch>
                      <a:fillRect/>
                    </a:stretch>
                  </pic:blipFill>
                  <pic:spPr>
                    <a:xfrm>
                      <a:off x="0" y="0"/>
                      <a:ext cx="5667375" cy="34290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pPr>
        <w:pStyle w:val="6"/>
      </w:pPr>
      <w:bookmarkStart w:id="114" w:name="建筑迎风面和背风面风压差计算结果"/>
      <w:r>
        <w:rPr>
          <w:rFonts w:hint="eastAsia"/>
        </w:rPr>
        <w:t>建筑迎风面和背风面风压差计算结果</w:t>
      </w:r>
    </w:p>
    <w:p>
      <w:pPr>
        <w:jc w:val="center"/>
        <w:rPr>
          <w:rFonts w:ascii="Cambria" w:hAnsi="Cambria" w:eastAsia="黑体"/>
          <w:sz w:val="20"/>
        </w:rPr>
      </w:pPr>
      <w:bookmarkStart w:id="115" w:name="建筑迎背风面风压差表"/>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5.1</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Start w:id="116" w:name="建筑迎背风面风压差表_建筑名"/>
      <w:r>
        <w:rPr>
          <w:rFonts w:ascii="Cambria" w:hAnsi="Cambria" w:eastAsia="黑体"/>
          <w:sz w:val="20"/>
        </w:rPr>
        <w:t>图书馆新平面模拟用</w:t>
      </w:r>
      <w:bookmarkEnd w:id="116"/>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-0.44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-1.35</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-0.46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-1.60</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-0.29</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-1.12</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4层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-0.44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-0.98</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-0.41</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-1.26</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0.85</w:t>
            </w:r>
          </w:p>
        </w:tc>
      </w:tr>
      <w:bookmarkEnd w:id="115"/>
    </w:tbl>
    <w:p>
      <w:bookmarkStart w:id="117" w:name="结论"/>
      <w:bookmarkEnd w:id="117"/>
      <w:r>
        <w:t>标准要求：迎背风面窗平均风压差（绝对值）≤5Pa。结论：该楼</w:t>
      </w:r>
      <w:r>
        <w:rPr>
          <w:b/>
          <w:color w:val="0000FF"/>
        </w:rPr>
        <w:t>达标</w:t>
      </w:r>
      <w:r>
        <w:t>。</w:t>
      </w:r>
    </w:p>
    <w:bookmarkEnd w:id="114"/>
    <w:p>
      <w:pPr>
        <w:jc w:val="center"/>
        <w:rPr>
          <w:rFonts w:ascii="Cambria" w:hAnsi="Cambria" w:eastAsia="黑体"/>
          <w:sz w:val="20"/>
        </w:rPr>
      </w:pPr>
      <w:bookmarkStart w:id="118" w:name="建筑迎背风面风压差表_新增"/>
      <w:bookmarkEnd w:id="118"/>
    </w:p>
    <w:bookmarkEnd w:id="25"/>
    <w:p>
      <w:pPr>
        <w:pStyle w:val="6"/>
      </w:pPr>
      <w:r>
        <w:rPr>
          <w:rFonts w:hint="eastAsia"/>
        </w:rPr>
        <w:t>建筑迎风和背风面风压差结论汇总</w:t>
      </w:r>
    </w:p>
    <w:p>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1.1</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1</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pPr>
              <w:jc w:val="center"/>
              <w:rPr>
                <w:lang w:val="en-US"/>
              </w:rPr>
            </w:pPr>
            <w:bookmarkStart w:id="119" w:name="建筑迎风和背风面风压差结论汇总表"/>
            <w:r>
              <w:rPr>
                <w:rFonts w:hint="eastAsia"/>
                <w:lang w:val="en-US"/>
              </w:rPr>
              <w:t>建筑编号</w:t>
            </w:r>
          </w:p>
        </w:tc>
        <w:tc>
          <w:tcPr>
            <w:tcW w:w="1276" w:type="dxa"/>
            <w:shd w:val="clear" w:color="auto" w:fill="E6E6E6"/>
            <w:vAlign w:val="center"/>
          </w:tcPr>
          <w:p>
            <w:pPr>
              <w:jc w:val="center"/>
              <w:rPr>
                <w:lang w:val="en-US"/>
              </w:rPr>
            </w:pPr>
            <w:r>
              <w:rPr>
                <w:rFonts w:hint="eastAsia"/>
                <w:lang w:val="en-US"/>
              </w:rPr>
              <w:t>迎风面平均风压(Pa)</w:t>
            </w:r>
          </w:p>
        </w:tc>
        <w:tc>
          <w:tcPr>
            <w:tcW w:w="1276" w:type="dxa"/>
            <w:shd w:val="clear" w:color="auto" w:fill="E6E6E6"/>
            <w:vAlign w:val="center"/>
          </w:tcPr>
          <w:p>
            <w:pPr>
              <w:jc w:val="center"/>
              <w:rPr>
                <w:lang w:val="en-US"/>
              </w:rPr>
            </w:pPr>
            <w:r>
              <w:rPr>
                <w:rFonts w:hint="eastAsia"/>
                <w:lang w:val="en-US"/>
              </w:rPr>
              <w:t>背风面平均风压(Pa)</w:t>
            </w:r>
          </w:p>
        </w:tc>
        <w:tc>
          <w:tcPr>
            <w:tcW w:w="1701" w:type="dxa"/>
            <w:shd w:val="clear" w:color="auto" w:fill="E6E6E6"/>
            <w:vAlign w:val="center"/>
          </w:tcPr>
          <w:p>
            <w:pPr>
              <w:jc w:val="center"/>
              <w:rPr>
                <w:lang w:val="en-US"/>
              </w:rPr>
            </w:pPr>
            <w:r>
              <w:rPr>
                <w:rFonts w:hint="eastAsia"/>
                <w:lang w:val="en-US"/>
              </w:rPr>
              <w:t>建筑迎风和背风面风压差(Pa)</w:t>
            </w:r>
          </w:p>
        </w:tc>
        <w:tc>
          <w:tcPr>
            <w:tcW w:w="973"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&lt;未命名&gt;</w:t>
            </w:r>
          </w:p>
        </w:tc>
        <w:tc>
          <w:tcPr>
            <w:tcW w:w="1276" w:type="dxa"/>
            <w:shd w:val="clear" w:color="auto" w:fill="auto"/>
            <w:vAlign w:val="center"/>
          </w:tcPr>
          <w:p>
            <w:pPr>
              <w:jc w:val="center"/>
              <w:rPr>
                <w:lang w:val="en-US"/>
              </w:rPr>
            </w:pPr>
            <w:r>
              <w:rPr>
                <w:lang w:val="en-US"/>
              </w:rPr>
              <w:t>-0.05</w:t>
            </w:r>
          </w:p>
        </w:tc>
        <w:tc>
          <w:tcPr>
            <w:tcW w:w="1276" w:type="dxa"/>
            <w:shd w:val="clear" w:color="auto" w:fill="auto"/>
            <w:vAlign w:val="center"/>
          </w:tcPr>
          <w:p>
            <w:pPr>
              <w:jc w:val="center"/>
              <w:rPr>
                <w:lang w:val="en-US"/>
              </w:rPr>
            </w:pPr>
            <w:r>
              <w:rPr>
                <w:lang w:val="en-US"/>
              </w:rPr>
              <w:t>-1.78</w:t>
            </w:r>
          </w:p>
        </w:tc>
        <w:tc>
          <w:tcPr>
            <w:tcW w:w="1701" w:type="dxa"/>
            <w:shd w:val="clear" w:color="auto" w:fill="auto"/>
            <w:vAlign w:val="center"/>
          </w:tcPr>
          <w:p>
            <w:pPr>
              <w:jc w:val="center"/>
              <w:rPr>
                <w:lang w:val="en-US"/>
              </w:rPr>
            </w:pPr>
            <w:r>
              <w:rPr>
                <w:lang w:val="en-US"/>
              </w:rPr>
              <w:t>1.73</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图书馆新平面模拟用</w:t>
            </w:r>
          </w:p>
        </w:tc>
        <w:tc>
          <w:tcPr>
            <w:tcW w:w="1276" w:type="dxa"/>
            <w:shd w:val="clear" w:color="auto" w:fill="auto"/>
            <w:vAlign w:val="center"/>
          </w:tcPr>
          <w:p>
            <w:pPr>
              <w:jc w:val="center"/>
              <w:rPr>
                <w:lang w:val="en-US"/>
              </w:rPr>
            </w:pPr>
            <w:r>
              <w:rPr>
                <w:lang w:val="en-US"/>
              </w:rPr>
              <w:t>-0.41</w:t>
            </w:r>
          </w:p>
        </w:tc>
        <w:tc>
          <w:tcPr>
            <w:tcW w:w="1276" w:type="dxa"/>
            <w:shd w:val="clear" w:color="auto" w:fill="auto"/>
            <w:vAlign w:val="center"/>
          </w:tcPr>
          <w:p>
            <w:pPr>
              <w:jc w:val="center"/>
              <w:rPr>
                <w:lang w:val="en-US"/>
              </w:rPr>
            </w:pPr>
            <w:r>
              <w:rPr>
                <w:lang w:val="en-US"/>
              </w:rPr>
              <w:t>-1.26</w:t>
            </w:r>
          </w:p>
        </w:tc>
        <w:tc>
          <w:tcPr>
            <w:tcW w:w="1701" w:type="dxa"/>
            <w:shd w:val="clear" w:color="auto" w:fill="auto"/>
            <w:vAlign w:val="center"/>
          </w:tcPr>
          <w:p>
            <w:pPr>
              <w:jc w:val="center"/>
              <w:rPr>
                <w:lang w:val="en-US"/>
              </w:rPr>
            </w:pPr>
            <w:r>
              <w:rPr>
                <w:lang w:val="en-US"/>
              </w:rPr>
              <w:t>0.85</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未命名(F6B5)</w:t>
            </w:r>
          </w:p>
        </w:tc>
        <w:tc>
          <w:tcPr>
            <w:tcW w:w="1276" w:type="dxa"/>
            <w:shd w:val="clear" w:color="auto" w:fill="auto"/>
            <w:vAlign w:val="center"/>
          </w:tcPr>
          <w:p>
            <w:pPr>
              <w:jc w:val="center"/>
              <w:rPr>
                <w:lang w:val="en-US"/>
              </w:rPr>
            </w:pPr>
            <w:r>
              <w:rPr>
                <w:lang w:val="en-US"/>
              </w:rPr>
              <w:t>0.27</w:t>
            </w:r>
          </w:p>
        </w:tc>
        <w:tc>
          <w:tcPr>
            <w:tcW w:w="1276" w:type="dxa"/>
            <w:shd w:val="clear" w:color="auto" w:fill="auto"/>
            <w:vAlign w:val="center"/>
          </w:tcPr>
          <w:p>
            <w:pPr>
              <w:jc w:val="center"/>
              <w:rPr>
                <w:lang w:val="en-US"/>
              </w:rPr>
            </w:pPr>
            <w:r>
              <w:rPr>
                <w:lang w:val="en-US"/>
              </w:rPr>
              <w:t>-2.11</w:t>
            </w:r>
          </w:p>
        </w:tc>
        <w:tc>
          <w:tcPr>
            <w:tcW w:w="1701" w:type="dxa"/>
            <w:shd w:val="clear" w:color="auto" w:fill="auto"/>
            <w:vAlign w:val="center"/>
          </w:tcPr>
          <w:p>
            <w:pPr>
              <w:jc w:val="center"/>
              <w:rPr>
                <w:lang w:val="en-US"/>
              </w:rPr>
            </w:pPr>
            <w:r>
              <w:rPr>
                <w:lang w:val="en-US"/>
              </w:rPr>
              <w:t>2.38</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未命名(F6B8)</w:t>
            </w:r>
          </w:p>
        </w:tc>
        <w:tc>
          <w:tcPr>
            <w:tcW w:w="1276" w:type="dxa"/>
            <w:shd w:val="clear" w:color="auto" w:fill="auto"/>
            <w:vAlign w:val="center"/>
          </w:tcPr>
          <w:p>
            <w:pPr>
              <w:jc w:val="center"/>
              <w:rPr>
                <w:lang w:val="en-US"/>
              </w:rPr>
            </w:pPr>
            <w:r>
              <w:rPr>
                <w:lang w:val="en-US"/>
              </w:rPr>
              <w:t>-0.63</w:t>
            </w:r>
          </w:p>
        </w:tc>
        <w:tc>
          <w:tcPr>
            <w:tcW w:w="1276" w:type="dxa"/>
            <w:shd w:val="clear" w:color="auto" w:fill="auto"/>
            <w:vAlign w:val="center"/>
          </w:tcPr>
          <w:p>
            <w:pPr>
              <w:jc w:val="center"/>
              <w:rPr>
                <w:lang w:val="en-US"/>
              </w:rPr>
            </w:pPr>
            <w:r>
              <w:rPr>
                <w:lang w:val="en-US"/>
              </w:rPr>
              <w:t>-2.06</w:t>
            </w:r>
          </w:p>
        </w:tc>
        <w:tc>
          <w:tcPr>
            <w:tcW w:w="1701" w:type="dxa"/>
            <w:shd w:val="clear" w:color="auto" w:fill="auto"/>
            <w:vAlign w:val="center"/>
          </w:tcPr>
          <w:p>
            <w:pPr>
              <w:jc w:val="center"/>
              <w:rPr>
                <w:lang w:val="en-US"/>
              </w:rPr>
            </w:pPr>
            <w:r>
              <w:rPr>
                <w:lang w:val="en-US"/>
              </w:rPr>
              <w:t>1.43</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未命名(F6BB)</w:t>
            </w:r>
          </w:p>
        </w:tc>
        <w:tc>
          <w:tcPr>
            <w:tcW w:w="1276" w:type="dxa"/>
            <w:shd w:val="clear" w:color="auto" w:fill="auto"/>
            <w:vAlign w:val="center"/>
          </w:tcPr>
          <w:p>
            <w:pPr>
              <w:jc w:val="center"/>
              <w:rPr>
                <w:lang w:val="en-US"/>
              </w:rPr>
            </w:pPr>
            <w:r>
              <w:rPr>
                <w:lang w:val="en-US"/>
              </w:rPr>
              <w:t>-0.32</w:t>
            </w:r>
          </w:p>
        </w:tc>
        <w:tc>
          <w:tcPr>
            <w:tcW w:w="1276" w:type="dxa"/>
            <w:shd w:val="clear" w:color="auto" w:fill="auto"/>
            <w:vAlign w:val="center"/>
          </w:tcPr>
          <w:p>
            <w:pPr>
              <w:jc w:val="center"/>
              <w:rPr>
                <w:lang w:val="en-US"/>
              </w:rPr>
            </w:pPr>
            <w:r>
              <w:rPr>
                <w:lang w:val="en-US"/>
              </w:rPr>
              <w:t>-3.52</w:t>
            </w:r>
          </w:p>
        </w:tc>
        <w:tc>
          <w:tcPr>
            <w:tcW w:w="1701" w:type="dxa"/>
            <w:shd w:val="clear" w:color="auto" w:fill="auto"/>
            <w:vAlign w:val="center"/>
          </w:tcPr>
          <w:p>
            <w:pPr>
              <w:jc w:val="center"/>
              <w:rPr>
                <w:lang w:val="en-US"/>
              </w:rPr>
            </w:pPr>
            <w:r>
              <w:rPr>
                <w:lang w:val="en-US"/>
              </w:rPr>
              <w:t>3.20</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未命名(F6BE)</w:t>
            </w:r>
          </w:p>
        </w:tc>
        <w:tc>
          <w:tcPr>
            <w:tcW w:w="1276" w:type="dxa"/>
            <w:shd w:val="clear" w:color="auto" w:fill="auto"/>
            <w:vAlign w:val="center"/>
          </w:tcPr>
          <w:p>
            <w:pPr>
              <w:jc w:val="center"/>
              <w:rPr>
                <w:lang w:val="en-US"/>
              </w:rPr>
            </w:pPr>
            <w:r>
              <w:rPr>
                <w:lang w:val="en-US"/>
              </w:rPr>
              <w:t>-1.64</w:t>
            </w:r>
          </w:p>
        </w:tc>
        <w:tc>
          <w:tcPr>
            <w:tcW w:w="1276" w:type="dxa"/>
            <w:shd w:val="clear" w:color="auto" w:fill="auto"/>
            <w:vAlign w:val="center"/>
          </w:tcPr>
          <w:p>
            <w:pPr>
              <w:jc w:val="center"/>
              <w:rPr>
                <w:lang w:val="en-US"/>
              </w:rPr>
            </w:pPr>
            <w:r>
              <w:rPr>
                <w:lang w:val="en-US"/>
              </w:rPr>
              <w:t>-2.07</w:t>
            </w:r>
          </w:p>
        </w:tc>
        <w:tc>
          <w:tcPr>
            <w:tcW w:w="1701" w:type="dxa"/>
            <w:shd w:val="clear" w:color="auto" w:fill="auto"/>
            <w:vAlign w:val="center"/>
          </w:tcPr>
          <w:p>
            <w:pPr>
              <w:jc w:val="center"/>
              <w:rPr>
                <w:lang w:val="en-US"/>
              </w:rPr>
            </w:pPr>
            <w:r>
              <w:rPr>
                <w:lang w:val="en-US"/>
              </w:rPr>
              <w:t>0.43</w:t>
            </w:r>
          </w:p>
        </w:tc>
        <w:tc>
          <w:tcPr>
            <w:tcW w:w="973" w:type="dxa"/>
            <w:shd w:val="clear" w:color="auto" w:fill="auto"/>
            <w:vAlign w:val="center"/>
          </w:tcPr>
          <w:p>
            <w:pPr>
              <w:jc w:val="center"/>
              <w:rPr>
                <w:lang w:val="en-US"/>
              </w:rPr>
            </w:pPr>
            <w:r>
              <w:rPr>
                <w:lang w:val="en-US"/>
              </w:rPr>
              <w:t>是</w:t>
            </w:r>
          </w:p>
        </w:tc>
      </w:tr>
      <w:bookmarkEnd w:id="119"/>
    </w:tbl>
    <w:p>
      <w:pPr>
        <w:rPr>
          <w:lang w:val="en-US"/>
        </w:rPr>
      </w:pPr>
      <w:bookmarkStart w:id="120" w:name="建筑迎风和背风面风压差结论汇总结论"/>
      <w:bookmarkEnd w:id="120"/>
      <w:r>
        <w:rPr>
          <w:lang w:val="en-US"/>
        </w:rPr>
        <w:t>结论：本项目中参评建筑未命名、未命名、未命名迎背风压差</w:t>
      </w:r>
      <w:r>
        <w:rPr>
          <w:rFonts w:hint="eastAsia"/>
          <w:lang w:val="en-US" w:eastAsia="zh-CN"/>
        </w:rPr>
        <w:t>未</w:t>
      </w:r>
      <w:r>
        <w:rPr>
          <w:lang w:val="en-US"/>
        </w:rPr>
        <w:t>超过5Pa，满足“除迎风第一排建筑外，建筑迎风面与背风面表面风压差不超过5Pa”的要求，该条得</w:t>
      </w:r>
      <w:r>
        <w:rPr>
          <w:rFonts w:hint="eastAsia"/>
          <w:lang w:val="en-US" w:eastAsia="zh-CN"/>
        </w:rPr>
        <w:t>2</w:t>
      </w:r>
      <w:r>
        <w:rPr>
          <w:lang w:val="en-US"/>
        </w:rPr>
        <w:t>分。</w:t>
      </w:r>
    </w:p>
    <w:p>
      <w:pPr>
        <w:rPr>
          <w:lang w:val="en-US"/>
        </w:rPr>
      </w:pPr>
      <w:bookmarkStart w:id="121" w:name="冬季工况"/>
      <w:bookmarkEnd w:id="121"/>
      <w:r>
        <w:rPr>
          <w:rFonts w:hint="eastAsia"/>
          <w:lang w:val="en-US"/>
        </w:rPr>
        <w:t xml:space="preserve"> </w:t>
      </w:r>
    </w:p>
    <w:p>
      <w:pPr>
        <w:pStyle w:val="4"/>
      </w:pPr>
      <w:bookmarkStart w:id="122" w:name="_Toc28716"/>
      <w:bookmarkStart w:id="123" w:name="_Toc509844759"/>
      <w:r>
        <w:rPr>
          <w:rFonts w:hint="eastAsia"/>
        </w:rPr>
        <w:t>夏季工况</w:t>
      </w:r>
      <w:bookmarkEnd w:id="122"/>
      <w:bookmarkEnd w:id="123"/>
    </w:p>
    <w:p>
      <w:pPr>
        <w:pStyle w:val="3"/>
        <w:ind w:firstLine="420"/>
      </w:pPr>
      <w:r>
        <w:rPr>
          <w:rFonts w:hint="eastAsia"/>
          <w:lang w:val="en-US"/>
        </w:rPr>
        <w:t>本项目夏季</w:t>
      </w:r>
      <w:bookmarkEnd w:id="2"/>
      <w:r>
        <w:rPr>
          <w:rFonts w:hint="eastAsia"/>
          <w:lang w:val="en-US"/>
        </w:rPr>
        <w:t>工况的入口边界风速为</w:t>
      </w:r>
      <w:bookmarkStart w:id="124" w:name="入口边界风速"/>
      <w:r>
        <w:rPr>
          <w:rFonts w:hint="eastAsia"/>
          <w:lang w:val="en-US"/>
        </w:rPr>
        <w:t>3.90</w:t>
      </w:r>
      <w:bookmarkEnd w:id="124"/>
      <w:r>
        <w:rPr>
          <w:rFonts w:hint="eastAsia"/>
          <w:lang w:val="en-US"/>
        </w:rPr>
        <w:t>m/s，风向为</w:t>
      </w:r>
      <w:bookmarkStart w:id="125" w:name="入口边界风向"/>
      <w:r>
        <w:t>SE</w:t>
      </w:r>
      <w:bookmarkEnd w:id="125"/>
      <w:r>
        <w:rPr>
          <w:rFonts w:hint="eastAsia"/>
          <w:lang w:val="en-US"/>
        </w:rPr>
        <w:t>。</w:t>
      </w:r>
    </w:p>
    <w:p>
      <w:pPr>
        <w:pStyle w:val="3"/>
        <w:ind w:firstLine="420"/>
      </w:pPr>
      <w:r>
        <w:rPr>
          <w:rFonts w:hint="eastAsia"/>
          <w:lang w:val="en-US"/>
        </w:rPr>
        <w:t>根据前述《绿色建筑评价标准》 对于夏季工况的要求，夏季</w:t>
      </w:r>
      <w:bookmarkEnd w:id="5"/>
      <w:r>
        <w:rPr>
          <w:rFonts w:hint="eastAsia"/>
          <w:lang w:val="en-US"/>
        </w:rPr>
        <w:t>典型风速和风向条件下，场地内人活动区不出现涡旋或无风区。通过该项标准指导设计确保合理的建筑布局，在</w:t>
      </w:r>
      <w:bookmarkStart w:id="126" w:name="季节4"/>
      <w:r>
        <w:rPr>
          <w:rFonts w:hint="eastAsia"/>
          <w:lang w:val="en-US"/>
        </w:rPr>
        <w:t>夏季</w:t>
      </w:r>
      <w:bookmarkEnd w:id="126"/>
      <w:r>
        <w:rPr>
          <w:rFonts w:hint="eastAsia"/>
          <w:lang w:val="en-US"/>
        </w:rPr>
        <w:t>形成有效的巷道风，优化街区自然通风环境，避免</w:t>
      </w:r>
      <w:bookmarkStart w:id="127" w:name="季节5"/>
      <w:r>
        <w:rPr>
          <w:rFonts w:hint="eastAsia"/>
          <w:lang w:val="en-US"/>
        </w:rPr>
        <w:t>夏季</w:t>
      </w:r>
      <w:bookmarkEnd w:id="127"/>
      <w:r>
        <w:rPr>
          <w:rFonts w:hint="eastAsia"/>
          <w:lang w:val="en-US"/>
        </w:rPr>
        <w:t>人活动区有明显的气流旋涡和无风区，从而造成闷热不适感。因此本项目需要分析人活动区的风速，并作出判断。</w:t>
      </w:r>
    </w:p>
    <w:p>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bookmarkStart w:id="128" w:name="_Toc509844760"/>
      <w:bookmarkStart w:id="129" w:name="_Toc19259"/>
      <w:r>
        <w:rPr>
          <w:rFonts w:hint="eastAsia"/>
        </w:rPr>
        <w:t>人活动区域无风区计算分析</w:t>
      </w:r>
      <w:bookmarkEnd w:id="128"/>
      <w:bookmarkEnd w:id="129"/>
    </w:p>
    <w:p>
      <w:pPr>
        <w:pStyle w:val="3"/>
        <w:spacing w:after="156" w:afterLines="50"/>
        <w:ind w:firstLine="420"/>
        <w:jc w:val="left"/>
      </w:pPr>
      <w:r>
        <w:rPr>
          <w:rFonts w:hint="eastAsia"/>
          <w:lang w:val="en-US"/>
        </w:rPr>
        <w:t>本项目通过CFD计算获取整个计算域内以及人活动区的风速分布，并通过速度下限为0</w:t>
      </w:r>
      <w:r>
        <w:rPr>
          <w:lang w:val="en-US"/>
        </w:rPr>
        <w:t>.</w:t>
      </w:r>
      <w:r>
        <w:rPr>
          <w:rFonts w:hint="eastAsia"/>
          <w:lang w:val="en-US"/>
        </w:rPr>
        <w:t>2m/s的速度等值线标示出超限区域。结合下列图和表中数据，</w:t>
      </w:r>
      <w:bookmarkStart w:id="130" w:name="人活动区风速分析结论"/>
      <w:bookmarkEnd w:id="130"/>
      <w:r>
        <w:t>人活动区内未标示出风速</w:t>
      </w:r>
      <w:r>
        <w:rPr>
          <w:color w:val="0000FF"/>
        </w:rPr>
        <w:t>小于</w:t>
      </w:r>
      <w:r>
        <w:t>0.2m/s的超限区域，因此人活动区风速</w:t>
      </w:r>
      <w:r>
        <w:rPr>
          <w:color w:val="0000FF"/>
        </w:rPr>
        <w:t>满足</w:t>
      </w:r>
      <w:r>
        <w:t>绿标要求，项目可采用现有建筑布局。</w:t>
      </w:r>
    </w:p>
    <w:p>
      <w:pPr>
        <w:pStyle w:val="3"/>
        <w:spacing w:after="156" w:afterLines="50"/>
        <w:ind w:firstLine="0" w:firstLineChars="0"/>
        <w:jc w:val="center"/>
      </w:pPr>
      <w:bookmarkStart w:id="131" w:name="人行区风速云图"/>
      <w:bookmarkEnd w:id="131"/>
      <w:r>
        <w:drawing>
          <wp:inline distT="0" distB="0" distL="0" distR="0">
            <wp:extent cx="5667375" cy="31718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7"/>
                    <a:stretch>
                      <a:fillRect/>
                    </a:stretch>
                  </pic:blipFill>
                  <pic:spPr>
                    <a:xfrm>
                      <a:off x="0" y="0"/>
                      <a:ext cx="5667375" cy="3171825"/>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人活动区域-1.5米高度水平面风速云图-</w:t>
      </w:r>
      <w:bookmarkStart w:id="132" w:name="季节6"/>
      <w:r>
        <w:rPr>
          <w:rFonts w:hint="eastAsia" w:ascii="黑体" w:hAnsi="黑体" w:eastAsia="黑体"/>
          <w:sz w:val="20"/>
          <w:szCs w:val="20"/>
        </w:rPr>
        <w:t>夏季</w:t>
      </w:r>
      <w:bookmarkEnd w:id="132"/>
      <w:r>
        <w:rPr>
          <w:rFonts w:hint="eastAsia"/>
        </w:rPr>
        <w:t xml:space="preserve"> </w:t>
      </w:r>
    </w:p>
    <w:p>
      <w:pPr>
        <w:pStyle w:val="3"/>
        <w:ind w:firstLine="420"/>
      </w:pPr>
    </w:p>
    <w:p>
      <w:pPr>
        <w:pStyle w:val="5"/>
      </w:pPr>
      <w:bookmarkStart w:id="133" w:name="_Toc30392"/>
      <w:bookmarkStart w:id="134" w:name="_Toc509844761"/>
      <w:r>
        <w:rPr>
          <w:rFonts w:hint="eastAsia"/>
        </w:rPr>
        <w:t>人活动区域旋涡区分析</w:t>
      </w:r>
      <w:bookmarkEnd w:id="133"/>
      <w:bookmarkEnd w:id="134"/>
    </w:p>
    <w:p>
      <w:pPr>
        <w:pStyle w:val="3"/>
        <w:ind w:firstLine="420"/>
        <w:rPr>
          <w:lang w:val="en-US"/>
        </w:rPr>
      </w:pPr>
      <w:r>
        <w:rPr>
          <w:rFonts w:hint="eastAsia"/>
          <w:lang w:val="en-US"/>
        </w:rPr>
        <w:t>旋涡区的空气流运动体现在风速矢量图中，即若干矢量箭头以某位置为中心顺时针或者逆时针旋转呈螺旋状分布。分析下图可知，人活动区没有明显的旋涡产生，因此满足绿标要求。</w:t>
      </w:r>
    </w:p>
    <w:p>
      <w:pPr>
        <w:pStyle w:val="3"/>
        <w:ind w:firstLine="0" w:firstLineChars="0"/>
        <w:jc w:val="center"/>
        <w:rPr>
          <w:lang w:val="en-US"/>
        </w:rPr>
      </w:pPr>
      <w:bookmarkStart w:id="135" w:name="人行区风速矢量图"/>
      <w:bookmarkEnd w:id="135"/>
      <w:r>
        <w:drawing>
          <wp:inline distT="0" distB="0" distL="0" distR="0">
            <wp:extent cx="5667375" cy="36195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8"/>
                    <a:stretch>
                      <a:fillRect/>
                    </a:stretch>
                  </pic:blipFill>
                  <pic:spPr>
                    <a:xfrm>
                      <a:off x="0" y="0"/>
                      <a:ext cx="5667375" cy="3619500"/>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人活动区-1.5米高度水平面风速矢量图</w:t>
      </w:r>
      <w:r>
        <w:rPr>
          <w:rFonts w:hint="eastAsia"/>
          <w:lang w:val="en-US"/>
        </w:rPr>
        <w:t xml:space="preserve"> </w:t>
      </w:r>
    </w:p>
    <w:p>
      <w:pPr>
        <w:pStyle w:val="3"/>
        <w:ind w:firstLine="420"/>
        <w:rPr>
          <w:lang w:val="en-US"/>
        </w:rPr>
      </w:pPr>
    </w:p>
    <w:p>
      <w:pPr>
        <w:pStyle w:val="5"/>
      </w:pPr>
      <w:bookmarkStart w:id="136" w:name="_Toc509844762"/>
      <w:bookmarkStart w:id="137" w:name="_Toc30194"/>
      <w:r>
        <w:rPr>
          <w:rFonts w:hint="eastAsia"/>
        </w:rPr>
        <w:t>人活动区域旋涡区/无风区达标</w:t>
      </w:r>
      <w:bookmarkEnd w:id="136"/>
      <w:r>
        <w:rPr>
          <w:rFonts w:hint="eastAsia"/>
        </w:rPr>
        <w:t>结果汇总</w:t>
      </w:r>
      <w:bookmarkEnd w:id="137"/>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138" w:name="季节8"/>
      <w:r>
        <w:rPr>
          <w:rFonts w:hint="eastAsia" w:ascii="黑体" w:hAnsi="黑体" w:eastAsia="黑体"/>
          <w:sz w:val="20"/>
          <w:szCs w:val="20"/>
        </w:rPr>
        <w:t>夏季</w:t>
      </w:r>
      <w:bookmarkEnd w:id="138"/>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39" w:name="是否有无风区"/>
            <w:r>
              <w:rPr>
                <w:rFonts w:hint="eastAsia" w:ascii="宋体" w:hAnsi="宋体" w:cs="宋体"/>
                <w:color w:val="000000"/>
                <w:sz w:val="22"/>
                <w:szCs w:val="22"/>
                <w:lang w:val="en-US"/>
              </w:rPr>
              <w:t>否</w:t>
            </w:r>
            <w:bookmarkEnd w:id="139"/>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40" w:name="无风区达标判断"/>
            <w:r>
              <w:rPr>
                <w:rFonts w:hint="eastAsia" w:ascii="宋体" w:hAnsi="宋体" w:cs="宋体"/>
                <w:color w:val="000000"/>
                <w:sz w:val="22"/>
                <w:szCs w:val="22"/>
                <w:lang w:val="en-US"/>
              </w:rPr>
              <w:t>是</w:t>
            </w:r>
            <w:bookmarkEnd w:id="140"/>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41" w:name="是否有旋涡区"/>
            <w:r>
              <w:rPr>
                <w:rFonts w:ascii="宋体" w:hAnsi="宋体" w:cs="宋体"/>
                <w:color w:val="000000"/>
                <w:sz w:val="22"/>
                <w:szCs w:val="22"/>
                <w:lang w:val="en-US"/>
              </w:rPr>
              <w:t>否</w:t>
            </w:r>
            <w:bookmarkEnd w:id="141"/>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42" w:name="旋涡区达标判断"/>
            <w:r>
              <w:rPr>
                <w:rFonts w:ascii="宋体" w:hAnsi="宋体" w:cs="宋体"/>
                <w:color w:val="000000"/>
                <w:sz w:val="22"/>
                <w:szCs w:val="22"/>
                <w:lang w:val="en-US"/>
              </w:rPr>
              <w:t>是</w:t>
            </w:r>
            <w:bookmarkEnd w:id="142"/>
          </w:p>
        </w:tc>
      </w:tr>
    </w:tbl>
    <w:p>
      <w:pPr>
        <w:pStyle w:val="5"/>
      </w:pPr>
      <w:bookmarkStart w:id="143" w:name="_Toc504501018"/>
      <w:bookmarkStart w:id="144" w:name="_Toc509844763"/>
      <w:bookmarkStart w:id="145" w:name="_Toc3105"/>
      <w:r>
        <w:rPr>
          <w:rFonts w:hint="eastAsia"/>
        </w:rPr>
        <w:t>外窗内外表面风压</w:t>
      </w:r>
      <w:bookmarkEnd w:id="143"/>
      <w:r>
        <w:rPr>
          <w:rFonts w:hint="eastAsia"/>
        </w:rPr>
        <w:t>差达标分析</w:t>
      </w:r>
      <w:bookmarkEnd w:id="144"/>
      <w:bookmarkEnd w:id="145"/>
    </w:p>
    <w:p>
      <w:pPr>
        <w:pStyle w:val="3"/>
        <w:ind w:firstLine="420"/>
      </w:pPr>
      <w:r>
        <w:rPr>
          <w:rFonts w:hint="eastAsia"/>
          <w:lang w:val="en-US"/>
        </w:rPr>
        <w:t>分析《绿色建筑评价标准》，</w:t>
      </w:r>
      <w:bookmarkStart w:id="146" w:name="季节9"/>
      <w:r>
        <w:rPr>
          <w:rFonts w:hint="eastAsia"/>
          <w:lang w:val="en-US"/>
        </w:rPr>
        <w:t>夏季</w:t>
      </w:r>
      <w:bookmarkEnd w:id="146"/>
      <w:r>
        <w:rPr>
          <w:rFonts w:hint="eastAsia"/>
          <w:lang w:val="en-US"/>
        </w:rPr>
        <w:t>为充分利用自然通风获得良好的室内风环境，要求50%以上可开启外窗室内外表面的风压差大于0.5Pa。</w:t>
      </w:r>
    </w:p>
    <w:p>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pStyle w:val="3"/>
        <w:ind w:firstLine="420"/>
      </w:pPr>
      <w:r>
        <w:rPr>
          <w:rFonts w:hint="eastAsia"/>
          <w:lang w:val="en-US"/>
        </w:rPr>
        <w:t>下图为夏季工况下，建筑迎风面和背风面对应外窗表面的风压分布图，结合图例数值可以清晰看到外窗表面风压小于0.5Pa的外窗区域。</w:t>
      </w:r>
    </w:p>
    <w:p>
      <w:pPr>
        <w:pStyle w:val="3"/>
        <w:ind w:firstLine="0" w:firstLineChars="0"/>
        <w:jc w:val="center"/>
      </w:pPr>
      <w:bookmarkStart w:id="147" w:name="迎风面风压云图"/>
      <w:bookmarkEnd w:id="147"/>
      <w:r>
        <w:drawing>
          <wp:inline distT="0" distB="0" distL="0" distR="0">
            <wp:extent cx="5667375" cy="33909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79"/>
                    <a:stretch>
                      <a:fillRect/>
                    </a:stretch>
                  </pic:blipFill>
                  <pic:spPr>
                    <a:xfrm>
                      <a:off x="0" y="0"/>
                      <a:ext cx="5667375" cy="33909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w:t>
      </w:r>
      <w:bookmarkStart w:id="148" w:name="季节10"/>
      <w:r>
        <w:rPr>
          <w:rFonts w:hint="eastAsia" w:ascii="黑体" w:hAnsi="黑体" w:eastAsia="黑体"/>
          <w:sz w:val="20"/>
          <w:szCs w:val="20"/>
        </w:rPr>
        <w:t>夏季</w:t>
      </w:r>
      <w:bookmarkEnd w:id="148"/>
    </w:p>
    <w:p>
      <w:pPr>
        <w:pStyle w:val="13"/>
        <w:jc w:val="center"/>
      </w:pPr>
      <w:bookmarkStart w:id="149" w:name="背风面风压云图"/>
      <w:bookmarkEnd w:id="149"/>
      <w:r>
        <w:drawing>
          <wp:inline distT="0" distB="0" distL="0" distR="0">
            <wp:extent cx="5667375" cy="342900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80"/>
                    <a:stretch>
                      <a:fillRect/>
                    </a:stretch>
                  </pic:blipFill>
                  <pic:spPr>
                    <a:xfrm>
                      <a:off x="0" y="0"/>
                      <a:ext cx="5667375" cy="34290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w:t>
      </w:r>
      <w:bookmarkStart w:id="150" w:name="季节11"/>
      <w:r>
        <w:rPr>
          <w:rFonts w:hint="eastAsia" w:ascii="黑体" w:hAnsi="黑体" w:eastAsia="黑体"/>
          <w:sz w:val="20"/>
          <w:szCs w:val="20"/>
        </w:rPr>
        <w:t>夏季</w:t>
      </w:r>
      <w:bookmarkEnd w:id="150"/>
      <w:r>
        <w:rPr>
          <w:rFonts w:hint="eastAsia"/>
        </w:rPr>
        <w:t xml:space="preserve"> </w:t>
      </w:r>
    </w:p>
    <w:p>
      <w:r>
        <w:rPr>
          <w:rFonts w:hint="eastAsia"/>
        </w:rPr>
        <w:t>下表为依据上图提取的外窗外表面平均风压数据，相当于外窗室内外表面风压差数据，并依据标准做出达标判断：</w:t>
      </w:r>
    </w:p>
    <w:p>
      <w:pPr>
        <w:pStyle w:val="13"/>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pPr>
              <w:jc w:val="center"/>
              <w:rPr>
                <w:lang w:val="en-US"/>
              </w:rPr>
            </w:pPr>
            <w:bookmarkStart w:id="151" w:name="建筑外窗室内外风压差达标判定"/>
            <w:r>
              <w:rPr>
                <w:rFonts w:hint="eastAsia"/>
                <w:lang w:val="en-US"/>
              </w:rPr>
              <w:t>建筑编号</w:t>
            </w:r>
          </w:p>
        </w:tc>
        <w:tc>
          <w:tcPr>
            <w:tcW w:w="1134" w:type="dxa"/>
            <w:shd w:val="clear" w:color="auto" w:fill="E6E6E6"/>
            <w:vAlign w:val="center"/>
          </w:tcPr>
          <w:p>
            <w:pPr>
              <w:jc w:val="center"/>
              <w:rPr>
                <w:lang w:val="en-US"/>
              </w:rPr>
            </w:pPr>
            <w:r>
              <w:rPr>
                <w:rFonts w:hint="eastAsia"/>
                <w:lang w:val="en-US"/>
              </w:rPr>
              <w:t>可开启外窗总数</w:t>
            </w:r>
          </w:p>
        </w:tc>
        <w:tc>
          <w:tcPr>
            <w:tcW w:w="1984" w:type="dxa"/>
            <w:shd w:val="clear" w:color="auto" w:fill="E6E6E6"/>
            <w:vAlign w:val="center"/>
          </w:tcPr>
          <w:p>
            <w:pPr>
              <w:jc w:val="center"/>
              <w:rPr>
                <w:lang w:val="en-US"/>
              </w:rPr>
            </w:pPr>
            <w:r>
              <w:rPr>
                <w:rFonts w:hint="eastAsia"/>
                <w:lang w:val="en-US"/>
              </w:rPr>
              <w:t>室内外风压差大于0.5Pa的外窗总数</w:t>
            </w:r>
          </w:p>
        </w:tc>
        <w:tc>
          <w:tcPr>
            <w:tcW w:w="1116" w:type="dxa"/>
            <w:shd w:val="clear" w:color="auto" w:fill="E6E6E6"/>
            <w:vAlign w:val="center"/>
          </w:tcPr>
          <w:p>
            <w:pPr>
              <w:jc w:val="center"/>
              <w:rPr>
                <w:lang w:val="en-US"/>
              </w:rPr>
            </w:pPr>
            <w:r>
              <w:rPr>
                <w:rFonts w:hint="eastAsia"/>
                <w:lang w:val="en-US"/>
              </w:rPr>
              <w:t>达标比例（%）</w:t>
            </w:r>
          </w:p>
        </w:tc>
        <w:tc>
          <w:tcPr>
            <w:tcW w:w="708"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pPr>
              <w:jc w:val="center"/>
              <w:rPr>
                <w:lang w:val="en-US"/>
              </w:rPr>
            </w:pPr>
            <w:r>
              <w:rPr>
                <w:lang w:val="en-US"/>
              </w:rPr>
              <w:t>DT单体(图书馆新平面模拟用)</w:t>
            </w:r>
          </w:p>
        </w:tc>
        <w:tc>
          <w:tcPr>
            <w:tcW w:w="1134" w:type="dxa"/>
            <w:shd w:val="clear" w:color="auto" w:fill="auto"/>
            <w:vAlign w:val="center"/>
          </w:tcPr>
          <w:p>
            <w:pPr>
              <w:jc w:val="center"/>
              <w:rPr>
                <w:lang w:val="en-US"/>
              </w:rPr>
            </w:pPr>
            <w:r>
              <w:rPr>
                <w:lang w:val="en-US"/>
              </w:rPr>
              <w:t>268</w:t>
            </w:r>
          </w:p>
        </w:tc>
        <w:tc>
          <w:tcPr>
            <w:tcW w:w="1984" w:type="dxa"/>
            <w:shd w:val="clear" w:color="auto" w:fill="auto"/>
            <w:vAlign w:val="center"/>
          </w:tcPr>
          <w:p>
            <w:pPr>
              <w:jc w:val="center"/>
              <w:rPr>
                <w:lang w:val="en-US"/>
              </w:rPr>
            </w:pPr>
            <w:r>
              <w:rPr>
                <w:lang w:val="en-US"/>
              </w:rPr>
              <w:t>239</w:t>
            </w:r>
          </w:p>
        </w:tc>
        <w:tc>
          <w:tcPr>
            <w:tcW w:w="1116" w:type="dxa"/>
            <w:shd w:val="clear" w:color="auto" w:fill="auto"/>
            <w:vAlign w:val="center"/>
          </w:tcPr>
          <w:p>
            <w:pPr>
              <w:jc w:val="center"/>
              <w:rPr>
                <w:lang w:val="en-US"/>
              </w:rPr>
            </w:pPr>
            <w:r>
              <w:rPr>
                <w:lang w:val="en-US"/>
              </w:rPr>
              <w:t>89.18</w:t>
            </w:r>
          </w:p>
        </w:tc>
        <w:tc>
          <w:tcPr>
            <w:tcW w:w="708" w:type="dxa"/>
            <w:shd w:val="clear" w:color="auto" w:fill="auto"/>
            <w:vAlign w:val="center"/>
          </w:tcPr>
          <w:p>
            <w:pPr>
              <w:jc w:val="center"/>
              <w:rPr>
                <w:lang w:val="en-US"/>
              </w:rPr>
            </w:pPr>
            <w:r>
              <w:rPr>
                <w:lang w:val="en-US"/>
              </w:rPr>
              <w:t>是</w:t>
            </w:r>
          </w:p>
        </w:tc>
      </w:tr>
      <w:bookmarkEnd w:id="151"/>
    </w:tbl>
    <w:p>
      <w:r>
        <w:rPr>
          <w:rFonts w:hint="eastAsia"/>
          <w:lang w:val="en-US"/>
        </w:rPr>
        <w:t>说明：达标比例＝（室内外风压差大于0.5Pa的总数/可开启外窗总数）*100％</w:t>
      </w:r>
    </w:p>
    <w:bookmarkEnd w:id="30"/>
    <w:p>
      <w:pPr>
        <w:rPr>
          <w:lang w:val="en-US"/>
        </w:rPr>
      </w:pPr>
    </w:p>
    <w:p>
      <w:r>
        <w:rPr>
          <w:rFonts w:hint="eastAsia"/>
        </w:rPr>
        <w:t>对</w:t>
      </w:r>
      <w:r>
        <w:t>于无外</w:t>
      </w:r>
      <w:r>
        <w:rPr>
          <w:rFonts w:hint="eastAsia"/>
        </w:rPr>
        <w:t>窗</w:t>
      </w:r>
      <w:r>
        <w:t>数据</w:t>
      </w:r>
      <w:r>
        <w:rPr>
          <w:rFonts w:hint="eastAsia"/>
          <w:lang w:val="en-US" w:eastAsia="zh-CN"/>
        </w:rPr>
        <w:tab/>
      </w:r>
      <w:r>
        <w:t>的建筑，</w:t>
      </w:r>
      <w:r>
        <w:rPr>
          <w:rFonts w:hint="eastAsia"/>
        </w:rPr>
        <w:t>下表依据建筑</w:t>
      </w:r>
      <w:r>
        <w:t>外表面</w:t>
      </w:r>
      <w:r>
        <w:rPr>
          <w:rFonts w:hint="eastAsia"/>
        </w:rPr>
        <w:t>平均风压数据，相当于建筑室内外表面风压差数据，并依据标准做出达标判断：</w:t>
      </w:r>
    </w:p>
    <w:p>
      <w:pPr>
        <w:pStyle w:val="13"/>
        <w:jc w:val="center"/>
      </w:pPr>
      <w:r>
        <w:rPr>
          <w:rFonts w:hint="eastAsia"/>
        </w:rPr>
        <w:t>表</w:t>
      </w:r>
      <w:r>
        <w:t xml:space="preserve"> </w:t>
      </w:r>
      <w:r>
        <w:fldChar w:fldCharType="begin"/>
      </w:r>
      <w:r>
        <w:instrText xml:space="preserve"> STYLEREF 2 \s </w:instrText>
      </w:r>
      <w:r>
        <w:fldChar w:fldCharType="separate"/>
      </w:r>
      <w:r>
        <w:t>5.2</w:t>
      </w:r>
      <w:r>
        <w:fldChar w:fldCharType="end"/>
      </w:r>
      <w:r>
        <w:noBreakHyphen/>
      </w:r>
      <w:r>
        <w:fldChar w:fldCharType="begin"/>
      </w:r>
      <w:r>
        <w:instrText xml:space="preserve"> SEQ </w:instrText>
      </w:r>
      <w:r>
        <w:rPr>
          <w:rFonts w:hint="eastAsia"/>
        </w:rPr>
        <w:instrText xml:space="preserve">表</w:instrText>
      </w:r>
      <w:r>
        <w:instrText xml:space="preserve"> \* ARABIC \s 2 </w:instrText>
      </w:r>
      <w:r>
        <w:fldChar w:fldCharType="separate"/>
      </w:r>
      <w:r>
        <w:t>3</w:t>
      </w:r>
      <w:r>
        <w:fldChar w:fldCharType="end"/>
      </w:r>
      <w:r>
        <w:t xml:space="preserve">  </w:t>
      </w:r>
      <w:r>
        <w:rPr>
          <w:rFonts w:hint="eastAsia"/>
        </w:rPr>
        <w:t>建筑室内外风压差达标判定表</w:t>
      </w:r>
    </w:p>
    <w:tbl>
      <w:tblPr>
        <w:tblStyle w:val="22"/>
        <w:tblW w:w="0" w:type="auto"/>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3104"/>
        <w:gridCol w:w="1417"/>
        <w:gridCol w:w="2552"/>
        <w:gridCol w:w="1134"/>
        <w:gridCol w:w="83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shd w:val="clear" w:color="auto" w:fill="E6E6E6"/>
            <w:vAlign w:val="center"/>
          </w:tcPr>
          <w:p>
            <w:pPr>
              <w:spacing w:line="360" w:lineRule="exact"/>
              <w:jc w:val="center"/>
              <w:rPr>
                <w:lang w:val="en-US"/>
              </w:rPr>
            </w:pPr>
            <w:bookmarkStart w:id="152" w:name="建筑室内外风压差达标判定"/>
            <w:r>
              <w:rPr>
                <w:rFonts w:hint="eastAsia"/>
                <w:lang w:val="en-US"/>
              </w:rPr>
              <w:t>建筑编号</w:t>
            </w:r>
          </w:p>
        </w:tc>
        <w:tc>
          <w:tcPr>
            <w:tcW w:w="1417" w:type="dxa"/>
            <w:shd w:val="clear" w:color="auto" w:fill="E6E6E6"/>
            <w:vAlign w:val="center"/>
          </w:tcPr>
          <w:p>
            <w:pPr>
              <w:spacing w:line="360" w:lineRule="exact"/>
              <w:jc w:val="center"/>
              <w:rPr>
                <w:lang w:val="en-US"/>
              </w:rPr>
            </w:pPr>
            <w:r>
              <w:rPr>
                <w:rFonts w:hint="eastAsia"/>
                <w:lang w:val="en-US"/>
              </w:rPr>
              <w:t>建筑表面积（㎡）</w:t>
            </w:r>
          </w:p>
        </w:tc>
        <w:tc>
          <w:tcPr>
            <w:tcW w:w="2552" w:type="dxa"/>
            <w:shd w:val="clear" w:color="auto" w:fill="E6E6E6"/>
            <w:vAlign w:val="center"/>
          </w:tcPr>
          <w:p>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tcPr>
          <w:p>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tcPr>
          <w:p>
            <w:pPr>
              <w:spacing w:line="360" w:lineRule="exact"/>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&lt;未命名&gt;</w:t>
            </w:r>
          </w:p>
        </w:tc>
        <w:tc>
          <w:tcPr>
            <w:tcW w:w="1417" w:type="dxa"/>
            <w:vAlign w:val="center"/>
          </w:tcPr>
          <w:p>
            <w:pPr>
              <w:spacing w:line="360" w:lineRule="exact"/>
              <w:jc w:val="center"/>
              <w:rPr>
                <w:lang w:val="en-US"/>
              </w:rPr>
            </w:pPr>
            <w:r>
              <w:rPr>
                <w:lang w:val="en-US"/>
              </w:rPr>
              <w:t>895.01</w:t>
            </w:r>
          </w:p>
        </w:tc>
        <w:tc>
          <w:tcPr>
            <w:tcW w:w="2552" w:type="dxa"/>
            <w:vAlign w:val="center"/>
          </w:tcPr>
          <w:p>
            <w:pPr>
              <w:spacing w:line="360" w:lineRule="exact"/>
              <w:jc w:val="center"/>
              <w:rPr>
                <w:lang w:val="en-US"/>
              </w:rPr>
            </w:pPr>
            <w:r>
              <w:rPr>
                <w:lang w:val="en-US"/>
              </w:rPr>
              <w:t>791.51</w:t>
            </w:r>
          </w:p>
        </w:tc>
        <w:tc>
          <w:tcPr>
            <w:tcW w:w="1134" w:type="dxa"/>
            <w:vAlign w:val="center"/>
          </w:tcPr>
          <w:p>
            <w:pPr>
              <w:spacing w:line="360" w:lineRule="exact"/>
              <w:jc w:val="center"/>
              <w:rPr>
                <w:lang w:val="en-US"/>
              </w:rPr>
            </w:pPr>
            <w:r>
              <w:rPr>
                <w:lang w:val="en-US"/>
              </w:rPr>
              <w:t>88.44</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未命名(F6B2)</w:t>
            </w:r>
          </w:p>
        </w:tc>
        <w:tc>
          <w:tcPr>
            <w:tcW w:w="1417" w:type="dxa"/>
            <w:vAlign w:val="center"/>
          </w:tcPr>
          <w:p>
            <w:pPr>
              <w:spacing w:line="360" w:lineRule="exact"/>
              <w:jc w:val="center"/>
              <w:rPr>
                <w:lang w:val="en-US"/>
              </w:rPr>
            </w:pPr>
            <w:r>
              <w:rPr>
                <w:lang w:val="en-US"/>
              </w:rPr>
              <w:t>4598.88</w:t>
            </w:r>
          </w:p>
        </w:tc>
        <w:tc>
          <w:tcPr>
            <w:tcW w:w="2552" w:type="dxa"/>
            <w:vAlign w:val="center"/>
          </w:tcPr>
          <w:p>
            <w:pPr>
              <w:spacing w:line="360" w:lineRule="exact"/>
              <w:jc w:val="center"/>
              <w:rPr>
                <w:lang w:val="en-US"/>
              </w:rPr>
            </w:pPr>
            <w:r>
              <w:rPr>
                <w:lang w:val="en-US"/>
              </w:rPr>
              <w:t>4454.69</w:t>
            </w:r>
          </w:p>
        </w:tc>
        <w:tc>
          <w:tcPr>
            <w:tcW w:w="1134" w:type="dxa"/>
            <w:vAlign w:val="center"/>
          </w:tcPr>
          <w:p>
            <w:pPr>
              <w:spacing w:line="360" w:lineRule="exact"/>
              <w:jc w:val="center"/>
              <w:rPr>
                <w:lang w:val="en-US"/>
              </w:rPr>
            </w:pPr>
            <w:r>
              <w:rPr>
                <w:lang w:val="en-US"/>
              </w:rPr>
              <w:t>96.86</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未命名(F6B5)</w:t>
            </w:r>
          </w:p>
        </w:tc>
        <w:tc>
          <w:tcPr>
            <w:tcW w:w="1417" w:type="dxa"/>
            <w:vAlign w:val="center"/>
          </w:tcPr>
          <w:p>
            <w:pPr>
              <w:spacing w:line="360" w:lineRule="exact"/>
              <w:jc w:val="center"/>
              <w:rPr>
                <w:lang w:val="en-US"/>
              </w:rPr>
            </w:pPr>
            <w:r>
              <w:rPr>
                <w:lang w:val="en-US"/>
              </w:rPr>
              <w:t>5231.76</w:t>
            </w:r>
          </w:p>
        </w:tc>
        <w:tc>
          <w:tcPr>
            <w:tcW w:w="2552" w:type="dxa"/>
            <w:vAlign w:val="center"/>
          </w:tcPr>
          <w:p>
            <w:pPr>
              <w:spacing w:line="360" w:lineRule="exact"/>
              <w:jc w:val="center"/>
              <w:rPr>
                <w:lang w:val="en-US"/>
              </w:rPr>
            </w:pPr>
            <w:r>
              <w:rPr>
                <w:lang w:val="en-US"/>
              </w:rPr>
              <w:t>5079.25</w:t>
            </w:r>
          </w:p>
        </w:tc>
        <w:tc>
          <w:tcPr>
            <w:tcW w:w="1134" w:type="dxa"/>
            <w:vAlign w:val="center"/>
          </w:tcPr>
          <w:p>
            <w:pPr>
              <w:spacing w:line="360" w:lineRule="exact"/>
              <w:jc w:val="center"/>
              <w:rPr>
                <w:lang w:val="en-US"/>
              </w:rPr>
            </w:pPr>
            <w:r>
              <w:rPr>
                <w:lang w:val="en-US"/>
              </w:rPr>
              <w:t>97.08</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未命名(F6B8)</w:t>
            </w:r>
          </w:p>
        </w:tc>
        <w:tc>
          <w:tcPr>
            <w:tcW w:w="1417" w:type="dxa"/>
            <w:vAlign w:val="center"/>
          </w:tcPr>
          <w:p>
            <w:pPr>
              <w:spacing w:line="360" w:lineRule="exact"/>
              <w:jc w:val="center"/>
              <w:rPr>
                <w:lang w:val="en-US"/>
              </w:rPr>
            </w:pPr>
            <w:r>
              <w:rPr>
                <w:lang w:val="en-US"/>
              </w:rPr>
              <w:t>7782.41</w:t>
            </w:r>
          </w:p>
        </w:tc>
        <w:tc>
          <w:tcPr>
            <w:tcW w:w="2552" w:type="dxa"/>
            <w:vAlign w:val="center"/>
          </w:tcPr>
          <w:p>
            <w:pPr>
              <w:spacing w:line="360" w:lineRule="exact"/>
              <w:jc w:val="center"/>
              <w:rPr>
                <w:lang w:val="en-US"/>
              </w:rPr>
            </w:pPr>
            <w:r>
              <w:rPr>
                <w:lang w:val="en-US"/>
              </w:rPr>
              <w:t>6969.96</w:t>
            </w:r>
          </w:p>
        </w:tc>
        <w:tc>
          <w:tcPr>
            <w:tcW w:w="1134" w:type="dxa"/>
            <w:vAlign w:val="center"/>
          </w:tcPr>
          <w:p>
            <w:pPr>
              <w:spacing w:line="360" w:lineRule="exact"/>
              <w:jc w:val="center"/>
              <w:rPr>
                <w:lang w:val="en-US"/>
              </w:rPr>
            </w:pPr>
            <w:r>
              <w:rPr>
                <w:lang w:val="en-US"/>
              </w:rPr>
              <w:t>89.56</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未命名(F6BB)</w:t>
            </w:r>
          </w:p>
        </w:tc>
        <w:tc>
          <w:tcPr>
            <w:tcW w:w="1417" w:type="dxa"/>
            <w:vAlign w:val="center"/>
          </w:tcPr>
          <w:p>
            <w:pPr>
              <w:spacing w:line="360" w:lineRule="exact"/>
              <w:jc w:val="center"/>
              <w:rPr>
                <w:lang w:val="en-US"/>
              </w:rPr>
            </w:pPr>
            <w:r>
              <w:rPr>
                <w:lang w:val="en-US"/>
              </w:rPr>
              <w:t>1641.92</w:t>
            </w:r>
          </w:p>
        </w:tc>
        <w:tc>
          <w:tcPr>
            <w:tcW w:w="2552" w:type="dxa"/>
            <w:vAlign w:val="center"/>
          </w:tcPr>
          <w:p>
            <w:pPr>
              <w:spacing w:line="360" w:lineRule="exact"/>
              <w:jc w:val="center"/>
              <w:rPr>
                <w:lang w:val="en-US"/>
              </w:rPr>
            </w:pPr>
            <w:r>
              <w:rPr>
                <w:lang w:val="en-US"/>
              </w:rPr>
              <w:t>1295.00</w:t>
            </w:r>
          </w:p>
        </w:tc>
        <w:tc>
          <w:tcPr>
            <w:tcW w:w="1134" w:type="dxa"/>
            <w:vAlign w:val="center"/>
          </w:tcPr>
          <w:p>
            <w:pPr>
              <w:spacing w:line="360" w:lineRule="exact"/>
              <w:jc w:val="center"/>
              <w:rPr>
                <w:lang w:val="en-US"/>
              </w:rPr>
            </w:pPr>
            <w:r>
              <w:rPr>
                <w:lang w:val="en-US"/>
              </w:rPr>
              <w:t>78.87</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未命名(F6BE)</w:t>
            </w:r>
          </w:p>
        </w:tc>
        <w:tc>
          <w:tcPr>
            <w:tcW w:w="1417" w:type="dxa"/>
            <w:vAlign w:val="center"/>
          </w:tcPr>
          <w:p>
            <w:pPr>
              <w:spacing w:line="360" w:lineRule="exact"/>
              <w:jc w:val="center"/>
              <w:rPr>
                <w:lang w:val="en-US"/>
              </w:rPr>
            </w:pPr>
            <w:r>
              <w:rPr>
                <w:lang w:val="en-US"/>
              </w:rPr>
              <w:t>2505.86</w:t>
            </w:r>
          </w:p>
        </w:tc>
        <w:tc>
          <w:tcPr>
            <w:tcW w:w="2552" w:type="dxa"/>
            <w:vAlign w:val="center"/>
          </w:tcPr>
          <w:p>
            <w:pPr>
              <w:spacing w:line="360" w:lineRule="exact"/>
              <w:jc w:val="center"/>
              <w:rPr>
                <w:lang w:val="en-US"/>
              </w:rPr>
            </w:pPr>
            <w:r>
              <w:rPr>
                <w:lang w:val="en-US"/>
              </w:rPr>
              <w:t>2470.31</w:t>
            </w:r>
          </w:p>
        </w:tc>
        <w:tc>
          <w:tcPr>
            <w:tcW w:w="1134" w:type="dxa"/>
            <w:vAlign w:val="center"/>
          </w:tcPr>
          <w:p>
            <w:pPr>
              <w:spacing w:line="360" w:lineRule="exact"/>
              <w:jc w:val="center"/>
              <w:rPr>
                <w:lang w:val="en-US"/>
              </w:rPr>
            </w:pPr>
            <w:r>
              <w:rPr>
                <w:lang w:val="en-US"/>
              </w:rPr>
              <w:t>98.58</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未命名(F7FA)</w:t>
            </w:r>
          </w:p>
        </w:tc>
        <w:tc>
          <w:tcPr>
            <w:tcW w:w="1417" w:type="dxa"/>
            <w:vAlign w:val="center"/>
          </w:tcPr>
          <w:p>
            <w:pPr>
              <w:spacing w:line="360" w:lineRule="exact"/>
              <w:jc w:val="center"/>
              <w:rPr>
                <w:lang w:val="en-US"/>
              </w:rPr>
            </w:pPr>
            <w:r>
              <w:rPr>
                <w:lang w:val="en-US"/>
              </w:rPr>
              <w:t>3095.12</w:t>
            </w:r>
          </w:p>
        </w:tc>
        <w:tc>
          <w:tcPr>
            <w:tcW w:w="2552" w:type="dxa"/>
            <w:vAlign w:val="center"/>
          </w:tcPr>
          <w:p>
            <w:pPr>
              <w:spacing w:line="360" w:lineRule="exact"/>
              <w:jc w:val="center"/>
              <w:rPr>
                <w:lang w:val="en-US"/>
              </w:rPr>
            </w:pPr>
            <w:r>
              <w:rPr>
                <w:lang w:val="en-US"/>
              </w:rPr>
              <w:t>2643.35</w:t>
            </w:r>
          </w:p>
        </w:tc>
        <w:tc>
          <w:tcPr>
            <w:tcW w:w="1134" w:type="dxa"/>
            <w:vAlign w:val="center"/>
          </w:tcPr>
          <w:p>
            <w:pPr>
              <w:spacing w:line="360" w:lineRule="exact"/>
              <w:jc w:val="center"/>
              <w:rPr>
                <w:lang w:val="en-US"/>
              </w:rPr>
            </w:pPr>
            <w:r>
              <w:rPr>
                <w:lang w:val="en-US"/>
              </w:rPr>
              <w:t>85.40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未命名(F7FD)</w:t>
            </w:r>
          </w:p>
        </w:tc>
        <w:tc>
          <w:tcPr>
            <w:tcW w:w="1417" w:type="dxa"/>
            <w:vAlign w:val="center"/>
          </w:tcPr>
          <w:p>
            <w:pPr>
              <w:spacing w:line="360" w:lineRule="exact"/>
              <w:jc w:val="center"/>
              <w:rPr>
                <w:lang w:val="en-US"/>
              </w:rPr>
            </w:pPr>
            <w:r>
              <w:rPr>
                <w:lang w:val="en-US"/>
              </w:rPr>
              <w:t>3082.68</w:t>
            </w:r>
          </w:p>
        </w:tc>
        <w:tc>
          <w:tcPr>
            <w:tcW w:w="2552" w:type="dxa"/>
            <w:vAlign w:val="center"/>
          </w:tcPr>
          <w:p>
            <w:pPr>
              <w:spacing w:line="360" w:lineRule="exact"/>
              <w:jc w:val="center"/>
              <w:rPr>
                <w:lang w:val="en-US"/>
              </w:rPr>
            </w:pPr>
            <w:r>
              <w:rPr>
                <w:lang w:val="en-US"/>
              </w:rPr>
              <w:t>2889.35</w:t>
            </w:r>
          </w:p>
        </w:tc>
        <w:tc>
          <w:tcPr>
            <w:tcW w:w="1134" w:type="dxa"/>
            <w:vAlign w:val="center"/>
          </w:tcPr>
          <w:p>
            <w:pPr>
              <w:spacing w:line="360" w:lineRule="exact"/>
              <w:jc w:val="center"/>
              <w:rPr>
                <w:lang w:val="en-US"/>
              </w:rPr>
            </w:pPr>
            <w:r>
              <w:rPr>
                <w:lang w:val="en-US"/>
              </w:rPr>
              <w:t>93.73</w:t>
            </w:r>
          </w:p>
        </w:tc>
        <w:tc>
          <w:tcPr>
            <w:tcW w:w="835" w:type="dxa"/>
            <w:vAlign w:val="center"/>
          </w:tcPr>
          <w:p>
            <w:pPr>
              <w:spacing w:line="360" w:lineRule="exact"/>
              <w:jc w:val="center"/>
              <w:rPr>
                <w:lang w:val="en-US"/>
              </w:rPr>
            </w:pPr>
            <w:r>
              <w:rPr>
                <w:lang w:val="en-US"/>
              </w:rPr>
              <w:t>是</w:t>
            </w:r>
          </w:p>
        </w:tc>
      </w:tr>
      <w:bookmarkEnd w:id="152"/>
    </w:tbl>
    <w:p>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r>
        <w:rPr>
          <w:rFonts w:hint="eastAsia"/>
        </w:rPr>
        <w:t xml:space="preserve"> </w:t>
      </w:r>
      <w:bookmarkEnd w:id="31"/>
    </w:p>
    <w:p>
      <w:pPr>
        <w:rPr>
          <w:lang w:val="en-US"/>
        </w:rPr>
      </w:pPr>
      <w:bookmarkStart w:id="153" w:name="建筑室内外风压差达标判定结论"/>
      <w:r>
        <w:rPr>
          <w:rFonts w:hint="eastAsia"/>
          <w:lang w:val="en-US"/>
        </w:rPr>
        <w:t>结论：本项目中所有建筑均满足“50%以上可开启外窗室内外表面的风压差大于0.5Pa”的要求。</w:t>
      </w:r>
      <w:bookmarkEnd w:id="153"/>
      <w:r>
        <w:rPr>
          <w:rFonts w:hint="eastAsia"/>
          <w:lang w:val="en-US"/>
        </w:rPr>
        <w:t xml:space="preserve"> </w:t>
      </w:r>
    </w:p>
    <w:p>
      <w:pPr>
        <w:rPr>
          <w:lang w:val="en-US"/>
        </w:rPr>
      </w:pPr>
      <w:bookmarkStart w:id="154" w:name="其他工况"/>
      <w:bookmarkEnd w:id="154"/>
      <w:r>
        <w:rPr>
          <w:rFonts w:hint="eastAsia"/>
          <w:lang w:val="en-US"/>
        </w:rPr>
        <w:t xml:space="preserve"> </w:t>
      </w:r>
    </w:p>
    <w:p>
      <w:pPr>
        <w:pStyle w:val="4"/>
      </w:pPr>
      <w:bookmarkStart w:id="155" w:name="_Toc816"/>
      <w:bookmarkStart w:id="156" w:name="_Toc509844764"/>
      <w:r>
        <w:rPr>
          <w:rFonts w:hint="eastAsia"/>
        </w:rPr>
        <w:t>结论</w:t>
      </w:r>
      <w:bookmarkEnd w:id="155"/>
      <w:bookmarkEnd w:id="156"/>
    </w:p>
    <w:p>
      <w:pPr>
        <w:pStyle w:val="5"/>
      </w:pPr>
      <w:bookmarkStart w:id="157" w:name="_Toc20893"/>
      <w:bookmarkStart w:id="158" w:name="_Toc509844765"/>
      <w:r>
        <w:rPr>
          <w:rFonts w:hint="eastAsia"/>
        </w:rPr>
        <w:t>冬季工况达标判断</w:t>
      </w:r>
      <w:bookmarkEnd w:id="157"/>
      <w:bookmarkEnd w:id="158"/>
      <w:bookmarkStart w:id="159" w:name="_Toc509844766"/>
      <w:bookmarkEnd w:id="159"/>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pPr>
              <w:rPr>
                <w:lang w:val="en-US"/>
              </w:rPr>
            </w:pPr>
            <w:r>
              <w:rPr>
                <w:rFonts w:hint="eastAsia"/>
                <w:lang w:val="en-US"/>
              </w:rPr>
              <w:t>建筑物周围人行区距地高1. 5m处风速小于5m/s, 户外休息区、儿童娱乐区风速小于2m/s, 且室外风速放大系数小于2, 得</w:t>
            </w:r>
            <w:bookmarkStart w:id="160" w:name="标准要求冬季风速得分"/>
            <w:r>
              <w:rPr>
                <w:rFonts w:hint="eastAsia"/>
                <w:lang w:val="en-US"/>
              </w:rPr>
              <w:t>3</w:t>
            </w:r>
            <w:bookmarkEnd w:id="160"/>
            <w:r>
              <w:rPr>
                <w:rFonts w:hint="eastAsia"/>
                <w:lang w:val="en-US"/>
              </w:rPr>
              <w:t>分；</w:t>
            </w:r>
          </w:p>
        </w:tc>
        <w:tc>
          <w:tcPr>
            <w:tcW w:w="1985" w:type="dxa"/>
            <w:tcBorders>
              <w:top w:val="single" w:color="auto" w:sz="4" w:space="0"/>
            </w:tcBorders>
            <w:shd w:val="clear" w:color="auto" w:fill="auto"/>
            <w:vAlign w:val="center"/>
          </w:tcPr>
          <w:p>
            <w:pPr>
              <w:jc w:val="center"/>
              <w:rPr>
                <w:lang w:val="en-US"/>
              </w:rPr>
            </w:pPr>
            <w:bookmarkStart w:id="161" w:name="冬季风速结果2"/>
            <w:bookmarkEnd w:id="161"/>
            <w:bookmarkStart w:id="162" w:name="冬季风速结果"/>
            <w:bookmarkEnd w:id="162"/>
            <w:r>
              <w:rPr>
                <w:rFonts w:hint="eastAsia"/>
                <w:lang w:val="en-US" w:eastAsia="zh-CN"/>
              </w:rPr>
              <w:t>未</w:t>
            </w:r>
            <w:r>
              <w:rPr>
                <w:lang w:val="en-US"/>
              </w:rPr>
              <w:t>出现风速超标区域</w:t>
            </w:r>
          </w:p>
        </w:tc>
        <w:tc>
          <w:tcPr>
            <w:tcW w:w="1985" w:type="dxa"/>
            <w:vMerge w:val="restart"/>
            <w:tcBorders>
              <w:top w:val="single" w:color="auto" w:sz="4" w:space="0"/>
            </w:tcBorders>
            <w:shd w:val="clear" w:color="auto" w:fill="auto"/>
            <w:vAlign w:val="center"/>
          </w:tcPr>
          <w:p>
            <w:pPr>
              <w:jc w:val="center"/>
              <w:rPr>
                <w:b/>
                <w:lang w:val="en-US"/>
              </w:rPr>
            </w:pPr>
            <w:bookmarkStart w:id="163" w:name="冬季风速达标判定"/>
            <w:r>
              <w:rPr>
                <w:rFonts w:hint="eastAsia"/>
                <w:lang w:val="en-US"/>
              </w:rPr>
              <w:t>达标</w:t>
            </w:r>
            <w:bookmarkEnd w:id="163"/>
          </w:p>
        </w:tc>
        <w:tc>
          <w:tcPr>
            <w:tcW w:w="1416" w:type="dxa"/>
            <w:vMerge w:val="restart"/>
            <w:tcBorders>
              <w:top w:val="single" w:color="auto" w:sz="4" w:space="0"/>
            </w:tcBorders>
            <w:shd w:val="clear" w:color="auto" w:fill="auto"/>
            <w:vAlign w:val="center"/>
          </w:tcPr>
          <w:p>
            <w:pPr>
              <w:jc w:val="center"/>
              <w:rPr>
                <w:lang w:val="en-US"/>
              </w:rPr>
            </w:pPr>
            <w:r>
              <w:rPr>
                <w:rFonts w:hint="eastAsia"/>
                <w:lang w:val="en-US" w:eastAsia="zh-CN"/>
              </w:rPr>
              <w:t>3</w:t>
            </w:r>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风速放大系数</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bookmarkStart w:id="164" w:name="冬季风速放大系数结果休息区"/>
            <w:bookmarkEnd w:id="164"/>
            <w:bookmarkStart w:id="165" w:name="冬季风速放大系数结果人行区"/>
            <w:bookmarkEnd w:id="165"/>
            <w:r>
              <w:rPr>
                <w:lang w:val="en-US"/>
              </w:rPr>
              <w:t>未出现风速放大系数大于等于2的区域</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建筑迎风面/背风面风压值</w:t>
            </w:r>
          </w:p>
        </w:tc>
        <w:tc>
          <w:tcPr>
            <w:tcW w:w="1985" w:type="dxa"/>
            <w:shd w:val="clear" w:color="auto" w:fill="auto"/>
          </w:tcPr>
          <w:p>
            <w:pPr>
              <w:jc w:val="center"/>
              <w:rPr>
                <w:lang w:val="en-US"/>
              </w:rPr>
            </w:pPr>
            <w:r>
              <w:rPr>
                <w:rFonts w:hint="eastAsia"/>
                <w:lang w:val="en-US"/>
              </w:rPr>
              <w:t>除迎风第一排建筑外，建筑迎风面与背风面表面风压差不超过5Pa，得</w:t>
            </w:r>
            <w:bookmarkStart w:id="166" w:name="标准要求冬季风压得分"/>
            <w:r>
              <w:rPr>
                <w:rFonts w:hint="eastAsia"/>
                <w:lang w:val="en-US"/>
              </w:rPr>
              <w:t>2</w:t>
            </w:r>
            <w:bookmarkEnd w:id="166"/>
            <w:r>
              <w:rPr>
                <w:rFonts w:hint="eastAsia"/>
                <w:lang w:val="en-US"/>
              </w:rPr>
              <w:t>分</w:t>
            </w:r>
          </w:p>
        </w:tc>
        <w:tc>
          <w:tcPr>
            <w:tcW w:w="1985" w:type="dxa"/>
            <w:shd w:val="clear" w:color="auto" w:fill="auto"/>
            <w:vAlign w:val="center"/>
          </w:tcPr>
          <w:p>
            <w:pPr>
              <w:jc w:val="center"/>
              <w:rPr>
                <w:lang w:val="en-US"/>
              </w:rPr>
            </w:pPr>
            <w:r>
              <w:rPr>
                <w:rFonts w:hint="eastAsia"/>
                <w:lang w:val="en-US"/>
              </w:rPr>
              <w:t>本项目</w:t>
            </w:r>
            <w:bookmarkStart w:id="167" w:name="冬季迎背风面结果"/>
            <w:r>
              <w:rPr>
                <w:rFonts w:hint="eastAsia"/>
                <w:lang w:val="en-US" w:eastAsia="zh-CN"/>
              </w:rPr>
              <w:t>未</w:t>
            </w:r>
            <w:r>
              <w:rPr>
                <w:lang w:val="en-US"/>
              </w:rPr>
              <w:t>出现</w:t>
            </w:r>
            <w:bookmarkEnd w:id="167"/>
            <w:r>
              <w:rPr>
                <w:rFonts w:hint="eastAsia"/>
                <w:lang w:val="en-US"/>
              </w:rPr>
              <w:t>建筑迎风面与背风面表面风压差大于5Pa的建筑</w:t>
            </w:r>
          </w:p>
        </w:tc>
        <w:tc>
          <w:tcPr>
            <w:tcW w:w="1985" w:type="dxa"/>
            <w:shd w:val="clear" w:color="auto" w:fill="auto"/>
            <w:vAlign w:val="center"/>
          </w:tcPr>
          <w:p>
            <w:pPr>
              <w:jc w:val="center"/>
              <w:rPr>
                <w:lang w:val="en-US"/>
              </w:rPr>
            </w:pPr>
            <w:bookmarkStart w:id="168" w:name="冬季迎背风面达标判定"/>
            <w:r>
              <w:rPr>
                <w:rFonts w:hint="eastAsia"/>
                <w:lang w:val="en-US"/>
              </w:rPr>
              <w:t>达标</w:t>
            </w:r>
            <w:bookmarkEnd w:id="168"/>
          </w:p>
        </w:tc>
        <w:tc>
          <w:tcPr>
            <w:tcW w:w="1416" w:type="dxa"/>
            <w:shd w:val="clear" w:color="auto" w:fill="auto"/>
            <w:vAlign w:val="center"/>
          </w:tcPr>
          <w:p>
            <w:pPr>
              <w:jc w:val="center"/>
              <w:rPr>
                <w:lang w:val="en-US"/>
              </w:rPr>
            </w:pPr>
            <w:r>
              <w:rPr>
                <w:rFonts w:hint="eastAsia"/>
                <w:lang w:val="en-US" w:eastAsia="zh-CN"/>
              </w:rPr>
              <w:t>2</w:t>
            </w:r>
            <w:r>
              <w:rPr>
                <w:rFonts w:hint="eastAsia"/>
                <w:lang w:val="en-US"/>
              </w:rPr>
              <w:t>分</w:t>
            </w:r>
          </w:p>
        </w:tc>
      </w:tr>
    </w:tbl>
    <w:p>
      <w:pPr>
        <w:rPr>
          <w:szCs w:val="21"/>
          <w:lang w:val="en-US"/>
        </w:rPr>
      </w:pPr>
      <w:bookmarkStart w:id="169" w:name="_Toc509844768"/>
      <w:bookmarkEnd w:id="169"/>
      <w:bookmarkStart w:id="170" w:name="_Toc509844767"/>
      <w:bookmarkEnd w:id="170"/>
    </w:p>
    <w:bookmarkEnd w:id="0"/>
    <w:bookmarkEnd w:id="1"/>
    <w:p>
      <w:pPr>
        <w:pStyle w:val="5"/>
      </w:pPr>
      <w:bookmarkStart w:id="171" w:name="_Toc509844769"/>
      <w:bookmarkStart w:id="172" w:name="_Toc27198"/>
      <w:r>
        <w:rPr>
          <w:rFonts w:hint="eastAsia"/>
        </w:rPr>
        <w:t>过渡季、夏季工况达标判断</w:t>
      </w:r>
      <w:bookmarkEnd w:id="171"/>
      <w:bookmarkEnd w:id="172"/>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2126"/>
        <w:gridCol w:w="1844"/>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2126"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844"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951" w:type="dxa"/>
            <w:tcBorders>
              <w:top w:val="single" w:color="auto" w:sz="4" w:space="0"/>
            </w:tcBorders>
            <w:shd w:val="clear" w:color="auto" w:fill="auto"/>
            <w:vAlign w:val="center"/>
          </w:tcPr>
          <w:p>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pPr>
              <w:rPr>
                <w:lang w:val="en-US"/>
              </w:rPr>
            </w:pPr>
            <w:r>
              <w:rPr>
                <w:rFonts w:hint="eastAsia"/>
                <w:lang w:val="en-US"/>
              </w:rPr>
              <w:t>场地内人活动区</w:t>
            </w:r>
            <w:r>
              <w:rPr>
                <w:rFonts w:hint="eastAsia"/>
                <w:b/>
                <w:lang w:val="en-US"/>
              </w:rPr>
              <w:t>不出现涡旋或无风区</w:t>
            </w:r>
            <w:r>
              <w:rPr>
                <w:rFonts w:hint="eastAsia"/>
                <w:lang w:val="en-US"/>
              </w:rPr>
              <w:t>，得</w:t>
            </w:r>
            <w:bookmarkStart w:id="173" w:name="标准要求夏季风速得分"/>
            <w:r>
              <w:rPr>
                <w:rFonts w:hint="eastAsia"/>
                <w:lang w:val="en-US"/>
              </w:rPr>
              <w:t>3</w:t>
            </w:r>
            <w:bookmarkEnd w:id="173"/>
            <w:r>
              <w:rPr>
                <w:rFonts w:hint="eastAsia"/>
                <w:lang w:val="en-US"/>
              </w:rPr>
              <w:t>分</w:t>
            </w:r>
            <w:r>
              <w:rPr>
                <w:lang w:val="en-US"/>
              </w:rPr>
              <w:t xml:space="preserve"> </w:t>
            </w:r>
          </w:p>
        </w:tc>
        <w:tc>
          <w:tcPr>
            <w:tcW w:w="2126" w:type="dxa"/>
            <w:tcBorders>
              <w:top w:val="single" w:color="auto" w:sz="4" w:space="0"/>
            </w:tcBorders>
            <w:shd w:val="clear" w:color="auto" w:fill="auto"/>
            <w:vAlign w:val="center"/>
          </w:tcPr>
          <w:p>
            <w:pPr>
              <w:jc w:val="center"/>
              <w:rPr>
                <w:lang w:val="en-US"/>
              </w:rPr>
            </w:pPr>
            <w:bookmarkStart w:id="174" w:name="夏季无风区结果人活动区文字"/>
            <w:r>
              <w:rPr>
                <w:rFonts w:hint="eastAsia"/>
                <w:lang w:val="en-US"/>
              </w:rPr>
              <w:t>人活动区</w:t>
            </w:r>
            <w:bookmarkStart w:id="175" w:name="夏季无风区结果"/>
            <w:r>
              <w:t>没有</w:t>
            </w:r>
            <w:bookmarkEnd w:id="174"/>
            <w:bookmarkEnd w:id="175"/>
            <w:r>
              <w:rPr>
                <w:rFonts w:hint="eastAsia"/>
                <w:lang w:val="en-US"/>
              </w:rPr>
              <w:t>无风区</w:t>
            </w:r>
          </w:p>
        </w:tc>
        <w:tc>
          <w:tcPr>
            <w:tcW w:w="1844" w:type="dxa"/>
            <w:vMerge w:val="restart"/>
            <w:tcBorders>
              <w:top w:val="single" w:color="auto" w:sz="4" w:space="0"/>
            </w:tcBorders>
            <w:shd w:val="clear" w:color="auto" w:fill="auto"/>
            <w:vAlign w:val="center"/>
          </w:tcPr>
          <w:p>
            <w:pPr>
              <w:jc w:val="center"/>
              <w:rPr>
                <w:lang w:val="en-US"/>
              </w:rPr>
            </w:pPr>
            <w:bookmarkStart w:id="176" w:name="夏季无风区达标判定"/>
            <w:r>
              <w:rPr>
                <w:rFonts w:hint="eastAsia"/>
                <w:b/>
                <w:lang w:val="en-US"/>
              </w:rPr>
              <w:t>达标</w:t>
            </w:r>
            <w:bookmarkEnd w:id="176"/>
          </w:p>
        </w:tc>
        <w:tc>
          <w:tcPr>
            <w:tcW w:w="1416" w:type="dxa"/>
            <w:vMerge w:val="restart"/>
            <w:tcBorders>
              <w:top w:val="single" w:color="auto" w:sz="4" w:space="0"/>
            </w:tcBorders>
            <w:shd w:val="clear" w:color="auto" w:fill="auto"/>
            <w:vAlign w:val="center"/>
          </w:tcPr>
          <w:p>
            <w:pPr>
              <w:jc w:val="center"/>
              <w:rPr>
                <w:lang w:val="en-US"/>
              </w:rPr>
            </w:pPr>
            <w:bookmarkStart w:id="177" w:name="夏季无风区得分"/>
            <w:r>
              <w:rPr>
                <w:rFonts w:hint="eastAsia"/>
                <w:lang w:val="en-US"/>
              </w:rPr>
              <w:t>3</w:t>
            </w:r>
            <w:bookmarkEnd w:id="177"/>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951" w:type="dxa"/>
            <w:shd w:val="clear" w:color="auto" w:fill="auto"/>
            <w:vAlign w:val="center"/>
          </w:tcPr>
          <w:p>
            <w:pPr>
              <w:jc w:val="center"/>
              <w:rPr>
                <w:lang w:val="en-US"/>
              </w:rPr>
            </w:pPr>
            <w:r>
              <w:rPr>
                <w:rFonts w:hint="eastAsia"/>
                <w:lang w:val="en-US"/>
              </w:rPr>
              <w:t>旋涡区</w:t>
            </w:r>
          </w:p>
        </w:tc>
        <w:tc>
          <w:tcPr>
            <w:tcW w:w="1985" w:type="dxa"/>
            <w:vMerge w:val="continue"/>
            <w:shd w:val="clear" w:color="auto" w:fill="auto"/>
          </w:tcPr>
          <w:p>
            <w:pPr>
              <w:jc w:val="center"/>
              <w:rPr>
                <w:lang w:val="en-US"/>
              </w:rPr>
            </w:pPr>
          </w:p>
        </w:tc>
        <w:tc>
          <w:tcPr>
            <w:tcW w:w="2126" w:type="dxa"/>
            <w:shd w:val="clear" w:color="auto" w:fill="auto"/>
            <w:vAlign w:val="center"/>
          </w:tcPr>
          <w:p>
            <w:pPr>
              <w:jc w:val="center"/>
              <w:rPr>
                <w:lang w:val="en-US"/>
              </w:rPr>
            </w:pPr>
            <w:bookmarkStart w:id="178" w:name="夏季旋涡区结果人活动区文字"/>
            <w:r>
              <w:rPr>
                <w:rFonts w:hint="eastAsia"/>
                <w:lang w:val="en-US"/>
              </w:rPr>
              <w:t>人活动区</w:t>
            </w:r>
            <w:bookmarkEnd w:id="178"/>
            <w:r>
              <w:rPr>
                <w:rFonts w:hint="eastAsia"/>
                <w:lang w:val="en-US"/>
              </w:rPr>
              <w:t>没有旋涡区</w:t>
            </w:r>
          </w:p>
        </w:tc>
        <w:tc>
          <w:tcPr>
            <w:tcW w:w="1844"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外窗室内外表面的风压差</w:t>
            </w:r>
          </w:p>
        </w:tc>
        <w:tc>
          <w:tcPr>
            <w:tcW w:w="1985" w:type="dxa"/>
            <w:shd w:val="clear" w:color="auto" w:fill="auto"/>
          </w:tcPr>
          <w:p>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w:t>
            </w:r>
            <w:bookmarkStart w:id="179" w:name="标准要求夏季风压得分"/>
            <w:r>
              <w:rPr>
                <w:rFonts w:hint="eastAsia"/>
                <w:lang w:val="en-US"/>
              </w:rPr>
              <w:t>2</w:t>
            </w:r>
            <w:bookmarkEnd w:id="179"/>
            <w:r>
              <w:rPr>
                <w:rFonts w:hint="eastAsia"/>
                <w:lang w:val="en-US"/>
              </w:rPr>
              <w:t>分。</w:t>
            </w:r>
          </w:p>
        </w:tc>
        <w:tc>
          <w:tcPr>
            <w:tcW w:w="2126" w:type="dxa"/>
            <w:shd w:val="clear" w:color="auto" w:fill="auto"/>
            <w:vAlign w:val="center"/>
          </w:tcPr>
          <w:p>
            <w:pPr>
              <w:jc w:val="center"/>
              <w:rPr>
                <w:lang w:val="en-US"/>
              </w:rPr>
            </w:pPr>
            <w:r>
              <w:rPr>
                <w:rFonts w:hint="eastAsia"/>
                <w:b/>
                <w:lang w:val="en-US"/>
              </w:rPr>
              <w:t>可开启外窗室内外表面的风压差</w:t>
            </w:r>
            <w:bookmarkStart w:id="180" w:name="夏季窗内外风压差结果"/>
            <w:r>
              <w:rPr>
                <w:rFonts w:hint="eastAsia"/>
                <w:lang w:val="en-US"/>
              </w:rPr>
              <w:t>满足</w:t>
            </w:r>
            <w:bookmarkEnd w:id="180"/>
            <w:r>
              <w:rPr>
                <w:rFonts w:hint="eastAsia"/>
                <w:lang w:val="en-US"/>
              </w:rPr>
              <w:t>标准要求</w:t>
            </w:r>
          </w:p>
        </w:tc>
        <w:tc>
          <w:tcPr>
            <w:tcW w:w="1844" w:type="dxa"/>
            <w:shd w:val="clear" w:color="auto" w:fill="auto"/>
            <w:vAlign w:val="center"/>
          </w:tcPr>
          <w:p>
            <w:pPr>
              <w:jc w:val="center"/>
              <w:rPr>
                <w:b/>
                <w:lang w:val="en-US"/>
              </w:rPr>
            </w:pPr>
            <w:bookmarkStart w:id="181" w:name="夏季窗内外风压差达标判定"/>
            <w:r>
              <w:rPr>
                <w:rFonts w:hint="eastAsia"/>
                <w:b/>
                <w:lang w:val="en-US"/>
              </w:rPr>
              <w:t>达标</w:t>
            </w:r>
            <w:bookmarkEnd w:id="181"/>
          </w:p>
        </w:tc>
        <w:tc>
          <w:tcPr>
            <w:tcW w:w="1416" w:type="dxa"/>
            <w:shd w:val="clear" w:color="auto" w:fill="auto"/>
            <w:vAlign w:val="center"/>
          </w:tcPr>
          <w:p>
            <w:pPr>
              <w:jc w:val="center"/>
              <w:rPr>
                <w:lang w:val="en-US"/>
              </w:rPr>
            </w:pPr>
            <w:bookmarkStart w:id="182" w:name="夏季窗内外风压差得分"/>
            <w:r>
              <w:rPr>
                <w:rFonts w:hint="eastAsia"/>
                <w:lang w:val="en-US"/>
              </w:rPr>
              <w:t>2</w:t>
            </w:r>
            <w:bookmarkEnd w:id="182"/>
            <w:r>
              <w:rPr>
                <w:rFonts w:hint="eastAsia"/>
                <w:lang w:val="en-US"/>
              </w:rPr>
              <w:t>分</w:t>
            </w:r>
          </w:p>
        </w:tc>
      </w:tr>
    </w:tbl>
    <w:p>
      <w:pPr>
        <w:rPr>
          <w:szCs w:val="21"/>
          <w:lang w:val="en-US"/>
        </w:rPr>
      </w:pPr>
    </w:p>
    <w:p>
      <w:pPr>
        <w:pStyle w:val="3"/>
        <w:ind w:firstLine="0" w:firstLineChars="0"/>
        <w:rPr>
          <w:lang w:val="en-US"/>
        </w:rPr>
      </w:pPr>
      <w:r>
        <w:rPr>
          <w:rFonts w:hint="eastAsia"/>
          <w:lang w:val="en-US"/>
        </w:rPr>
        <w:t>综合上述达标判断详表的信息，可知本项目得分为</w:t>
      </w:r>
      <w:r>
        <w:rPr>
          <w:rFonts w:hint="eastAsia"/>
          <w:lang w:val="en-US" w:eastAsia="zh-CN"/>
        </w:rPr>
        <w:t>9</w:t>
      </w:r>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ENT2022</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M2VmNDQ4NTFmYzA5M2VjMTljMjRkZWNjOGMwZWEwYjEifQ=="/>
  </w:docVars>
  <w:rsids>
    <w:rsidRoot w:val="00217F62"/>
    <w:rsid w:val="001915A3"/>
    <w:rsid w:val="00217F62"/>
    <w:rsid w:val="00A906D8"/>
    <w:rsid w:val="00AB5A74"/>
    <w:rsid w:val="00F071AE"/>
    <w:rsid w:val="0B712DEB"/>
    <w:rsid w:val="17F4277E"/>
    <w:rsid w:val="39061F35"/>
    <w:rsid w:val="4F714FA1"/>
    <w:rsid w:val="61606005"/>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autoRedefine/>
    <w:qFormat/>
    <w:uiPriority w:val="0"/>
    <w:pPr>
      <w:keepNext/>
      <w:numPr>
        <w:ilvl w:val="3"/>
        <w:numId w:val="1"/>
      </w:numPr>
      <w:spacing w:before="240" w:after="60"/>
      <w:outlineLvl w:val="3"/>
    </w:pPr>
    <w:rPr>
      <w:b/>
      <w:bCs/>
      <w:szCs w:val="28"/>
    </w:rPr>
  </w:style>
  <w:style w:type="paragraph" w:styleId="7">
    <w:name w:val="heading 5"/>
    <w:basedOn w:val="1"/>
    <w:next w:val="1"/>
    <w:link w:val="38"/>
    <w:autoRedefine/>
    <w:qFormat/>
    <w:uiPriority w:val="0"/>
    <w:pPr>
      <w:numPr>
        <w:ilvl w:val="4"/>
        <w:numId w:val="1"/>
      </w:numPr>
      <w:spacing w:before="240" w:after="60"/>
      <w:outlineLvl w:val="4"/>
    </w:pPr>
    <w:rPr>
      <w:b/>
      <w:bCs/>
      <w:iCs/>
      <w:szCs w:val="26"/>
    </w:rPr>
  </w:style>
  <w:style w:type="paragraph" w:styleId="8">
    <w:name w:val="heading 6"/>
    <w:basedOn w:val="1"/>
    <w:next w:val="1"/>
    <w:link w:val="39"/>
    <w:autoRedefine/>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autoRedefine/>
    <w:qFormat/>
    <w:uiPriority w:val="0"/>
    <w:pPr>
      <w:numPr>
        <w:ilvl w:val="7"/>
        <w:numId w:val="1"/>
      </w:numPr>
      <w:spacing w:before="240" w:after="60"/>
      <w:outlineLvl w:val="7"/>
    </w:pPr>
    <w:rPr>
      <w:i/>
      <w:iCs/>
      <w:sz w:val="24"/>
      <w:szCs w:val="24"/>
    </w:rPr>
  </w:style>
  <w:style w:type="paragraph" w:styleId="11">
    <w:name w:val="heading 9"/>
    <w:basedOn w:val="1"/>
    <w:next w:val="1"/>
    <w:link w:val="42"/>
    <w:autoRedefine/>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autoRedefine/>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autoRedefine/>
    <w:unhideWhenUsed/>
    <w:qFormat/>
    <w:uiPriority w:val="0"/>
    <w:rPr>
      <w:rFonts w:ascii="Cambria" w:hAnsi="Cambria" w:eastAsia="黑体"/>
      <w:sz w:val="20"/>
    </w:rPr>
  </w:style>
  <w:style w:type="paragraph" w:styleId="14">
    <w:name w:val="Document Map"/>
    <w:basedOn w:val="1"/>
    <w:link w:val="44"/>
    <w:autoRedefine/>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autoRedefine/>
    <w:qFormat/>
    <w:uiPriority w:val="0"/>
    <w:pPr>
      <w:spacing w:line="240" w:lineRule="auto"/>
    </w:pPr>
    <w:rPr>
      <w:sz w:val="18"/>
      <w:szCs w:val="18"/>
    </w:rPr>
  </w:style>
  <w:style w:type="paragraph" w:styleId="17">
    <w:name w:val="footer"/>
    <w:basedOn w:val="1"/>
    <w:link w:val="29"/>
    <w:autoRedefine/>
    <w:qFormat/>
    <w:uiPriority w:val="99"/>
    <w:pPr>
      <w:tabs>
        <w:tab w:val="center" w:pos="4153"/>
        <w:tab w:val="right" w:pos="8306"/>
      </w:tabs>
      <w:snapToGrid w:val="0"/>
    </w:pPr>
    <w:rPr>
      <w:szCs w:val="18"/>
    </w:rPr>
  </w:style>
  <w:style w:type="paragraph" w:styleId="18">
    <w:name w:val="header"/>
    <w:basedOn w:val="1"/>
    <w:link w:val="43"/>
    <w:autoRedefine/>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autoRedefine/>
    <w:unhideWhenUsed/>
    <w:qFormat/>
    <w:uiPriority w:val="99"/>
    <w:rPr>
      <w:color w:val="800080"/>
      <w:u w:val="single"/>
    </w:rPr>
  </w:style>
  <w:style w:type="character" w:styleId="25">
    <w:name w:val="Emphasis"/>
    <w:autoRedefine/>
    <w:qFormat/>
    <w:uiPriority w:val="20"/>
    <w:rPr>
      <w:color w:val="CC0000"/>
    </w:rPr>
  </w:style>
  <w:style w:type="character" w:styleId="26">
    <w:name w:val="Hyperlink"/>
    <w:autoRedefine/>
    <w:qFormat/>
    <w:uiPriority w:val="99"/>
    <w:rPr>
      <w:color w:val="0000FF"/>
      <w:u w:val="single"/>
    </w:rPr>
  </w:style>
  <w:style w:type="character" w:customStyle="1" w:styleId="27">
    <w:name w:val="标题 1 Char"/>
    <w:link w:val="2"/>
    <w:autoRedefine/>
    <w:qFormat/>
    <w:uiPriority w:val="0"/>
    <w:rPr>
      <w:b/>
      <w:bCs/>
      <w:kern w:val="32"/>
      <w:sz w:val="28"/>
      <w:szCs w:val="28"/>
    </w:rPr>
  </w:style>
  <w:style w:type="character" w:customStyle="1" w:styleId="28">
    <w:name w:val="标题 2 Char"/>
    <w:link w:val="4"/>
    <w:autoRedefine/>
    <w:qFormat/>
    <w:uiPriority w:val="0"/>
    <w:rPr>
      <w:rFonts w:ascii="宋体" w:cs="Arial"/>
      <w:b/>
      <w:bCs/>
      <w:iCs/>
      <w:color w:val="000000"/>
      <w:sz w:val="24"/>
      <w:szCs w:val="24"/>
    </w:rPr>
  </w:style>
  <w:style w:type="character" w:customStyle="1" w:styleId="29">
    <w:name w:val="页脚 Char"/>
    <w:link w:val="17"/>
    <w:autoRedefine/>
    <w:qFormat/>
    <w:uiPriority w:val="99"/>
    <w:rPr>
      <w:sz w:val="21"/>
      <w:szCs w:val="18"/>
      <w:lang w:val="en-GB"/>
    </w:rPr>
  </w:style>
  <w:style w:type="paragraph" w:customStyle="1" w:styleId="30">
    <w:name w:val="lj正文"/>
    <w:autoRedefine/>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autoRedefine/>
    <w:qFormat/>
    <w:uiPriority w:val="0"/>
    <w:rPr>
      <w:rFonts w:ascii="宋体"/>
      <w:sz w:val="21"/>
    </w:rPr>
  </w:style>
  <w:style w:type="paragraph" w:styleId="32">
    <w:name w:val="List Paragraph"/>
    <w:basedOn w:val="1"/>
    <w:autoRedefine/>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autoRedefine/>
    <w:qFormat/>
    <w:uiPriority w:val="0"/>
    <w:rPr>
      <w:rFonts w:ascii="宋体" w:hAnsi="宋体" w:cs="Arial"/>
      <w:b/>
      <w:bCs/>
      <w:sz w:val="21"/>
      <w:szCs w:val="21"/>
    </w:rPr>
  </w:style>
  <w:style w:type="character" w:customStyle="1" w:styleId="34">
    <w:name w:val="批注框文本 Char"/>
    <w:link w:val="16"/>
    <w:autoRedefine/>
    <w:qFormat/>
    <w:uiPriority w:val="0"/>
    <w:rPr>
      <w:sz w:val="18"/>
      <w:szCs w:val="18"/>
      <w:lang w:val="en-GB"/>
    </w:rPr>
  </w:style>
  <w:style w:type="character" w:styleId="35">
    <w:name w:val="Placeholder Text"/>
    <w:autoRedefine/>
    <w:semiHidden/>
    <w:qFormat/>
    <w:uiPriority w:val="99"/>
    <w:rPr>
      <w:color w:val="808080"/>
    </w:rPr>
  </w:style>
  <w:style w:type="paragraph" w:styleId="36">
    <w:name w:val="No Spacing"/>
    <w:autoRedefine/>
    <w:qFormat/>
    <w:uiPriority w:val="1"/>
    <w:rPr>
      <w:rFonts w:ascii="Times New Roman" w:hAnsi="Times New Roman" w:eastAsia="宋体" w:cs="Times New Roman"/>
      <w:sz w:val="21"/>
      <w:lang w:val="en-GB" w:eastAsia="zh-CN" w:bidi="ar-SA"/>
    </w:rPr>
  </w:style>
  <w:style w:type="character" w:customStyle="1" w:styleId="37">
    <w:name w:val="标题 4 Char"/>
    <w:link w:val="6"/>
    <w:autoRedefine/>
    <w:qFormat/>
    <w:uiPriority w:val="0"/>
    <w:rPr>
      <w:b/>
      <w:bCs/>
      <w:sz w:val="21"/>
      <w:szCs w:val="28"/>
      <w:lang w:val="en-GB"/>
    </w:rPr>
  </w:style>
  <w:style w:type="character" w:customStyle="1" w:styleId="38">
    <w:name w:val="标题 5 Char"/>
    <w:link w:val="7"/>
    <w:autoRedefine/>
    <w:qFormat/>
    <w:uiPriority w:val="0"/>
    <w:rPr>
      <w:b/>
      <w:bCs/>
      <w:iCs/>
      <w:sz w:val="21"/>
      <w:szCs w:val="26"/>
      <w:lang w:val="en-GB"/>
    </w:rPr>
  </w:style>
  <w:style w:type="character" w:customStyle="1" w:styleId="39">
    <w:name w:val="标题 6 Char"/>
    <w:link w:val="8"/>
    <w:autoRedefine/>
    <w:qFormat/>
    <w:uiPriority w:val="0"/>
    <w:rPr>
      <w:b/>
      <w:bCs/>
      <w:sz w:val="21"/>
      <w:szCs w:val="22"/>
      <w:lang w:val="en-GB"/>
    </w:rPr>
  </w:style>
  <w:style w:type="character" w:customStyle="1" w:styleId="40">
    <w:name w:val="标题 7 Char"/>
    <w:link w:val="9"/>
    <w:autoRedefine/>
    <w:qFormat/>
    <w:uiPriority w:val="0"/>
    <w:rPr>
      <w:sz w:val="24"/>
      <w:szCs w:val="24"/>
      <w:lang w:val="en-GB"/>
    </w:rPr>
  </w:style>
  <w:style w:type="character" w:customStyle="1" w:styleId="41">
    <w:name w:val="标题 8 Char"/>
    <w:link w:val="10"/>
    <w:autoRedefine/>
    <w:qFormat/>
    <w:uiPriority w:val="0"/>
    <w:rPr>
      <w:i/>
      <w:iCs/>
      <w:sz w:val="24"/>
      <w:szCs w:val="24"/>
      <w:lang w:val="en-GB"/>
    </w:rPr>
  </w:style>
  <w:style w:type="character" w:customStyle="1" w:styleId="42">
    <w:name w:val="标题 9 Char"/>
    <w:link w:val="11"/>
    <w:autoRedefine/>
    <w:qFormat/>
    <w:uiPriority w:val="0"/>
    <w:rPr>
      <w:rFonts w:ascii="Arial" w:hAnsi="Arial" w:cs="Arial"/>
      <w:sz w:val="22"/>
      <w:szCs w:val="22"/>
      <w:lang w:val="en-GB"/>
    </w:rPr>
  </w:style>
  <w:style w:type="character" w:customStyle="1" w:styleId="43">
    <w:name w:val="页眉 Char"/>
    <w:link w:val="18"/>
    <w:autoRedefine/>
    <w:qFormat/>
    <w:uiPriority w:val="0"/>
    <w:rPr>
      <w:sz w:val="21"/>
      <w:szCs w:val="18"/>
      <w:lang w:val="en-GB"/>
    </w:rPr>
  </w:style>
  <w:style w:type="character" w:customStyle="1" w:styleId="44">
    <w:name w:val="文档结构图 Char"/>
    <w:link w:val="14"/>
    <w:autoRedefine/>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3" Type="http://schemas.openxmlformats.org/officeDocument/2006/relationships/fontTable" Target="fontTable.xml"/><Relationship Id="rId82" Type="http://schemas.openxmlformats.org/officeDocument/2006/relationships/customXml" Target="../customXml/item1.xml"/><Relationship Id="rId81" Type="http://schemas.openxmlformats.org/officeDocument/2006/relationships/numbering" Target="numbering.xml"/><Relationship Id="rId80" Type="http://schemas.openxmlformats.org/officeDocument/2006/relationships/image" Target="media/image66.png"/><Relationship Id="rId8" Type="http://schemas.openxmlformats.org/officeDocument/2006/relationships/theme" Target="theme/theme1.xml"/><Relationship Id="rId79" Type="http://schemas.openxmlformats.org/officeDocument/2006/relationships/image" Target="media/image65.png"/><Relationship Id="rId78" Type="http://schemas.openxmlformats.org/officeDocument/2006/relationships/image" Target="media/image64.png"/><Relationship Id="rId77" Type="http://schemas.openxmlformats.org/officeDocument/2006/relationships/image" Target="media/image63.png"/><Relationship Id="rId76" Type="http://schemas.openxmlformats.org/officeDocument/2006/relationships/image" Target="media/image62.png"/><Relationship Id="rId75" Type="http://schemas.openxmlformats.org/officeDocument/2006/relationships/image" Target="media/image61.png"/><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wmf"/><Relationship Id="rId7" Type="http://schemas.openxmlformats.org/officeDocument/2006/relationships/footer" Target="footer2.xml"/><Relationship Id="rId69" Type="http://schemas.openxmlformats.org/officeDocument/2006/relationships/oleObject" Target="embeddings/oleObject7.bin"/><Relationship Id="rId68" Type="http://schemas.openxmlformats.org/officeDocument/2006/relationships/image" Target="media/image55.wmf"/><Relationship Id="rId67" Type="http://schemas.openxmlformats.org/officeDocument/2006/relationships/oleObject" Target="embeddings/oleObject6.bin"/><Relationship Id="rId66" Type="http://schemas.openxmlformats.org/officeDocument/2006/relationships/image" Target="media/image54.wmf"/><Relationship Id="rId65" Type="http://schemas.openxmlformats.org/officeDocument/2006/relationships/oleObject" Target="embeddings/oleObject5.bin"/><Relationship Id="rId64" Type="http://schemas.openxmlformats.org/officeDocument/2006/relationships/image" Target="media/image53.wmf"/><Relationship Id="rId63" Type="http://schemas.openxmlformats.org/officeDocument/2006/relationships/oleObject" Target="embeddings/oleObject4.bin"/><Relationship Id="rId62" Type="http://schemas.openxmlformats.org/officeDocument/2006/relationships/image" Target="media/image52.wmf"/><Relationship Id="rId61" Type="http://schemas.openxmlformats.org/officeDocument/2006/relationships/image" Target="media/image51.wmf"/><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png"/><Relationship Id="rId22" Type="http://schemas.openxmlformats.org/officeDocument/2006/relationships/image" Target="media/image12.wmf"/><Relationship Id="rId21" Type="http://schemas.openxmlformats.org/officeDocument/2006/relationships/oleObject" Target="embeddings/oleObject3.bin"/><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10.wmf"/><Relationship Id="rId17" Type="http://schemas.openxmlformats.org/officeDocument/2006/relationships/oleObject" Target="embeddings/oleObject1.bin"/><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F7C79-48D5-400F-831B-7C1B4FFE6E8B}">
  <ds:schemaRefs/>
</ds:datastoreItem>
</file>

<file path=docProps/app.xml><?xml version="1.0" encoding="utf-8"?>
<Properties xmlns="http://schemas.openxmlformats.org/officeDocument/2006/extended-properties" xmlns:vt="http://schemas.openxmlformats.org/officeDocument/2006/docPropsVTypes">
  <Template>国标2019室外风环境模拟分析报告.dotx</Template>
  <Company>ths</Company>
  <Pages>12</Pages>
  <Words>855</Words>
  <Characters>4878</Characters>
  <Lines>40</Lines>
  <Paragraphs>11</Paragraphs>
  <TotalTime>227</TotalTime>
  <ScaleCrop>false</ScaleCrop>
  <LinksUpToDate>false</LinksUpToDate>
  <CharactersWithSpaces>5722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2021-01-26T08:44:00Z</dcterms:created>
  <dc:creator>sware</dc:creator>
  <cp:lastModifiedBy>倪彬程</cp:lastModifiedBy>
  <cp:lastPrinted>1900-12-31T16:00:00Z</cp:lastPrinted>
  <dcterms:modified xsi:type="dcterms:W3CDTF">2024-03-07T07:15:19Z</dcterms:modified>
  <dc:title>室外风环境模拟分析报告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A88F7D3B88CB42F3823868D1BA96A067_12</vt:lpwstr>
  </property>
</Properties>
</file>