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p>
    <w:p>
      <w:pPr>
        <w:jc w:val="center"/>
      </w:pPr>
    </w:p>
    <w:p>
      <w:pPr>
        <w:jc w:val="center"/>
      </w:pPr>
    </w:p>
    <w:p>
      <w:pPr>
        <w:jc w:val="center"/>
      </w:pP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13"/>
        <w:gridCol w:w="1924"/>
        <w:gridCol w:w="1899"/>
        <w:gridCol w:w="18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00" w:type="dxa"/>
            <w:vAlign w:val="center"/>
          </w:tcPr>
          <w:p>
            <w:pPr>
              <w:spacing w:before="200" w:after="200"/>
              <w:jc w:val="left"/>
            </w:pPr>
            <w:r>
              <w:rPr>
                <w:rFonts w:hint="eastAsia" w:ascii="宋体" w:hAnsi="宋体"/>
                <w:bCs/>
                <w:color w:val="000000"/>
                <w:sz w:val="30"/>
                <w:szCs w:val="30"/>
              </w:rPr>
              <w:t>申报项目名称：</w:t>
            </w:r>
          </w:p>
        </w:tc>
        <w:tc>
          <w:tcPr>
            <w:tcW w:w="2000" w:type="dxa"/>
            <w:gridSpan w:val="3"/>
            <w:vAlign w:val="center"/>
          </w:tcPr>
          <w:p>
            <w:pPr>
              <w:spacing w:before="200" w:after="200"/>
              <w:jc w:val="left"/>
            </w:pPr>
            <w:r>
              <w:rPr>
                <w:rFonts w:hint="eastAsia" w:ascii="宋体" w:hAnsi="宋体"/>
                <w:bCs/>
                <w:color w:val="000000"/>
                <w:sz w:val="30"/>
                <w:szCs w:val="30"/>
              </w:rPr>
              <w:t>木·源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00" w:type="dxa"/>
            <w:vAlign w:val="center"/>
          </w:tcPr>
          <w:p>
            <w:pPr>
              <w:spacing w:before="200" w:after="200"/>
              <w:jc w:val="left"/>
            </w:pPr>
            <w:r>
              <w:rPr>
                <w:rFonts w:hint="eastAsia" w:ascii="宋体" w:hAnsi="宋体"/>
                <w:bCs/>
                <w:color w:val="000000"/>
                <w:sz w:val="30"/>
                <w:szCs w:val="30"/>
              </w:rPr>
              <w:t>申报单位名称：</w:t>
            </w:r>
          </w:p>
        </w:tc>
        <w:tc>
          <w:tcPr>
            <w:tcW w:w="2000" w:type="dxa"/>
            <w:gridSpan w:val="3"/>
            <w:vAlign w:val="center"/>
          </w:tcPr>
          <w:p>
            <w:pPr>
              <w:spacing w:before="200" w:after="200"/>
              <w:jc w:val="lef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00" w:type="dxa"/>
            <w:vAlign w:val="center"/>
          </w:tcPr>
          <w:p>
            <w:pPr>
              <w:spacing w:before="200" w:after="200"/>
              <w:jc w:val="left"/>
            </w:pPr>
            <w:r>
              <w:rPr>
                <w:rFonts w:hint="eastAsia" w:ascii="宋体" w:hAnsi="宋体"/>
                <w:bCs/>
                <w:color w:val="000000"/>
                <w:sz w:val="30"/>
                <w:szCs w:val="30"/>
              </w:rPr>
              <w:t>建筑类型：</w:t>
            </w:r>
          </w:p>
        </w:tc>
        <w:tc>
          <w:tcPr>
            <w:tcW w:w="2000" w:type="dxa"/>
            <w:gridSpan w:val="3"/>
            <w:vAlign w:val="center"/>
          </w:tcPr>
          <w:p>
            <w:pPr>
              <w:spacing w:before="200" w:after="200"/>
              <w:jc w:val="left"/>
            </w:pPr>
            <w:r>
              <w:rPr>
                <w:rFonts w:hint="eastAsia" w:ascii="宋体" w:hAnsi="宋体"/>
                <w:bCs/>
                <w:color w:val="000000"/>
                <w:sz w:val="30"/>
                <w:szCs w:val="30"/>
              </w:rPr>
              <w:t>公共建筑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00" w:type="dxa"/>
            <w:vAlign w:val="center"/>
          </w:tcPr>
          <w:p>
            <w:pPr>
              <w:spacing w:before="200" w:after="200"/>
              <w:jc w:val="left"/>
            </w:pPr>
            <w:r>
              <w:rPr>
                <w:rFonts w:hint="eastAsia" w:ascii="宋体" w:hAnsi="宋体"/>
                <w:bCs/>
                <w:color w:val="000000"/>
                <w:sz w:val="30"/>
                <w:szCs w:val="30"/>
              </w:rPr>
              <w:t>自评星级：</w:t>
            </w:r>
          </w:p>
        </w:tc>
        <w:tc>
          <w:tcPr>
            <w:tcW w:w="2000" w:type="dxa"/>
            <w:vAlign w:val="center"/>
          </w:tcPr>
          <w:p>
            <w:pPr>
              <w:spacing w:before="200" w:after="200"/>
              <w:jc w:val="left"/>
            </w:pPr>
            <w:r>
              <w:rPr>
                <w:rFonts w:hint="eastAsia" w:ascii="宋体" w:hAnsi="宋体"/>
                <w:bCs/>
                <w:color w:val="000000"/>
                <w:sz w:val="30"/>
                <w:szCs w:val="30"/>
              </w:rPr>
              <w:t>★★★</w:t>
            </w:r>
          </w:p>
        </w:tc>
        <w:tc>
          <w:tcPr>
            <w:tcW w:w="2000" w:type="dxa"/>
            <w:vAlign w:val="center"/>
          </w:tcPr>
          <w:p>
            <w:pPr>
              <w:spacing w:before="200" w:after="200"/>
              <w:jc w:val="left"/>
            </w:pPr>
            <w:r>
              <w:rPr>
                <w:rFonts w:hint="eastAsia" w:ascii="宋体" w:hAnsi="宋体"/>
                <w:bCs/>
                <w:color w:val="000000"/>
                <w:sz w:val="30"/>
                <w:szCs w:val="30"/>
              </w:rPr>
              <w:t>分数：</w:t>
            </w:r>
          </w:p>
        </w:tc>
        <w:tc>
          <w:tcPr>
            <w:tcW w:w="2000" w:type="dxa"/>
            <w:vAlign w:val="center"/>
          </w:tcPr>
          <w:p>
            <w:pPr>
              <w:spacing w:before="200" w:after="200"/>
              <w:jc w:val="left"/>
            </w:pPr>
            <w:r>
              <w:rPr>
                <w:rFonts w:hint="eastAsia" w:ascii="宋体" w:hAnsi="宋体"/>
                <w:bCs/>
                <w:color w:val="000000"/>
                <w:sz w:val="30"/>
                <w:szCs w:val="3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00" w:type="dxa"/>
            <w:vAlign w:val="center"/>
          </w:tcPr>
          <w:p>
            <w:pPr>
              <w:spacing w:before="200" w:after="200"/>
              <w:jc w:val="left"/>
            </w:pPr>
            <w:r>
              <w:rPr>
                <w:rFonts w:hint="eastAsia" w:ascii="宋体" w:hAnsi="宋体"/>
                <w:bCs/>
                <w:color w:val="000000"/>
                <w:sz w:val="30"/>
                <w:szCs w:val="30"/>
              </w:rPr>
              <w:t>自评依据：</w:t>
            </w:r>
          </w:p>
        </w:tc>
        <w:tc>
          <w:tcPr>
            <w:tcW w:w="2000" w:type="dxa"/>
            <w:gridSpan w:val="3"/>
            <w:vAlign w:val="center"/>
          </w:tcPr>
          <w:p>
            <w:pPr>
              <w:spacing w:before="200" w:after="200"/>
              <w:jc w:val="left"/>
            </w:pPr>
            <w:r>
              <w:rPr>
                <w:rFonts w:hint="eastAsia" w:ascii="宋体" w:hAnsi="宋体"/>
                <w:bCs/>
                <w:color w:val="000000"/>
                <w:sz w:val="30"/>
                <w:szCs w:val="30"/>
              </w:rPr>
              <w:t>《绿色建筑评价标准》GB/T 50378-2019</w:t>
            </w: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p>
      <w:pPr>
        <w:jc w:val="center"/>
      </w:pPr>
    </w:p>
    <w:p>
      <w:pPr>
        <w:jc w:val="center"/>
      </w:pP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w:t>
      </w:r>
      <w:r>
        <w:rPr>
          <w:rFonts w:hint="eastAsia" w:ascii="宋体" w:hAnsi="宋体"/>
          <w:bCs/>
          <w:color w:val="000000"/>
          <w:sz w:val="30"/>
          <w:szCs w:val="30"/>
        </w:rPr>
        <w:tab/>
        <w:t>本报告用于申请绿色建筑设计评价标识，由申报单位填写；</w:t>
      </w:r>
    </w:p>
    <w:p>
      <w:pPr>
        <w:jc w:val="left"/>
      </w:pPr>
      <w:r>
        <w:rPr>
          <w:rFonts w:hint="eastAsia" w:ascii="宋体" w:hAnsi="宋体"/>
          <w:bCs/>
          <w:color w:val="000000"/>
          <w:sz w:val="30"/>
          <w:szCs w:val="30"/>
        </w:rPr>
        <w:t>2、</w:t>
      </w:r>
      <w:r>
        <w:rPr>
          <w:rFonts w:hint="eastAsia" w:ascii="宋体" w:hAnsi="宋体"/>
          <w:bCs/>
          <w:color w:val="000000"/>
          <w:sz w:val="30"/>
          <w:szCs w:val="30"/>
        </w:rPr>
        <w:tab/>
        <w:t xml:space="preserve">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w:t>
      </w:r>
      <w:r>
        <w:rPr>
          <w:rFonts w:hint="eastAsia" w:ascii="宋体" w:hAnsi="宋体"/>
          <w:bCs/>
          <w:color w:val="000000"/>
          <w:sz w:val="30"/>
          <w:szCs w:val="30"/>
        </w:rPr>
        <w:tab/>
        <w:t>“实际提交材料”中列表填写对应条文实际提交的材料的全称、查阅路径；</w:t>
      </w:r>
    </w:p>
    <w:p>
      <w:pPr>
        <w:jc w:val="left"/>
      </w:pPr>
      <w:r>
        <w:rPr>
          <w:rFonts w:hint="eastAsia" w:ascii="宋体" w:hAnsi="宋体"/>
          <w:bCs/>
          <w:color w:val="000000"/>
          <w:sz w:val="30"/>
          <w:szCs w:val="30"/>
        </w:rPr>
        <w:t>4、</w:t>
      </w:r>
      <w:r>
        <w:rPr>
          <w:rFonts w:hint="eastAsia" w:ascii="宋体" w:hAnsi="宋体"/>
          <w:bCs/>
          <w:color w:val="000000"/>
          <w:sz w:val="30"/>
          <w:szCs w:val="30"/>
        </w:rPr>
        <w:tab/>
        <w:t>填写本报告时，可进行编辑性修改，但不应自行删除技术内容和要求。</w:t>
      </w:r>
    </w:p>
    <w:p>
      <w:pPr>
        <w:jc w:val="left"/>
      </w:pPr>
    </w:p>
    <w:p>
      <w:pPr>
        <w:jc w:val="left"/>
      </w:pPr>
    </w:p>
    <w:p>
      <w:pPr>
        <w:jc w:val="left"/>
      </w:pPr>
    </w:p>
    <w:p>
      <w:pPr>
        <w:jc w:val="left"/>
      </w:pPr>
    </w:p>
    <w:p/>
    <w:p>
      <w:pPr>
        <w:jc w:val="center"/>
      </w:pP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4"/>
        <w:gridCol w:w="1019"/>
        <w:gridCol w:w="190"/>
        <w:gridCol w:w="831"/>
        <w:gridCol w:w="864"/>
        <w:gridCol w:w="60"/>
        <w:gridCol w:w="1528"/>
        <w:gridCol w:w="1528"/>
        <w:gridCol w:w="15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0" w:type="dxa"/>
            <w:gridSpan w:val="3"/>
            <w:shd w:val="clear" w:color="auto" w:fill="D9D9D9"/>
            <w:vAlign w:val="center"/>
          </w:tcPr>
          <w:p>
            <w:pPr>
              <w:spacing w:before="0" w:after="3"/>
              <w:jc w:val="center"/>
            </w:pPr>
            <w:r>
              <w:rPr>
                <w:rFonts w:hint="eastAsia" w:ascii="宋体" w:hAnsi="宋体"/>
                <w:bCs/>
                <w:color w:val="000000"/>
                <w:sz w:val="22"/>
                <w:szCs w:val="22"/>
              </w:rPr>
              <w:t>-</w:t>
            </w:r>
          </w:p>
        </w:tc>
        <w:tc>
          <w:tcPr>
            <w:tcW w:w="2300" w:type="dxa"/>
            <w:gridSpan w:val="3"/>
            <w:shd w:val="clear" w:color="auto" w:fill="D9D9D9"/>
            <w:vAlign w:val="center"/>
          </w:tcPr>
          <w:p>
            <w:pPr>
              <w:spacing w:before="0" w:after="3"/>
              <w:jc w:val="center"/>
            </w:pPr>
            <w:r>
              <w:rPr>
                <w:rFonts w:hint="eastAsia" w:ascii="宋体" w:hAnsi="宋体"/>
                <w:bCs/>
                <w:color w:val="000000"/>
                <w:sz w:val="22"/>
                <w:szCs w:val="22"/>
              </w:rPr>
              <w:t>一星级</w:t>
            </w:r>
          </w:p>
        </w:tc>
        <w:tc>
          <w:tcPr>
            <w:tcW w:w="2300" w:type="dxa"/>
            <w:shd w:val="clear" w:color="auto" w:fill="D9D9D9"/>
            <w:vAlign w:val="center"/>
          </w:tcPr>
          <w:p>
            <w:pPr>
              <w:spacing w:before="0" w:after="3"/>
              <w:jc w:val="center"/>
            </w:pPr>
            <w:r>
              <w:rPr>
                <w:rFonts w:hint="eastAsia" w:ascii="宋体" w:hAnsi="宋体"/>
                <w:bCs/>
                <w:color w:val="000000"/>
                <w:sz w:val="22"/>
                <w:szCs w:val="22"/>
              </w:rPr>
              <w:t>二星级</w:t>
            </w:r>
          </w:p>
        </w:tc>
        <w:tc>
          <w:tcPr>
            <w:tcW w:w="2300" w:type="dxa"/>
            <w:shd w:val="clear" w:color="auto" w:fill="D9D9D9"/>
            <w:vAlign w:val="center"/>
          </w:tcPr>
          <w:p>
            <w:pPr>
              <w:spacing w:before="0" w:after="3"/>
              <w:jc w:val="center"/>
            </w:pPr>
            <w:r>
              <w:rPr>
                <w:rFonts w:hint="eastAsia" w:ascii="宋体" w:hAnsi="宋体"/>
                <w:bCs/>
                <w:color w:val="000000"/>
                <w:sz w:val="22"/>
                <w:szCs w:val="22"/>
              </w:rPr>
              <w:t>三星级</w:t>
            </w:r>
          </w:p>
        </w:tc>
        <w:tc>
          <w:tcPr>
            <w:tcW w:w="2300" w:type="dxa"/>
            <w:shd w:val="clear" w:color="auto" w:fill="D9D9D9"/>
            <w:vAlign w:val="center"/>
          </w:tcPr>
          <w:p>
            <w:pPr>
              <w:spacing w:before="0" w:after="3"/>
              <w:jc w:val="center"/>
            </w:pPr>
            <w:r>
              <w:rPr>
                <w:rFonts w:hint="eastAsia" w:ascii="宋体" w:hAnsi="宋体"/>
                <w:bCs/>
                <w:color w:val="000000"/>
                <w:sz w:val="22"/>
                <w:szCs w:val="22"/>
              </w:rPr>
              <w:t>自评情况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0" w:type="dxa"/>
            <w:gridSpan w:val="3"/>
            <w:shd w:val="clear" w:color="auto" w:fill="D9D9D9"/>
            <w:vAlign w:val="center"/>
          </w:tcPr>
          <w:p>
            <w:pPr>
              <w:spacing w:before="0" w:after="3"/>
              <w:jc w:val="center"/>
            </w:pPr>
            <w:r>
              <w:rPr>
                <w:rFonts w:hint="eastAsia" w:ascii="宋体" w:hAnsi="宋体"/>
                <w:bCs/>
                <w:color w:val="000000"/>
                <w:sz w:val="22"/>
                <w:szCs w:val="22"/>
              </w:rPr>
              <w:t>采用全装修</w:t>
            </w:r>
          </w:p>
        </w:tc>
        <w:tc>
          <w:tcPr>
            <w:tcW w:w="2300" w:type="dxa"/>
            <w:gridSpan w:val="5"/>
            <w:vAlign w:val="center"/>
          </w:tcPr>
          <w:p>
            <w:pPr>
              <w:spacing w:before="0" w:after="3"/>
              <w:jc w:val="center"/>
            </w:pPr>
            <w:r>
              <w:rPr>
                <w:rFonts w:hint="eastAsia" w:ascii="宋体" w:hAnsi="宋体"/>
                <w:bCs/>
                <w:color w:val="000000"/>
                <w:sz w:val="22"/>
                <w:szCs w:val="22"/>
              </w:rPr>
              <w:t>一星级、二星级、三星级3个等级的绿色建筑均应进行全装修</w:t>
            </w:r>
          </w:p>
        </w:tc>
        <w:tc>
          <w:tcPr>
            <w:tcW w:w="2300" w:type="dxa"/>
            <w:vAlign w:val="center"/>
          </w:tcPr>
          <w:p>
            <w:pPr>
              <w:spacing w:before="0" w:after="3"/>
              <w:jc w:val="center"/>
            </w:pPr>
            <w:r>
              <w:rPr>
                <w:rFonts w:hint="eastAsia" w:ascii="宋体" w:hAnsi="宋体"/>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4"/>
          <w:jc w:val="center"/>
        </w:trPr>
        <w:tc>
          <w:tcPr>
            <w:tcW w:w="1" w:type="dxa"/>
            <w:gridSpan w:val="0"/>
            <w:shd w:val="clear" w:color="auto" w:fill="D9D9D9"/>
            <w:vAlign w:val="center"/>
          </w:tcPr>
          <w:p>
            <w:pPr>
              <w:spacing w:before="0" w:after="3"/>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jc w:val="center"/>
            </w:pPr>
            <w:r>
              <w:rPr>
                <w:rFonts w:hint="eastAsia" w:ascii="宋体" w:hAnsi="宋体"/>
                <w:bCs/>
                <w:color w:val="000000"/>
                <w:sz w:val="22"/>
                <w:szCs w:val="22"/>
              </w:rPr>
              <w:t>围护结构提高5%，或负荷降低5%</w:t>
            </w:r>
          </w:p>
        </w:tc>
        <w:tc>
          <w:tcPr>
            <w:tcW w:w="1200" w:type="dxa"/>
            <w:vAlign w:val="center"/>
          </w:tcPr>
          <w:p>
            <w:pPr>
              <w:spacing w:before="0" w:after="3"/>
              <w:jc w:val="center"/>
            </w:pPr>
            <w:r>
              <w:rPr>
                <w:rFonts w:hint="eastAsia" w:ascii="宋体" w:hAnsi="宋体"/>
                <w:bCs/>
                <w:color w:val="000000"/>
                <w:sz w:val="22"/>
                <w:szCs w:val="22"/>
              </w:rPr>
              <w:t>围护结构提高10%，或负荷降低10%</w:t>
            </w:r>
          </w:p>
        </w:tc>
        <w:tc>
          <w:tcPr>
            <w:tcW w:w="1200" w:type="dxa"/>
            <w:gridSpan w:val="2"/>
            <w:vAlign w:val="center"/>
          </w:tcPr>
          <w:p>
            <w:pPr>
              <w:spacing w:before="0" w:after="3"/>
              <w:jc w:val="center"/>
            </w:pPr>
            <w:r>
              <w:rPr>
                <w:rFonts w:hint="eastAsia" w:ascii="宋体" w:hAnsi="宋体"/>
                <w:bCs/>
                <w:color w:val="000000"/>
                <w:sz w:val="22"/>
                <w:szCs w:val="22"/>
              </w:rPr>
              <w:t>围护结构提高20%，或负荷降低15%</w:t>
            </w:r>
          </w:p>
        </w:tc>
        <w:tc>
          <w:tcPr>
            <w:tcW w:w="1200" w:type="dxa"/>
            <w:vAlign w:val="center"/>
          </w:tcPr>
          <w:p>
            <w:pPr>
              <w:spacing w:before="0" w:after="3"/>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4"/>
          <w:jc w:val="center"/>
        </w:trPr>
        <w:tc>
          <w:tcPr>
            <w:tcW w:w="1" w:type="dxa"/>
            <w:gridSpan w:val="0"/>
            <w:shd w:val="clear" w:color="auto" w:fill="D9D9D9"/>
            <w:vAlign w:val="center"/>
          </w:tcPr>
          <w:p>
            <w:pPr>
              <w:spacing w:before="0" w:after="3"/>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jc w:val="center"/>
            </w:pPr>
            <w:r>
              <w:rPr>
                <w:rFonts w:hint="eastAsia" w:ascii="宋体" w:hAnsi="宋体"/>
                <w:bCs/>
                <w:color w:val="000000"/>
                <w:sz w:val="22"/>
                <w:szCs w:val="22"/>
              </w:rPr>
              <w:t>5%</w:t>
            </w:r>
          </w:p>
        </w:tc>
        <w:tc>
          <w:tcPr>
            <w:tcW w:w="1200" w:type="dxa"/>
            <w:vAlign w:val="center"/>
          </w:tcPr>
          <w:p>
            <w:pPr>
              <w:spacing w:before="0" w:after="3"/>
              <w:jc w:val="center"/>
            </w:pPr>
            <w:r>
              <w:rPr>
                <w:rFonts w:hint="eastAsia" w:ascii="宋体" w:hAnsi="宋体"/>
                <w:bCs/>
                <w:color w:val="000000"/>
                <w:sz w:val="22"/>
                <w:szCs w:val="22"/>
              </w:rPr>
              <w:t>10%</w:t>
            </w:r>
          </w:p>
        </w:tc>
        <w:tc>
          <w:tcPr>
            <w:tcW w:w="1200" w:type="dxa"/>
            <w:gridSpan w:val="2"/>
            <w:vAlign w:val="center"/>
          </w:tcPr>
          <w:p>
            <w:pPr>
              <w:spacing w:before="0" w:after="3"/>
              <w:jc w:val="center"/>
            </w:pPr>
            <w:r>
              <w:rPr>
                <w:rFonts w:hint="eastAsia" w:ascii="宋体" w:hAnsi="宋体"/>
                <w:bCs/>
                <w:color w:val="000000"/>
                <w:sz w:val="22"/>
                <w:szCs w:val="22"/>
              </w:rPr>
              <w:t>20%</w:t>
            </w:r>
          </w:p>
        </w:tc>
        <w:tc>
          <w:tcPr>
            <w:tcW w:w="1200" w:type="dxa"/>
            <w:vAlign w:val="center"/>
          </w:tcPr>
          <w:p>
            <w:pPr>
              <w:spacing w:before="0" w:after="3"/>
              <w:jc w:val="center"/>
            </w:pPr>
            <w:r>
              <w:rPr>
                <w:rFonts w:hint="eastAsia" w:ascii="宋体" w:hAnsi="宋体"/>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4"/>
          <w:jc w:val="center"/>
        </w:trPr>
        <w:tc>
          <w:tcPr>
            <w:tcW w:w="1" w:type="dxa"/>
            <w:gridSpan w:val="0"/>
            <w:shd w:val="clear" w:color="auto" w:fill="D9D9D9"/>
            <w:vAlign w:val="center"/>
          </w:tcPr>
          <w:p>
            <w:pPr>
              <w:spacing w:before="0" w:after="3"/>
              <w:jc w:val="center"/>
            </w:pPr>
            <w:r>
              <w:rPr>
                <w:rFonts w:hint="eastAsia" w:ascii="宋体" w:hAnsi="宋体"/>
                <w:bCs/>
                <w:color w:val="000000"/>
                <w:sz w:val="22"/>
                <w:szCs w:val="22"/>
              </w:rPr>
              <w:t>节水器具用水效率等级</w:t>
            </w:r>
          </w:p>
        </w:tc>
        <w:tc>
          <w:tcPr>
            <w:tcW w:w="1200" w:type="dxa"/>
            <w:vAlign w:val="center"/>
          </w:tcPr>
          <w:p>
            <w:pPr>
              <w:spacing w:before="0" w:after="3"/>
              <w:jc w:val="center"/>
            </w:pPr>
            <w:r>
              <w:rPr>
                <w:rFonts w:hint="eastAsia" w:ascii="宋体" w:hAnsi="宋体"/>
                <w:bCs/>
                <w:color w:val="000000"/>
                <w:sz w:val="22"/>
                <w:szCs w:val="22"/>
              </w:rPr>
              <w:t>3级</w:t>
            </w:r>
          </w:p>
        </w:tc>
        <w:tc>
          <w:tcPr>
            <w:tcW w:w="1200" w:type="dxa"/>
            <w:gridSpan w:val="3"/>
            <w:vAlign w:val="center"/>
          </w:tcPr>
          <w:p>
            <w:pPr>
              <w:spacing w:before="0" w:after="3"/>
              <w:jc w:val="center"/>
            </w:pPr>
            <w:r>
              <w:rPr>
                <w:rFonts w:hint="eastAsia" w:ascii="宋体" w:hAnsi="宋体"/>
                <w:bCs/>
                <w:color w:val="000000"/>
                <w:sz w:val="22"/>
                <w:szCs w:val="22"/>
              </w:rPr>
              <w:t>2级</w:t>
            </w:r>
          </w:p>
        </w:tc>
        <w:tc>
          <w:tcPr>
            <w:tcW w:w="1200" w:type="dxa"/>
            <w:vAlign w:val="center"/>
          </w:tcPr>
          <w:p>
            <w:pPr>
              <w:spacing w:before="0" w:after="3"/>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4"/>
          <w:jc w:val="center"/>
        </w:trPr>
        <w:tc>
          <w:tcPr>
            <w:tcW w:w="1" w:type="dxa"/>
            <w:gridSpan w:val="0"/>
            <w:shd w:val="clear" w:color="auto" w:fill="D9D9D9"/>
            <w:vAlign w:val="center"/>
          </w:tcPr>
          <w:p>
            <w:pPr>
              <w:spacing w:before="0" w:after="3"/>
              <w:jc w:val="center"/>
            </w:pPr>
            <w:r>
              <w:rPr>
                <w:rFonts w:hint="eastAsia" w:ascii="宋体" w:hAnsi="宋体"/>
                <w:bCs/>
                <w:color w:val="000000"/>
                <w:sz w:val="22"/>
                <w:szCs w:val="22"/>
              </w:rPr>
              <w:t>住宅建筑隔声性能</w:t>
            </w:r>
          </w:p>
        </w:tc>
        <w:tc>
          <w:tcPr>
            <w:tcW w:w="1200" w:type="dxa"/>
            <w:vAlign w:val="center"/>
          </w:tcPr>
          <w:p>
            <w:pPr>
              <w:spacing w:before="0" w:after="3"/>
              <w:jc w:val="center"/>
            </w:pPr>
            <w:r>
              <w:rPr>
                <w:rFonts w:hint="eastAsia" w:ascii="宋体" w:hAnsi="宋体"/>
                <w:bCs/>
                <w:color w:val="000000"/>
                <w:sz w:val="22"/>
                <w:szCs w:val="22"/>
              </w:rPr>
              <w:t>/</w:t>
            </w:r>
          </w:p>
        </w:tc>
        <w:tc>
          <w:tcPr>
            <w:tcW w:w="1200" w:type="dxa"/>
            <w:vAlign w:val="center"/>
          </w:tcPr>
          <w:p>
            <w:pPr>
              <w:spacing w:before="0" w:after="3"/>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gridSpan w:val="2"/>
            <w:vAlign w:val="center"/>
          </w:tcPr>
          <w:p>
            <w:pPr>
              <w:spacing w:before="0" w:after="3"/>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4"/>
          <w:jc w:val="center"/>
        </w:trPr>
        <w:tc>
          <w:tcPr>
            <w:tcW w:w="1" w:type="dxa"/>
            <w:gridSpan w:val="0"/>
            <w:shd w:val="clear" w:color="auto" w:fill="D9D9D9"/>
            <w:vAlign w:val="center"/>
          </w:tcPr>
          <w:p>
            <w:pPr>
              <w:spacing w:before="0" w:after="3"/>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jc w:val="center"/>
            </w:pPr>
            <w:r>
              <w:rPr>
                <w:rFonts w:hint="eastAsia" w:ascii="宋体" w:hAnsi="宋体"/>
                <w:bCs/>
                <w:color w:val="000000"/>
                <w:sz w:val="22"/>
                <w:szCs w:val="22"/>
              </w:rPr>
              <w:t>10%</w:t>
            </w:r>
          </w:p>
        </w:tc>
        <w:tc>
          <w:tcPr>
            <w:tcW w:w="1200" w:type="dxa"/>
            <w:gridSpan w:val="3"/>
            <w:vAlign w:val="center"/>
          </w:tcPr>
          <w:p>
            <w:pPr>
              <w:spacing w:before="0" w:after="3"/>
              <w:jc w:val="center"/>
            </w:pPr>
            <w:r>
              <w:rPr>
                <w:rFonts w:hint="eastAsia" w:ascii="宋体" w:hAnsi="宋体"/>
                <w:bCs/>
                <w:color w:val="000000"/>
                <w:sz w:val="22"/>
                <w:szCs w:val="22"/>
              </w:rPr>
              <w:t>20%</w:t>
            </w:r>
          </w:p>
        </w:tc>
        <w:tc>
          <w:tcPr>
            <w:tcW w:w="1200" w:type="dxa"/>
            <w:vAlign w:val="center"/>
          </w:tcPr>
          <w:p>
            <w:pPr>
              <w:spacing w:before="0" w:after="3"/>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4"/>
          <w:jc w:val="center"/>
        </w:trPr>
        <w:tc>
          <w:tcPr>
            <w:tcW w:w="1" w:type="dxa"/>
            <w:gridSpan w:val="0"/>
            <w:shd w:val="clear" w:color="auto" w:fill="D9D9D9"/>
            <w:vAlign w:val="center"/>
          </w:tcPr>
          <w:p>
            <w:pPr>
              <w:spacing w:before="0" w:after="3"/>
              <w:jc w:val="center"/>
            </w:pPr>
            <w:r>
              <w:rPr>
                <w:rFonts w:hint="eastAsia" w:ascii="宋体" w:hAnsi="宋体"/>
                <w:bCs/>
                <w:color w:val="000000"/>
                <w:sz w:val="22"/>
                <w:szCs w:val="22"/>
              </w:rPr>
              <w:t>外窗气密性能</w:t>
            </w:r>
          </w:p>
        </w:tc>
        <w:tc>
          <w:tcPr>
            <w:tcW w:w="1200" w:type="dxa"/>
            <w:gridSpan w:val="4"/>
            <w:vAlign w:val="center"/>
          </w:tcPr>
          <w:p>
            <w:pPr>
              <w:spacing w:before="0" w:after="3"/>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vAlign w:val="center"/>
          </w:tcPr>
          <w:p>
            <w:pPr>
              <w:spacing w:before="0" w:after="3"/>
              <w:jc w:val="center"/>
            </w:pPr>
          </w:p>
        </w:tc>
      </w:tr>
    </w:tbl>
    <w:p>
      <w:pPr>
        <w:jc w:val="left"/>
      </w:pPr>
      <w:r>
        <w:rPr>
          <w:rFonts w:hint="eastAsia" w:ascii="宋体" w:hAnsi="宋体"/>
          <w:bCs/>
          <w:color w:val="000000"/>
          <w:sz w:val="22"/>
          <w:szCs w:val="22"/>
        </w:rPr>
        <w:t>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p>
      <w:pPr>
        <w:jc w:val="center"/>
      </w:pPr>
      <w:r>
        <w:rPr>
          <w:rFonts w:hint="eastAsia" w:ascii="宋体" w:hAnsi="宋体"/>
          <w:bCs/>
          <w:color w:val="000000"/>
          <w:sz w:val="20"/>
          <w:szCs w:val="20"/>
        </w:rPr>
        <w:t>表2项目自评得分情况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
        <w:gridCol w:w="1015"/>
        <w:gridCol w:w="1175"/>
        <w:gridCol w:w="1095"/>
        <w:gridCol w:w="1095"/>
        <w:gridCol w:w="1095"/>
        <w:gridCol w:w="1096"/>
        <w:gridCol w:w="10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p>
        </w:tc>
        <w:tc>
          <w:tcPr>
            <w:tcW w:w="1900" w:type="dxa"/>
            <w:vAlign w:val="center"/>
          </w:tcPr>
          <w:p>
            <w:pPr>
              <w:spacing w:before="0" w:after="3"/>
              <w:jc w:val="center"/>
            </w:pPr>
            <w:r>
              <w:rPr>
                <w:rFonts w:hint="eastAsia" w:ascii="宋体" w:hAnsi="宋体"/>
                <w:b/>
                <w:bCs/>
                <w:color w:val="000000"/>
                <w:sz w:val="21"/>
                <w:szCs w:val="21"/>
              </w:rPr>
              <w:t>控制项基础分值 Q0</w:t>
            </w:r>
          </w:p>
        </w:tc>
        <w:tc>
          <w:tcPr>
            <w:tcW w:w="1900" w:type="dxa"/>
            <w:vAlign w:val="center"/>
          </w:tcPr>
          <w:p>
            <w:pPr>
              <w:spacing w:before="0" w:after="3"/>
              <w:jc w:val="center"/>
            </w:pPr>
            <w:r>
              <w:rPr>
                <w:rFonts w:hint="eastAsia" w:ascii="宋体" w:hAnsi="宋体"/>
                <w:b/>
                <w:bCs/>
                <w:color w:val="000000"/>
                <w:sz w:val="20"/>
                <w:szCs w:val="20"/>
              </w:rPr>
              <w:t>安全耐久Q1</w:t>
            </w:r>
          </w:p>
        </w:tc>
        <w:tc>
          <w:tcPr>
            <w:tcW w:w="1900" w:type="dxa"/>
            <w:vAlign w:val="center"/>
          </w:tcPr>
          <w:p>
            <w:pPr>
              <w:spacing w:before="0" w:after="3"/>
              <w:jc w:val="center"/>
            </w:pPr>
            <w:r>
              <w:rPr>
                <w:rFonts w:hint="eastAsia" w:ascii="宋体" w:hAnsi="宋体"/>
                <w:b/>
                <w:bCs/>
                <w:color w:val="000000"/>
                <w:sz w:val="20"/>
                <w:szCs w:val="20"/>
              </w:rPr>
              <w:t>健康舒适Q2</w:t>
            </w:r>
          </w:p>
        </w:tc>
        <w:tc>
          <w:tcPr>
            <w:tcW w:w="1900" w:type="dxa"/>
            <w:vAlign w:val="center"/>
          </w:tcPr>
          <w:p>
            <w:pPr>
              <w:spacing w:before="0" w:after="3"/>
              <w:jc w:val="center"/>
            </w:pPr>
            <w:r>
              <w:rPr>
                <w:rFonts w:hint="eastAsia" w:ascii="宋体" w:hAnsi="宋体"/>
                <w:b/>
                <w:bCs/>
                <w:color w:val="000000"/>
                <w:sz w:val="20"/>
                <w:szCs w:val="20"/>
              </w:rPr>
              <w:t>生活便利Q3</w:t>
            </w:r>
          </w:p>
        </w:tc>
        <w:tc>
          <w:tcPr>
            <w:tcW w:w="1900" w:type="dxa"/>
            <w:vAlign w:val="center"/>
          </w:tcPr>
          <w:p>
            <w:pPr>
              <w:spacing w:before="0" w:after="3"/>
              <w:jc w:val="center"/>
            </w:pPr>
            <w:r>
              <w:rPr>
                <w:rFonts w:hint="eastAsia" w:ascii="宋体" w:hAnsi="宋体"/>
                <w:b/>
                <w:bCs/>
                <w:color w:val="000000"/>
                <w:sz w:val="20"/>
                <w:szCs w:val="20"/>
              </w:rPr>
              <w:t>资源节约Q4</w:t>
            </w:r>
          </w:p>
        </w:tc>
        <w:tc>
          <w:tcPr>
            <w:tcW w:w="1900" w:type="dxa"/>
            <w:vAlign w:val="center"/>
          </w:tcPr>
          <w:p>
            <w:pPr>
              <w:spacing w:before="0" w:after="3"/>
              <w:jc w:val="center"/>
            </w:pPr>
            <w:r>
              <w:rPr>
                <w:rFonts w:hint="eastAsia" w:ascii="宋体" w:hAnsi="宋体"/>
                <w:b/>
                <w:bCs/>
                <w:color w:val="000000"/>
                <w:sz w:val="20"/>
                <w:szCs w:val="20"/>
              </w:rPr>
              <w:t>环境宜居Q5</w:t>
            </w:r>
          </w:p>
        </w:tc>
        <w:tc>
          <w:tcPr>
            <w:tcW w:w="1900" w:type="dxa"/>
            <w:vAlign w:val="center"/>
          </w:tcPr>
          <w:p>
            <w:pPr>
              <w:spacing w:before="0" w:after="3"/>
              <w:jc w:val="center"/>
            </w:pPr>
            <w:r>
              <w:rPr>
                <w:rFonts w:hint="eastAsia" w:ascii="宋体" w:hAnsi="宋体"/>
                <w:b/>
                <w:bCs/>
                <w:color w:val="000000"/>
                <w:sz w:val="21"/>
                <w:szCs w:val="21"/>
              </w:rPr>
              <w:t>加分项QA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预评价分值</w:t>
            </w:r>
          </w:p>
        </w:tc>
        <w:tc>
          <w:tcPr>
            <w:tcW w:w="1900" w:type="dxa"/>
            <w:vAlign w:val="center"/>
          </w:tcPr>
          <w:p>
            <w:pPr>
              <w:spacing w:before="0" w:after="3"/>
              <w:jc w:val="center"/>
            </w:pPr>
            <w:r>
              <w:rPr>
                <w:rFonts w:hint="eastAsia" w:ascii="宋体" w:hAnsi="宋体"/>
                <w:bCs/>
                <w:color w:val="000000"/>
                <w:sz w:val="24"/>
                <w:szCs w:val="24"/>
              </w:rPr>
              <w:t>400</w:t>
            </w:r>
          </w:p>
        </w:tc>
        <w:tc>
          <w:tcPr>
            <w:tcW w:w="1900" w:type="dxa"/>
            <w:vAlign w:val="center"/>
          </w:tcPr>
          <w:p>
            <w:pPr>
              <w:spacing w:before="0" w:after="3"/>
              <w:jc w:val="center"/>
            </w:pPr>
            <w:r>
              <w:rPr>
                <w:rFonts w:hint="eastAsia" w:ascii="宋体" w:hAnsi="宋体"/>
                <w:bCs/>
                <w:color w:val="000000"/>
                <w:sz w:val="24"/>
                <w:szCs w:val="24"/>
              </w:rPr>
              <w:t>100</w:t>
            </w:r>
          </w:p>
        </w:tc>
        <w:tc>
          <w:tcPr>
            <w:tcW w:w="1900" w:type="dxa"/>
            <w:vAlign w:val="center"/>
          </w:tcPr>
          <w:p>
            <w:pPr>
              <w:spacing w:before="0" w:after="3"/>
              <w:jc w:val="center"/>
            </w:pPr>
            <w:r>
              <w:rPr>
                <w:rFonts w:hint="eastAsia" w:ascii="宋体" w:hAnsi="宋体"/>
                <w:bCs/>
                <w:color w:val="000000"/>
                <w:sz w:val="24"/>
                <w:szCs w:val="24"/>
              </w:rPr>
              <w:t>100</w:t>
            </w:r>
          </w:p>
        </w:tc>
        <w:tc>
          <w:tcPr>
            <w:tcW w:w="1900" w:type="dxa"/>
            <w:vAlign w:val="center"/>
          </w:tcPr>
          <w:p>
            <w:pPr>
              <w:spacing w:before="0" w:after="3"/>
              <w:jc w:val="center"/>
            </w:pPr>
            <w:r>
              <w:rPr>
                <w:rFonts w:hint="eastAsia" w:ascii="宋体" w:hAnsi="宋体"/>
                <w:bCs/>
                <w:color w:val="000000"/>
                <w:sz w:val="24"/>
                <w:szCs w:val="24"/>
              </w:rPr>
              <w:t>70</w:t>
            </w:r>
          </w:p>
        </w:tc>
        <w:tc>
          <w:tcPr>
            <w:tcW w:w="1900" w:type="dxa"/>
            <w:vAlign w:val="center"/>
          </w:tcPr>
          <w:p>
            <w:pPr>
              <w:spacing w:before="0" w:after="3"/>
              <w:jc w:val="center"/>
            </w:pPr>
            <w:r>
              <w:rPr>
                <w:rFonts w:hint="eastAsia" w:ascii="宋体" w:hAnsi="宋体"/>
                <w:bCs/>
                <w:color w:val="000000"/>
                <w:sz w:val="24"/>
                <w:szCs w:val="24"/>
              </w:rPr>
              <w:t>200</w:t>
            </w:r>
          </w:p>
        </w:tc>
        <w:tc>
          <w:tcPr>
            <w:tcW w:w="1900" w:type="dxa"/>
            <w:vAlign w:val="center"/>
          </w:tcPr>
          <w:p>
            <w:pPr>
              <w:spacing w:before="0" w:after="3"/>
              <w:jc w:val="center"/>
            </w:pPr>
            <w:r>
              <w:rPr>
                <w:rFonts w:hint="eastAsia" w:ascii="宋体" w:hAnsi="宋体"/>
                <w:bCs/>
                <w:color w:val="000000"/>
                <w:sz w:val="24"/>
                <w:szCs w:val="24"/>
              </w:rPr>
              <w:t>100</w:t>
            </w:r>
          </w:p>
        </w:tc>
        <w:tc>
          <w:tcPr>
            <w:tcW w:w="1900" w:type="dxa"/>
            <w:vAlign w:val="center"/>
          </w:tcPr>
          <w:p>
            <w:pPr>
              <w:spacing w:before="0" w:after="3"/>
              <w:jc w:val="center"/>
            </w:pPr>
            <w:r>
              <w:rPr>
                <w:rFonts w:hint="eastAsia" w:ascii="宋体" w:hAnsi="宋体"/>
                <w:bCs/>
                <w:color w:val="000000"/>
                <w:sz w:val="24"/>
                <w:szCs w:val="24"/>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自评得分</w:t>
            </w:r>
          </w:p>
        </w:tc>
        <w:tc>
          <w:tcPr>
            <w:tcW w:w="1900" w:type="dxa"/>
            <w:vAlign w:val="center"/>
          </w:tcPr>
          <w:p>
            <w:pPr>
              <w:spacing w:before="0" w:after="3"/>
              <w:jc w:val="center"/>
            </w:pPr>
            <w:r>
              <w:rPr>
                <w:rFonts w:hint="eastAsia" w:ascii="宋体" w:hAnsi="宋体"/>
                <w:bCs/>
                <w:color w:val="000000"/>
                <w:sz w:val="24"/>
                <w:szCs w:val="24"/>
              </w:rPr>
              <w:t>400</w:t>
            </w:r>
          </w:p>
        </w:tc>
        <w:tc>
          <w:tcPr>
            <w:tcW w:w="1900" w:type="dxa"/>
            <w:vAlign w:val="center"/>
          </w:tcPr>
          <w:p>
            <w:pPr>
              <w:spacing w:before="0" w:after="3"/>
              <w:jc w:val="center"/>
            </w:pPr>
            <w:r>
              <w:rPr>
                <w:rFonts w:hint="eastAsia" w:ascii="宋体" w:hAnsi="宋体"/>
                <w:bCs/>
                <w:color w:val="000000"/>
                <w:sz w:val="24"/>
                <w:szCs w:val="24"/>
              </w:rPr>
              <w:t>100.0</w:t>
            </w:r>
          </w:p>
        </w:tc>
        <w:tc>
          <w:tcPr>
            <w:tcW w:w="1900" w:type="dxa"/>
            <w:vAlign w:val="center"/>
          </w:tcPr>
          <w:p>
            <w:pPr>
              <w:spacing w:before="0" w:after="3"/>
              <w:jc w:val="center"/>
            </w:pPr>
            <w:r>
              <w:rPr>
                <w:rFonts w:hint="eastAsia" w:ascii="宋体" w:hAnsi="宋体"/>
                <w:bCs/>
                <w:color w:val="000000"/>
                <w:sz w:val="24"/>
                <w:szCs w:val="24"/>
              </w:rPr>
              <w:t>81.0</w:t>
            </w:r>
          </w:p>
        </w:tc>
        <w:tc>
          <w:tcPr>
            <w:tcW w:w="1900" w:type="dxa"/>
            <w:vAlign w:val="center"/>
          </w:tcPr>
          <w:p>
            <w:pPr>
              <w:spacing w:before="0" w:after="3"/>
              <w:jc w:val="center"/>
            </w:pPr>
            <w:r>
              <w:rPr>
                <w:rFonts w:hint="eastAsia" w:ascii="宋体" w:hAnsi="宋体"/>
                <w:bCs/>
                <w:color w:val="000000"/>
                <w:sz w:val="24"/>
                <w:szCs w:val="24"/>
              </w:rPr>
              <w:t>47.0</w:t>
            </w:r>
          </w:p>
        </w:tc>
        <w:tc>
          <w:tcPr>
            <w:tcW w:w="1900" w:type="dxa"/>
            <w:vAlign w:val="center"/>
          </w:tcPr>
          <w:p>
            <w:pPr>
              <w:spacing w:before="0" w:after="3"/>
              <w:jc w:val="center"/>
            </w:pPr>
            <w:r>
              <w:rPr>
                <w:rFonts w:hint="eastAsia" w:ascii="宋体" w:hAnsi="宋体"/>
                <w:bCs/>
                <w:color w:val="000000"/>
                <w:sz w:val="24"/>
                <w:szCs w:val="24"/>
              </w:rPr>
              <w:t>93.0</w:t>
            </w:r>
          </w:p>
        </w:tc>
        <w:tc>
          <w:tcPr>
            <w:tcW w:w="1900" w:type="dxa"/>
            <w:vAlign w:val="center"/>
          </w:tcPr>
          <w:p>
            <w:pPr>
              <w:spacing w:before="0" w:after="3"/>
              <w:jc w:val="center"/>
            </w:pPr>
            <w:r>
              <w:rPr>
                <w:rFonts w:hint="eastAsia" w:ascii="宋体" w:hAnsi="宋体"/>
                <w:bCs/>
                <w:color w:val="000000"/>
                <w:sz w:val="24"/>
                <w:szCs w:val="24"/>
              </w:rPr>
              <w:t>77.0</w:t>
            </w:r>
          </w:p>
        </w:tc>
        <w:tc>
          <w:tcPr>
            <w:tcW w:w="1900" w:type="dxa"/>
            <w:vAlign w:val="center"/>
          </w:tcPr>
          <w:p>
            <w:pPr>
              <w:spacing w:before="0" w:after="3"/>
              <w:jc w:val="center"/>
            </w:pPr>
            <w:r>
              <w:rPr>
                <w:rFonts w:hint="eastAsia" w:ascii="宋体" w:hAnsi="宋体"/>
                <w:bCs/>
                <w:color w:val="000000"/>
                <w:sz w:val="24"/>
                <w:szCs w:val="24"/>
              </w:rPr>
              <w:t>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总得分Q</w:t>
            </w:r>
          </w:p>
        </w:tc>
        <w:tc>
          <w:tcPr>
            <w:tcW w:w="1900" w:type="dxa"/>
            <w:gridSpan w:val="7"/>
            <w:vAlign w:val="center"/>
          </w:tcPr>
          <w:p>
            <w:pPr>
              <w:spacing w:before="0" w:after="3"/>
              <w:jc w:val="center"/>
            </w:pPr>
            <w:r>
              <w:rPr>
                <w:rFonts w:hint="eastAsia" w:ascii="宋体" w:hAnsi="宋体"/>
                <w:bCs/>
                <w:color w:val="000000"/>
                <w:sz w:val="24"/>
                <w:szCs w:val="24"/>
              </w:rPr>
              <w:t>88.5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自评星级</w:t>
            </w:r>
          </w:p>
        </w:tc>
        <w:tc>
          <w:tcPr>
            <w:tcW w:w="1900" w:type="dxa"/>
            <w:gridSpan w:val="7"/>
            <w:vAlign w:val="center"/>
          </w:tcPr>
          <w:p>
            <w:pPr>
              <w:spacing w:before="0" w:after="3"/>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注：总得分Q=（Q0+Q1+Q2+Q3+Q4+Q5+QA）/10</w:t>
      </w:r>
    </w:p>
    <w:p>
      <w:pPr>
        <w:jc w:val="center"/>
      </w:pPr>
    </w:p>
    <w:p>
      <w:pPr>
        <w:jc w:val="center"/>
      </w:pPr>
    </w:p>
    <w:p>
      <w:pPr>
        <w:jc w:val="center"/>
      </w:pPr>
      <w:r>
        <w:rPr>
          <w:rFonts w:hint="eastAsia" w:ascii="宋体" w:hAnsi="宋体"/>
          <w:bCs/>
          <w:color w:val="000000"/>
          <w:sz w:val="20"/>
          <w:szCs w:val="20"/>
        </w:rPr>
        <w:t>表3分专业自评得分情况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00"/>
        <w:gridCol w:w="1900"/>
        <w:gridCol w:w="1900"/>
        <w:gridCol w:w="1900"/>
        <w:gridCol w:w="1900"/>
        <w:gridCol w:w="1900"/>
        <w:gridCol w:w="1900"/>
        <w:gridCol w:w="1900"/>
        <w:gridCol w:w="1900"/>
        <w:gridCol w:w="1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p>
        </w:tc>
        <w:tc>
          <w:tcPr>
            <w:tcW w:w="1900" w:type="dxa"/>
            <w:vAlign w:val="center"/>
          </w:tcPr>
          <w:p>
            <w:pPr>
              <w:spacing w:before="0" w:after="3"/>
              <w:jc w:val="center"/>
            </w:pPr>
            <w:r>
              <w:rPr>
                <w:rFonts w:hint="eastAsia" w:ascii="宋体" w:hAnsi="宋体"/>
                <w:b/>
                <w:bCs/>
                <w:color w:val="000000"/>
                <w:sz w:val="22"/>
                <w:szCs w:val="22"/>
              </w:rPr>
              <w:t>规划</w:t>
            </w:r>
          </w:p>
        </w:tc>
        <w:tc>
          <w:tcPr>
            <w:tcW w:w="1900" w:type="dxa"/>
            <w:vAlign w:val="center"/>
          </w:tcPr>
          <w:p>
            <w:pPr>
              <w:spacing w:before="0" w:after="3"/>
              <w:jc w:val="center"/>
            </w:pPr>
            <w:r>
              <w:rPr>
                <w:rFonts w:hint="eastAsia" w:ascii="宋体" w:hAnsi="宋体"/>
                <w:b/>
                <w:bCs/>
                <w:color w:val="000000"/>
                <w:sz w:val="22"/>
                <w:szCs w:val="22"/>
              </w:rPr>
              <w:t>建筑</w:t>
            </w:r>
          </w:p>
        </w:tc>
        <w:tc>
          <w:tcPr>
            <w:tcW w:w="1900" w:type="dxa"/>
            <w:vAlign w:val="center"/>
          </w:tcPr>
          <w:p>
            <w:pPr>
              <w:spacing w:before="0" w:after="3"/>
              <w:jc w:val="center"/>
            </w:pPr>
            <w:r>
              <w:rPr>
                <w:rFonts w:hint="eastAsia" w:ascii="宋体" w:hAnsi="宋体"/>
                <w:b/>
                <w:bCs/>
                <w:color w:val="000000"/>
                <w:sz w:val="22"/>
                <w:szCs w:val="22"/>
              </w:rPr>
              <w:t>结构/建材</w:t>
            </w:r>
          </w:p>
        </w:tc>
        <w:tc>
          <w:tcPr>
            <w:tcW w:w="1900" w:type="dxa"/>
            <w:vAlign w:val="center"/>
          </w:tcPr>
          <w:p>
            <w:pPr>
              <w:spacing w:before="0" w:after="3"/>
              <w:jc w:val="center"/>
            </w:pPr>
            <w:r>
              <w:rPr>
                <w:rFonts w:hint="eastAsia" w:ascii="宋体" w:hAnsi="宋体"/>
                <w:b/>
                <w:bCs/>
                <w:color w:val="000000"/>
                <w:sz w:val="22"/>
                <w:szCs w:val="22"/>
              </w:rPr>
              <w:t>给排水</w:t>
            </w:r>
          </w:p>
        </w:tc>
        <w:tc>
          <w:tcPr>
            <w:tcW w:w="1900" w:type="dxa"/>
            <w:vAlign w:val="center"/>
          </w:tcPr>
          <w:p>
            <w:pPr>
              <w:spacing w:before="0" w:after="3"/>
              <w:jc w:val="center"/>
            </w:pPr>
            <w:r>
              <w:rPr>
                <w:rFonts w:hint="eastAsia" w:ascii="宋体" w:hAnsi="宋体"/>
                <w:b/>
                <w:bCs/>
                <w:color w:val="000000"/>
                <w:sz w:val="22"/>
                <w:szCs w:val="22"/>
              </w:rPr>
              <w:t>暖通</w:t>
            </w:r>
          </w:p>
        </w:tc>
        <w:tc>
          <w:tcPr>
            <w:tcW w:w="1900" w:type="dxa"/>
            <w:vAlign w:val="center"/>
          </w:tcPr>
          <w:p>
            <w:pPr>
              <w:spacing w:before="0" w:after="3"/>
              <w:jc w:val="center"/>
            </w:pPr>
            <w:r>
              <w:rPr>
                <w:rFonts w:hint="eastAsia" w:ascii="宋体" w:hAnsi="宋体"/>
                <w:b/>
                <w:bCs/>
                <w:color w:val="000000"/>
                <w:sz w:val="22"/>
                <w:szCs w:val="22"/>
              </w:rPr>
              <w:t>建筑物理</w:t>
            </w:r>
          </w:p>
        </w:tc>
        <w:tc>
          <w:tcPr>
            <w:tcW w:w="1900" w:type="dxa"/>
            <w:vAlign w:val="center"/>
          </w:tcPr>
          <w:p>
            <w:pPr>
              <w:spacing w:before="0" w:after="3"/>
              <w:jc w:val="center"/>
            </w:pPr>
            <w:r>
              <w:rPr>
                <w:rFonts w:hint="eastAsia" w:ascii="宋体" w:hAnsi="宋体"/>
                <w:b/>
                <w:bCs/>
                <w:color w:val="000000"/>
                <w:sz w:val="22"/>
                <w:szCs w:val="22"/>
              </w:rPr>
              <w:t>电气</w:t>
            </w:r>
          </w:p>
        </w:tc>
        <w:tc>
          <w:tcPr>
            <w:tcW w:w="1900" w:type="dxa"/>
            <w:vAlign w:val="center"/>
          </w:tcPr>
          <w:p>
            <w:pPr>
              <w:spacing w:before="0" w:after="3"/>
              <w:jc w:val="center"/>
            </w:pPr>
            <w:r>
              <w:rPr>
                <w:rFonts w:hint="eastAsia" w:ascii="宋体" w:hAnsi="宋体"/>
                <w:b/>
                <w:bCs/>
                <w:color w:val="000000"/>
                <w:sz w:val="22"/>
                <w:szCs w:val="22"/>
              </w:rPr>
              <w:t>合计</w:t>
            </w:r>
          </w:p>
        </w:tc>
        <w:tc>
          <w:tcPr>
            <w:tcW w:w="1900" w:type="dxa"/>
            <w:vAlign w:val="center"/>
          </w:tcPr>
          <w:p>
            <w:pPr>
              <w:spacing w:before="0" w:after="3"/>
              <w:jc w:val="center"/>
            </w:pPr>
            <w:r>
              <w:rPr>
                <w:rFonts w:hint="eastAsia" w:ascii="宋体" w:hAnsi="宋体"/>
                <w:b/>
                <w:bCs/>
                <w:color w:val="000000"/>
                <w:sz w:val="22"/>
                <w:szCs w:val="22"/>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控制项</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400</w:t>
            </w:r>
          </w:p>
        </w:tc>
        <w:tc>
          <w:tcPr>
            <w:tcW w:w="1900" w:type="dxa"/>
            <w:vAlign w:val="center"/>
          </w:tcPr>
          <w:p>
            <w:pPr>
              <w:spacing w:before="0" w:after="3"/>
              <w:jc w:val="center"/>
            </w:pPr>
            <w:r>
              <w:rPr>
                <w:rFonts w:hint="eastAsia" w:ascii="宋体" w:hAnsi="宋体"/>
                <w:bCs/>
                <w:color w:val="000000"/>
                <w:sz w:val="18"/>
                <w:szCs w:val="18"/>
              </w:rPr>
              <w:t>全部达标得400分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评分项</w:t>
            </w:r>
          </w:p>
        </w:tc>
        <w:tc>
          <w:tcPr>
            <w:tcW w:w="1900" w:type="dxa"/>
            <w:vAlign w:val="center"/>
          </w:tcPr>
          <w:p>
            <w:pPr>
              <w:spacing w:before="0" w:after="3"/>
              <w:jc w:val="center"/>
            </w:pPr>
            <w:r>
              <w:rPr>
                <w:rFonts w:hint="eastAsia" w:ascii="宋体" w:hAnsi="宋体"/>
                <w:bCs/>
                <w:color w:val="000000"/>
                <w:sz w:val="24"/>
                <w:szCs w:val="24"/>
              </w:rPr>
              <w:t>83</w:t>
            </w:r>
          </w:p>
        </w:tc>
        <w:tc>
          <w:tcPr>
            <w:tcW w:w="1900" w:type="dxa"/>
            <w:vAlign w:val="center"/>
          </w:tcPr>
          <w:p>
            <w:pPr>
              <w:spacing w:before="0" w:after="3"/>
              <w:jc w:val="center"/>
            </w:pPr>
            <w:r>
              <w:rPr>
                <w:rFonts w:hint="eastAsia" w:ascii="宋体" w:hAnsi="宋体"/>
                <w:bCs/>
                <w:color w:val="000000"/>
                <w:sz w:val="24"/>
                <w:szCs w:val="24"/>
              </w:rPr>
              <w:t>40</w:t>
            </w:r>
          </w:p>
        </w:tc>
        <w:tc>
          <w:tcPr>
            <w:tcW w:w="1900" w:type="dxa"/>
            <w:vAlign w:val="center"/>
          </w:tcPr>
          <w:p>
            <w:pPr>
              <w:spacing w:before="0" w:after="3"/>
              <w:jc w:val="center"/>
            </w:pPr>
            <w:r>
              <w:rPr>
                <w:rFonts w:hint="eastAsia" w:ascii="宋体" w:hAnsi="宋体"/>
                <w:bCs/>
                <w:color w:val="000000"/>
                <w:sz w:val="24"/>
                <w:szCs w:val="24"/>
              </w:rPr>
              <w:t>78</w:t>
            </w:r>
          </w:p>
        </w:tc>
        <w:tc>
          <w:tcPr>
            <w:tcW w:w="1900" w:type="dxa"/>
            <w:vAlign w:val="center"/>
          </w:tcPr>
          <w:p>
            <w:pPr>
              <w:spacing w:before="0" w:after="3"/>
              <w:jc w:val="center"/>
            </w:pPr>
            <w:r>
              <w:rPr>
                <w:rFonts w:hint="eastAsia" w:ascii="宋体" w:hAnsi="宋体"/>
                <w:bCs/>
                <w:color w:val="000000"/>
                <w:sz w:val="24"/>
                <w:szCs w:val="24"/>
              </w:rPr>
              <w:t>43</w:t>
            </w:r>
          </w:p>
        </w:tc>
        <w:tc>
          <w:tcPr>
            <w:tcW w:w="1900" w:type="dxa"/>
            <w:vAlign w:val="center"/>
          </w:tcPr>
          <w:p>
            <w:pPr>
              <w:spacing w:before="0" w:after="3"/>
              <w:jc w:val="center"/>
            </w:pPr>
            <w:r>
              <w:rPr>
                <w:rFonts w:hint="eastAsia" w:ascii="宋体" w:hAnsi="宋体"/>
                <w:bCs/>
                <w:color w:val="000000"/>
                <w:sz w:val="24"/>
                <w:szCs w:val="24"/>
              </w:rPr>
              <w:t>44</w:t>
            </w:r>
          </w:p>
        </w:tc>
        <w:tc>
          <w:tcPr>
            <w:tcW w:w="1900" w:type="dxa"/>
            <w:vAlign w:val="center"/>
          </w:tcPr>
          <w:p>
            <w:pPr>
              <w:spacing w:before="0" w:after="3"/>
              <w:jc w:val="center"/>
            </w:pPr>
            <w:r>
              <w:rPr>
                <w:rFonts w:hint="eastAsia" w:ascii="宋体" w:hAnsi="宋体"/>
                <w:bCs/>
                <w:color w:val="000000"/>
                <w:sz w:val="24"/>
                <w:szCs w:val="24"/>
              </w:rPr>
              <w:t>36</w:t>
            </w:r>
          </w:p>
        </w:tc>
        <w:tc>
          <w:tcPr>
            <w:tcW w:w="1900" w:type="dxa"/>
            <w:vAlign w:val="center"/>
          </w:tcPr>
          <w:p>
            <w:pPr>
              <w:spacing w:before="0" w:after="3"/>
              <w:jc w:val="center"/>
            </w:pPr>
            <w:r>
              <w:rPr>
                <w:rFonts w:hint="eastAsia" w:ascii="宋体" w:hAnsi="宋体"/>
                <w:bCs/>
                <w:color w:val="000000"/>
                <w:sz w:val="24"/>
                <w:szCs w:val="24"/>
              </w:rPr>
              <w:t>74</w:t>
            </w:r>
          </w:p>
        </w:tc>
        <w:tc>
          <w:tcPr>
            <w:tcW w:w="1900" w:type="dxa"/>
            <w:vAlign w:val="center"/>
          </w:tcPr>
          <w:p>
            <w:pPr>
              <w:spacing w:before="0" w:after="3"/>
              <w:jc w:val="center"/>
            </w:pPr>
            <w:r>
              <w:rPr>
                <w:rFonts w:hint="eastAsia" w:ascii="宋体" w:hAnsi="宋体"/>
                <w:bCs/>
                <w:color w:val="000000"/>
                <w:sz w:val="24"/>
                <w:szCs w:val="24"/>
              </w:rPr>
              <w:t>398</w:t>
            </w:r>
          </w:p>
        </w:tc>
        <w:tc>
          <w:tcPr>
            <w:tcW w:w="1900" w:type="dxa"/>
            <w:vAlign w:val="center"/>
          </w:tcPr>
          <w:p>
            <w:pPr>
              <w:spacing w:before="0" w:after="3"/>
              <w:jc w:val="center"/>
            </w:pPr>
            <w:r>
              <w:rPr>
                <w:rFonts w:hint="eastAsia" w:ascii="宋体" w:hAnsi="宋体"/>
                <w:bCs/>
                <w:color w:val="000000"/>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加分项</w:t>
            </w:r>
          </w:p>
        </w:tc>
        <w:tc>
          <w:tcPr>
            <w:tcW w:w="1900" w:type="dxa"/>
            <w:vAlign w:val="center"/>
          </w:tcPr>
          <w:p>
            <w:pPr>
              <w:spacing w:before="0" w:after="3"/>
              <w:jc w:val="center"/>
            </w:pPr>
            <w:r>
              <w:rPr>
                <w:rFonts w:hint="eastAsia" w:ascii="宋体" w:hAnsi="宋体"/>
                <w:bCs/>
                <w:color w:val="000000"/>
                <w:sz w:val="24"/>
                <w:szCs w:val="24"/>
              </w:rPr>
              <w:t>5</w:t>
            </w:r>
          </w:p>
        </w:tc>
        <w:tc>
          <w:tcPr>
            <w:tcW w:w="1900" w:type="dxa"/>
            <w:vAlign w:val="center"/>
          </w:tcPr>
          <w:p>
            <w:pPr>
              <w:spacing w:before="0" w:after="3"/>
              <w:jc w:val="center"/>
            </w:pPr>
            <w:r>
              <w:rPr>
                <w:rFonts w:hint="eastAsia" w:ascii="宋体" w:hAnsi="宋体"/>
                <w:bCs/>
                <w:color w:val="000000"/>
                <w:sz w:val="24"/>
                <w:szCs w:val="24"/>
              </w:rPr>
              <w:t>25</w:t>
            </w:r>
          </w:p>
        </w:tc>
        <w:tc>
          <w:tcPr>
            <w:tcW w:w="1900" w:type="dxa"/>
            <w:vAlign w:val="center"/>
          </w:tcPr>
          <w:p>
            <w:pPr>
              <w:spacing w:before="0" w:after="3"/>
              <w:jc w:val="center"/>
            </w:pPr>
            <w:r>
              <w:rPr>
                <w:rFonts w:hint="eastAsia" w:ascii="宋体" w:hAnsi="宋体"/>
                <w:bCs/>
                <w:color w:val="000000"/>
                <w:sz w:val="24"/>
                <w:szCs w:val="24"/>
              </w:rPr>
              <w:t>20</w:t>
            </w:r>
          </w:p>
        </w:tc>
        <w:tc>
          <w:tcPr>
            <w:tcW w:w="1900" w:type="dxa"/>
            <w:vAlign w:val="center"/>
          </w:tcPr>
          <w:p>
            <w:pPr>
              <w:spacing w:before="0" w:after="3"/>
              <w:jc w:val="center"/>
            </w:pPr>
            <w:r>
              <w:rPr>
                <w:rFonts w:hint="eastAsia" w:ascii="宋体" w:hAnsi="宋体"/>
                <w:bCs/>
                <w:color w:val="000000"/>
                <w:sz w:val="24"/>
                <w:szCs w:val="24"/>
              </w:rPr>
              <w:t>0</w:t>
            </w:r>
          </w:p>
        </w:tc>
        <w:tc>
          <w:tcPr>
            <w:tcW w:w="1900" w:type="dxa"/>
            <w:vAlign w:val="center"/>
          </w:tcPr>
          <w:p>
            <w:pPr>
              <w:spacing w:before="0" w:after="3"/>
              <w:jc w:val="center"/>
            </w:pPr>
            <w:r>
              <w:rPr>
                <w:rFonts w:hint="eastAsia" w:ascii="宋体" w:hAnsi="宋体"/>
                <w:bCs/>
                <w:color w:val="000000"/>
                <w:sz w:val="24"/>
                <w:szCs w:val="24"/>
              </w:rPr>
              <w:t>37</w:t>
            </w:r>
          </w:p>
        </w:tc>
        <w:tc>
          <w:tcPr>
            <w:tcW w:w="1900" w:type="dxa"/>
            <w:vAlign w:val="center"/>
          </w:tcPr>
          <w:p>
            <w:pPr>
              <w:spacing w:before="0" w:after="3"/>
              <w:jc w:val="center"/>
            </w:pPr>
            <w:r>
              <w:rPr>
                <w:rFonts w:hint="eastAsia" w:ascii="宋体" w:hAnsi="宋体"/>
                <w:bCs/>
                <w:color w:val="000000"/>
                <w:sz w:val="24"/>
                <w:szCs w:val="24"/>
              </w:rPr>
              <w:t>0</w:t>
            </w:r>
          </w:p>
        </w:tc>
        <w:tc>
          <w:tcPr>
            <w:tcW w:w="1900" w:type="dxa"/>
            <w:vAlign w:val="center"/>
          </w:tcPr>
          <w:p>
            <w:pPr>
              <w:spacing w:before="0" w:after="3"/>
              <w:jc w:val="center"/>
            </w:pPr>
            <w:r>
              <w:rPr>
                <w:rFonts w:hint="eastAsia" w:ascii="宋体" w:hAnsi="宋体"/>
                <w:bCs/>
                <w:color w:val="000000"/>
                <w:sz w:val="24"/>
                <w:szCs w:val="24"/>
              </w:rPr>
              <w:t>0</w:t>
            </w:r>
          </w:p>
        </w:tc>
        <w:tc>
          <w:tcPr>
            <w:tcW w:w="1900" w:type="dxa"/>
            <w:vAlign w:val="center"/>
          </w:tcPr>
          <w:p>
            <w:pPr>
              <w:spacing w:before="0" w:after="3"/>
              <w:jc w:val="center"/>
            </w:pPr>
            <w:r>
              <w:rPr>
                <w:rFonts w:hint="eastAsia" w:ascii="宋体" w:hAnsi="宋体"/>
                <w:bCs/>
                <w:color w:val="000000"/>
                <w:sz w:val="24"/>
                <w:szCs w:val="24"/>
              </w:rPr>
              <w:t>87</w:t>
            </w:r>
          </w:p>
        </w:tc>
        <w:tc>
          <w:tcPr>
            <w:tcW w:w="1900" w:type="dxa"/>
            <w:vAlign w:val="center"/>
          </w:tcPr>
          <w:p>
            <w:pPr>
              <w:spacing w:before="0" w:after="3"/>
              <w:jc w:val="center"/>
            </w:pPr>
            <w:r>
              <w:rPr>
                <w:rFonts w:hint="eastAsia" w:ascii="宋体" w:hAnsi="宋体"/>
                <w:bCs/>
                <w:color w:val="000000"/>
                <w:sz w:val="18"/>
                <w:szCs w:val="18"/>
              </w:rPr>
              <w:t>合计得分最高100分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总得分</w:t>
            </w:r>
          </w:p>
        </w:tc>
        <w:tc>
          <w:tcPr>
            <w:tcW w:w="1900" w:type="dxa"/>
            <w:gridSpan w:val="8"/>
            <w:vAlign w:val="center"/>
          </w:tcPr>
          <w:p>
            <w:pPr>
              <w:spacing w:before="0" w:after="3"/>
              <w:jc w:val="center"/>
            </w:pPr>
            <w:r>
              <w:rPr>
                <w:rFonts w:hint="eastAsia" w:ascii="宋体" w:hAnsi="宋体"/>
                <w:bCs/>
                <w:color w:val="000000"/>
                <w:sz w:val="24"/>
                <w:szCs w:val="24"/>
              </w:rPr>
              <w:t>88.5</w:t>
            </w:r>
          </w:p>
        </w:tc>
        <w:tc>
          <w:tcPr>
            <w:tcW w:w="1900" w:type="dxa"/>
            <w:vAlign w:val="center"/>
          </w:tcPr>
          <w:p>
            <w:pPr>
              <w:spacing w:before="0" w:after="3"/>
              <w:jc w:val="center"/>
            </w:pPr>
            <w:r>
              <w:rPr>
                <w:rFonts w:hint="eastAsia" w:ascii="宋体" w:hAnsi="宋体"/>
                <w:bCs/>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00" w:type="dxa"/>
            <w:vAlign w:val="center"/>
          </w:tcPr>
          <w:p>
            <w:pPr>
              <w:spacing w:before="0" w:after="3"/>
              <w:jc w:val="center"/>
            </w:pPr>
            <w:r>
              <w:rPr>
                <w:rFonts w:hint="eastAsia" w:ascii="宋体" w:hAnsi="宋体"/>
                <w:b/>
                <w:bCs/>
                <w:color w:val="000000"/>
                <w:sz w:val="24"/>
                <w:szCs w:val="24"/>
              </w:rPr>
              <w:t>自评星级</w:t>
            </w:r>
          </w:p>
        </w:tc>
        <w:tc>
          <w:tcPr>
            <w:tcW w:w="1900" w:type="dxa"/>
            <w:gridSpan w:val="8"/>
            <w:vAlign w:val="center"/>
          </w:tcPr>
          <w:p>
            <w:pPr>
              <w:spacing w:before="0" w:after="3"/>
              <w:jc w:val="center"/>
            </w:pPr>
            <w:r>
              <w:rPr>
                <w:rFonts w:hint="eastAsia" w:ascii="宋体" w:hAnsi="宋体"/>
                <w:bCs/>
                <w:color w:val="000000"/>
                <w:sz w:val="24"/>
                <w:szCs w:val="24"/>
              </w:rPr>
              <w:t>★★★</w:t>
            </w:r>
          </w:p>
        </w:tc>
        <w:tc>
          <w:tcPr>
            <w:tcW w:w="1900" w:type="dxa"/>
            <w:vAlign w:val="center"/>
          </w:tcPr>
          <w:p>
            <w:pPr>
              <w:spacing w:before="0" w:after="3"/>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p>
    <w:p/>
    <w:p>
      <w:pPr>
        <w:numPr>
          <w:ilvl w:val="0"/>
          <w:numId w:val="1"/>
        </w:numPr>
        <w:rPr>
          <w:rFonts w:hint="eastAsia" w:ascii="宋体" w:hAnsi="宋体"/>
          <w:b/>
          <w:bCs/>
          <w:color w:val="000000"/>
          <w:sz w:val="28"/>
          <w:szCs w:val="28"/>
        </w:rPr>
      </w:pPr>
      <w:r>
        <w:rPr>
          <w:rFonts w:hint="eastAsia" w:ascii="宋体" w:hAnsi="宋体"/>
          <w:b/>
          <w:bCs/>
          <w:color w:val="000000"/>
          <w:sz w:val="28"/>
          <w:szCs w:val="28"/>
        </w:rPr>
        <w:t>项目效果图（需标示申报范围）</w:t>
      </w:r>
    </w:p>
    <w:p>
      <w:pPr>
        <w:numPr>
          <w:numId w:val="0"/>
        </w:numPr>
      </w:pPr>
      <w:r>
        <w:rPr>
          <w:rFonts w:hint="eastAsia" w:ascii="宋体" w:hAnsi="宋体" w:eastAsia="宋体"/>
          <w:b/>
          <w:bCs/>
          <w:color w:val="000000"/>
          <w:sz w:val="28"/>
          <w:szCs w:val="28"/>
          <w:lang w:eastAsia="zh-CN"/>
        </w:rPr>
        <w:drawing>
          <wp:inline distT="0" distB="0" distL="114300" distR="114300">
            <wp:extent cx="5729605" cy="3138805"/>
            <wp:effectExtent l="0" t="0" r="0" b="0"/>
            <wp:docPr id="2" name="图片 2" descr="QQ图片20240313200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40313200708"/>
                    <pic:cNvPicPr>
                      <a:picLocks noChangeAspect="1"/>
                    </pic:cNvPicPr>
                  </pic:nvPicPr>
                  <pic:blipFill>
                    <a:blip r:embed="rId6"/>
                    <a:srcRect t="7883"/>
                    <a:stretch>
                      <a:fillRect/>
                    </a:stretch>
                  </pic:blipFill>
                  <pic:spPr>
                    <a:xfrm>
                      <a:off x="0" y="0"/>
                      <a:ext cx="5729605" cy="3138805"/>
                    </a:xfrm>
                    <a:prstGeom prst="rect">
                      <a:avLst/>
                    </a:prstGeom>
                  </pic:spPr>
                </pic:pic>
              </a:graphicData>
            </a:graphic>
          </wp:inline>
        </w:drawing>
      </w:r>
    </w:p>
    <w:p>
      <w:pPr>
        <w:jc w:val="center"/>
      </w:pPr>
    </w:p>
    <w:p>
      <w:pPr>
        <w:spacing w:line="360" w:lineRule="auto"/>
        <w:ind w:firstLine="480"/>
        <w:jc w:val="left"/>
        <w:rPr>
          <w:rFonts w:hint="eastAsia" w:ascii="宋体" w:hAnsi="宋体" w:eastAsia="宋体"/>
          <w:bCs/>
          <w:color w:val="000000"/>
          <w:sz w:val="24"/>
          <w:szCs w:val="24"/>
          <w:lang w:eastAsia="zh-CN"/>
        </w:rPr>
      </w:pPr>
      <w:r>
        <w:rPr>
          <w:rFonts w:hint="eastAsia" w:ascii="宋体" w:hAnsi="宋体"/>
          <w:bCs/>
          <w:color w:val="000000"/>
          <w:sz w:val="24"/>
          <w:szCs w:val="24"/>
        </w:rPr>
        <w:t>项目地理位置、建筑面积、层数、高度、主要功能等概述：本项目位于江苏省常州市新北区</w:t>
      </w:r>
      <w:r>
        <w:rPr>
          <w:rFonts w:hint="eastAsia" w:ascii="宋体" w:hAnsi="宋体" w:eastAsia="宋体"/>
          <w:bCs/>
          <w:color w:val="000000"/>
          <w:sz w:val="24"/>
          <w:szCs w:val="24"/>
          <w:lang w:eastAsia="zh-CN"/>
        </w:rPr>
        <w:t>，</w:t>
      </w:r>
      <w:r>
        <w:rPr>
          <w:rFonts w:hint="eastAsia" w:ascii="宋体" w:hAnsi="宋体"/>
          <w:bCs/>
          <w:color w:val="000000"/>
          <w:sz w:val="24"/>
          <w:szCs w:val="24"/>
        </w:rPr>
        <w:t>总建筑面积4137㎡</w:t>
      </w:r>
      <w:r>
        <w:rPr>
          <w:rFonts w:hint="eastAsia" w:ascii="宋体" w:hAnsi="宋体" w:eastAsia="宋体"/>
          <w:bCs/>
          <w:color w:val="000000"/>
          <w:sz w:val="24"/>
          <w:szCs w:val="24"/>
          <w:lang w:eastAsia="zh-CN"/>
        </w:rPr>
        <w:t>，</w:t>
      </w:r>
      <w:r>
        <w:rPr>
          <w:rFonts w:hint="eastAsia" w:ascii="宋体" w:hAnsi="宋体" w:eastAsia="宋体"/>
          <w:bCs/>
          <w:color w:val="000000"/>
          <w:sz w:val="24"/>
          <w:szCs w:val="24"/>
          <w:lang w:val="en-US" w:eastAsia="zh-CN"/>
        </w:rPr>
        <w:t>共</w:t>
      </w:r>
      <w:r>
        <w:rPr>
          <w:rFonts w:hint="eastAsia" w:ascii="宋体" w:hAnsi="宋体"/>
          <w:bCs/>
          <w:color w:val="000000"/>
          <w:sz w:val="24"/>
          <w:szCs w:val="24"/>
        </w:rPr>
        <w:t>三层</w:t>
      </w:r>
      <w:r>
        <w:rPr>
          <w:rFonts w:hint="eastAsia" w:ascii="宋体" w:hAnsi="宋体" w:eastAsia="宋体"/>
          <w:bCs/>
          <w:color w:val="000000"/>
          <w:sz w:val="24"/>
          <w:szCs w:val="24"/>
          <w:lang w:eastAsia="zh-CN"/>
        </w:rPr>
        <w:t>，致力于打造一所符合当下低碳、绿色、节能、健康、环保、充满童趣和活力的绿色幼儿园。</w:t>
      </w:r>
    </w:p>
    <w:p>
      <w:pPr>
        <w:jc w:val="left"/>
        <w:rPr>
          <w:rFonts w:hint="eastAsia" w:eastAsia="宋体"/>
          <w:lang w:eastAsia="zh-CN"/>
        </w:rPr>
      </w:pPr>
    </w:p>
    <w:p/>
    <w:p>
      <w:pPr>
        <w:numPr>
          <w:ilvl w:val="0"/>
          <w:numId w:val="1"/>
        </w:numPr>
        <w:ind w:left="0" w:leftChars="0" w:firstLine="0" w:firstLineChars="0"/>
        <w:jc w:val="left"/>
        <w:rPr>
          <w:rFonts w:hint="eastAsia" w:ascii="宋体" w:hAnsi="宋体"/>
          <w:b/>
          <w:bCs/>
          <w:color w:val="000000"/>
          <w:sz w:val="28"/>
          <w:szCs w:val="28"/>
        </w:rPr>
      </w:pPr>
      <w:r>
        <w:rPr>
          <w:rFonts w:hint="eastAsia" w:ascii="宋体" w:hAnsi="宋体"/>
          <w:b/>
          <w:bCs/>
          <w:color w:val="000000"/>
          <w:sz w:val="28"/>
          <w:szCs w:val="28"/>
        </w:rPr>
        <w:t>自评内容</w:t>
      </w:r>
    </w:p>
    <w:p>
      <w:pPr>
        <w:jc w:val="center"/>
      </w:pPr>
      <w:r>
        <w:rPr>
          <w:rFonts w:hint="eastAsia"/>
          <w:b/>
          <w:bCs/>
          <w:color w:val="000000"/>
        </w:rPr>
        <w:t>4 安全耐久</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00"/>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shd w:val="clear" w:color="auto" w:fill="DCDCDC"/>
            <w:noWrap w:val="0"/>
            <w:vAlign w:val="center"/>
          </w:tcPr>
          <w:p>
            <w:pPr>
              <w:spacing w:after="3"/>
              <w:jc w:val="center"/>
            </w:pPr>
            <w:r>
              <w:rPr>
                <w:rFonts w:hint="eastAsia"/>
                <w:b/>
                <w:bCs/>
                <w:color w:val="000000"/>
                <w:sz w:val="20"/>
                <w:szCs w:val="20"/>
              </w:rPr>
              <w:t>子项</w:t>
            </w:r>
          </w:p>
        </w:tc>
        <w:tc>
          <w:tcPr>
            <w:tcW w:w="800" w:type="dxa"/>
            <w:shd w:val="clear" w:color="auto" w:fill="DCDCDC"/>
            <w:noWrap w:val="0"/>
            <w:vAlign w:val="center"/>
          </w:tcPr>
          <w:p>
            <w:pPr>
              <w:spacing w:after="3"/>
              <w:jc w:val="center"/>
            </w:pPr>
            <w:r>
              <w:rPr>
                <w:rFonts w:hint="eastAsia"/>
                <w:b/>
                <w:bCs/>
                <w:color w:val="000000"/>
                <w:sz w:val="22"/>
                <w:szCs w:val="22"/>
              </w:rPr>
              <w:t>条文编号</w:t>
            </w:r>
          </w:p>
        </w:tc>
        <w:tc>
          <w:tcPr>
            <w:tcW w:w="5000" w:type="dxa"/>
            <w:shd w:val="clear" w:color="auto" w:fill="DCDCDC"/>
            <w:noWrap w:val="0"/>
            <w:vAlign w:val="center"/>
          </w:tcPr>
          <w:p>
            <w:pPr>
              <w:spacing w:after="3"/>
              <w:jc w:val="center"/>
            </w:pPr>
            <w:r>
              <w:rPr>
                <w:rFonts w:hint="eastAsia"/>
                <w:b/>
                <w:bCs/>
                <w:color w:val="000000"/>
                <w:sz w:val="20"/>
                <w:szCs w:val="20"/>
              </w:rPr>
              <w:t>条文</w:t>
            </w:r>
          </w:p>
        </w:tc>
        <w:tc>
          <w:tcPr>
            <w:tcW w:w="800" w:type="dxa"/>
            <w:shd w:val="clear" w:color="auto" w:fill="DCDCDC"/>
            <w:noWrap w:val="0"/>
            <w:vAlign w:val="center"/>
          </w:tcPr>
          <w:p>
            <w:pPr>
              <w:spacing w:after="3"/>
              <w:jc w:val="center"/>
            </w:pPr>
            <w:r>
              <w:rPr>
                <w:rFonts w:hint="eastAsia"/>
                <w:b/>
                <w:bCs/>
                <w:color w:val="000000"/>
                <w:sz w:val="20"/>
                <w:szCs w:val="20"/>
              </w:rPr>
              <w:t>满分</w:t>
            </w:r>
          </w:p>
        </w:tc>
        <w:tc>
          <w:tcPr>
            <w:tcW w:w="800" w:type="dxa"/>
            <w:shd w:val="clear" w:color="auto" w:fill="DCDCDC"/>
            <w:noWrap w:val="0"/>
            <w:vAlign w:val="center"/>
          </w:tcPr>
          <w:p>
            <w:pPr>
              <w:spacing w:after="3"/>
              <w:jc w:val="center"/>
            </w:pPr>
            <w:r>
              <w:rPr>
                <w:rFonts w:hint="eastAsia"/>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控制项</w:t>
            </w:r>
          </w:p>
        </w:tc>
        <w:tc>
          <w:tcPr>
            <w:tcW w:w="800" w:type="dxa"/>
            <w:noWrap w:val="0"/>
            <w:vAlign w:val="center"/>
          </w:tcPr>
          <w:p>
            <w:pPr>
              <w:spacing w:after="3"/>
            </w:pPr>
            <w:r>
              <w:rPr>
                <w:rFonts w:hint="eastAsia"/>
                <w:bCs/>
                <w:color w:val="000000"/>
                <w:sz w:val="22"/>
                <w:szCs w:val="22"/>
              </w:rPr>
              <w:t>4.1.1</w:t>
            </w:r>
          </w:p>
        </w:tc>
        <w:tc>
          <w:tcPr>
            <w:tcW w:w="5000" w:type="dxa"/>
            <w:noWrap w:val="0"/>
            <w:vAlign w:val="center"/>
          </w:tcPr>
          <w:p>
            <w:pPr>
              <w:spacing w:after="3"/>
            </w:pPr>
            <w:r>
              <w:rPr>
                <w:rFonts w:hint="eastAsia"/>
                <w:bCs/>
                <w:color w:val="000000"/>
                <w:sz w:val="22"/>
                <w:szCs w:val="22"/>
              </w:rPr>
              <w:t>场地安全</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4.1.2</w:t>
            </w:r>
          </w:p>
        </w:tc>
        <w:tc>
          <w:tcPr>
            <w:tcW w:w="5000" w:type="dxa"/>
            <w:noWrap w:val="0"/>
            <w:vAlign w:val="center"/>
          </w:tcPr>
          <w:p>
            <w:pPr>
              <w:spacing w:after="3"/>
            </w:pPr>
            <w:r>
              <w:rPr>
                <w:rFonts w:hint="eastAsia"/>
                <w:bCs/>
                <w:color w:val="000000"/>
                <w:sz w:val="22"/>
                <w:szCs w:val="22"/>
              </w:rPr>
              <w:t>建筑结构</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4.1.3</w:t>
            </w:r>
          </w:p>
        </w:tc>
        <w:tc>
          <w:tcPr>
            <w:tcW w:w="5000" w:type="dxa"/>
            <w:noWrap w:val="0"/>
            <w:vAlign w:val="center"/>
          </w:tcPr>
          <w:p>
            <w:pPr>
              <w:spacing w:after="3"/>
            </w:pPr>
            <w:r>
              <w:rPr>
                <w:rFonts w:hint="eastAsia"/>
                <w:bCs/>
                <w:color w:val="000000"/>
                <w:sz w:val="22"/>
                <w:szCs w:val="22"/>
              </w:rPr>
              <w:t>外部设施</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4.1.4</w:t>
            </w:r>
          </w:p>
        </w:tc>
        <w:tc>
          <w:tcPr>
            <w:tcW w:w="5000" w:type="dxa"/>
            <w:noWrap w:val="0"/>
            <w:vAlign w:val="center"/>
          </w:tcPr>
          <w:p>
            <w:pPr>
              <w:spacing w:after="3"/>
            </w:pPr>
            <w:r>
              <w:rPr>
                <w:rFonts w:hint="eastAsia"/>
                <w:bCs/>
                <w:color w:val="000000"/>
                <w:sz w:val="22"/>
                <w:szCs w:val="22"/>
              </w:rPr>
              <w:t>建筑内部非结构构件</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4.1.5</w:t>
            </w:r>
          </w:p>
        </w:tc>
        <w:tc>
          <w:tcPr>
            <w:tcW w:w="5000" w:type="dxa"/>
            <w:noWrap w:val="0"/>
            <w:vAlign w:val="center"/>
          </w:tcPr>
          <w:p>
            <w:pPr>
              <w:spacing w:after="3"/>
            </w:pPr>
            <w:r>
              <w:rPr>
                <w:rFonts w:hint="eastAsia"/>
                <w:bCs/>
                <w:color w:val="000000"/>
                <w:sz w:val="22"/>
                <w:szCs w:val="22"/>
              </w:rPr>
              <w:t>外门窗性能</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4.1.6</w:t>
            </w:r>
          </w:p>
        </w:tc>
        <w:tc>
          <w:tcPr>
            <w:tcW w:w="5000" w:type="dxa"/>
            <w:noWrap w:val="0"/>
            <w:vAlign w:val="center"/>
          </w:tcPr>
          <w:p>
            <w:pPr>
              <w:spacing w:after="3"/>
            </w:pPr>
            <w:r>
              <w:rPr>
                <w:rFonts w:hint="eastAsia"/>
                <w:bCs/>
                <w:color w:val="000000"/>
                <w:sz w:val="22"/>
                <w:szCs w:val="22"/>
              </w:rPr>
              <w:t>防水防潮</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4.1.7</w:t>
            </w:r>
          </w:p>
        </w:tc>
        <w:tc>
          <w:tcPr>
            <w:tcW w:w="5000" w:type="dxa"/>
            <w:noWrap w:val="0"/>
            <w:vAlign w:val="center"/>
          </w:tcPr>
          <w:p>
            <w:pPr>
              <w:spacing w:after="3"/>
            </w:pPr>
            <w:r>
              <w:rPr>
                <w:rFonts w:hint="eastAsia"/>
                <w:bCs/>
                <w:color w:val="000000"/>
                <w:sz w:val="22"/>
                <w:szCs w:val="22"/>
              </w:rPr>
              <w:t>满足紧急疏散要求</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4.1.8</w:t>
            </w:r>
          </w:p>
        </w:tc>
        <w:tc>
          <w:tcPr>
            <w:tcW w:w="5000" w:type="dxa"/>
            <w:noWrap w:val="0"/>
            <w:vAlign w:val="center"/>
          </w:tcPr>
          <w:p>
            <w:pPr>
              <w:spacing w:after="3"/>
            </w:pPr>
            <w:r>
              <w:rPr>
                <w:rFonts w:hint="eastAsia"/>
                <w:bCs/>
                <w:color w:val="000000"/>
                <w:sz w:val="22"/>
                <w:szCs w:val="22"/>
              </w:rPr>
              <w:t>安全防护标识系统</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评分项</w:t>
            </w:r>
          </w:p>
        </w:tc>
        <w:tc>
          <w:tcPr>
            <w:tcW w:w="800" w:type="dxa"/>
            <w:noWrap w:val="0"/>
            <w:vAlign w:val="center"/>
          </w:tcPr>
          <w:p>
            <w:pPr>
              <w:spacing w:after="3"/>
            </w:pPr>
            <w:r>
              <w:rPr>
                <w:rFonts w:hint="eastAsia"/>
                <w:bCs/>
                <w:color w:val="000000"/>
                <w:sz w:val="22"/>
                <w:szCs w:val="22"/>
              </w:rPr>
              <w:t>4.2.1</w:t>
            </w:r>
          </w:p>
        </w:tc>
        <w:tc>
          <w:tcPr>
            <w:tcW w:w="5000" w:type="dxa"/>
            <w:noWrap w:val="0"/>
            <w:vAlign w:val="center"/>
          </w:tcPr>
          <w:p>
            <w:pPr>
              <w:spacing w:after="3"/>
            </w:pPr>
            <w:r>
              <w:rPr>
                <w:rFonts w:hint="eastAsia"/>
                <w:bCs/>
                <w:color w:val="000000"/>
                <w:sz w:val="22"/>
                <w:szCs w:val="22"/>
              </w:rPr>
              <w:t>提高抗震性能</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4.2.2</w:t>
            </w:r>
          </w:p>
        </w:tc>
        <w:tc>
          <w:tcPr>
            <w:tcW w:w="5000" w:type="dxa"/>
            <w:noWrap w:val="0"/>
            <w:vAlign w:val="center"/>
          </w:tcPr>
          <w:p>
            <w:pPr>
              <w:spacing w:after="3"/>
            </w:pPr>
            <w:r>
              <w:rPr>
                <w:rFonts w:hint="eastAsia"/>
                <w:bCs/>
                <w:color w:val="000000"/>
                <w:sz w:val="22"/>
                <w:szCs w:val="22"/>
              </w:rPr>
              <w:t>防护措施</w:t>
            </w:r>
          </w:p>
        </w:tc>
        <w:tc>
          <w:tcPr>
            <w:tcW w:w="800" w:type="dxa"/>
            <w:noWrap w:val="0"/>
            <w:vAlign w:val="center"/>
          </w:tcPr>
          <w:p>
            <w:pPr>
              <w:spacing w:after="3"/>
              <w:jc w:val="center"/>
            </w:pPr>
            <w:r>
              <w:rPr>
                <w:rFonts w:hint="eastAsia"/>
                <w:bCs/>
                <w:color w:val="000000"/>
                <w:sz w:val="22"/>
                <w:szCs w:val="22"/>
              </w:rPr>
              <w:t>15</w:t>
            </w:r>
          </w:p>
        </w:tc>
        <w:tc>
          <w:tcPr>
            <w:tcW w:w="800" w:type="dxa"/>
            <w:noWrap w:val="0"/>
            <w:vAlign w:val="center"/>
          </w:tcPr>
          <w:p>
            <w:pPr>
              <w:spacing w:after="3"/>
              <w:jc w:val="center"/>
            </w:pPr>
            <w:r>
              <w:rPr>
                <w:rFonts w:hint="eastAsia"/>
                <w:bCs/>
                <w:color w:val="000000"/>
                <w:sz w:val="22"/>
                <w:szCs w:val="22"/>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4.2.3</w:t>
            </w:r>
          </w:p>
        </w:tc>
        <w:tc>
          <w:tcPr>
            <w:tcW w:w="5000" w:type="dxa"/>
            <w:noWrap w:val="0"/>
            <w:vAlign w:val="center"/>
          </w:tcPr>
          <w:p>
            <w:pPr>
              <w:spacing w:after="3"/>
            </w:pPr>
            <w:r>
              <w:rPr>
                <w:rFonts w:hint="eastAsia"/>
                <w:bCs/>
                <w:color w:val="000000"/>
                <w:sz w:val="22"/>
                <w:szCs w:val="22"/>
              </w:rPr>
              <w:t>配件安全性</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4.2.4</w:t>
            </w:r>
          </w:p>
        </w:tc>
        <w:tc>
          <w:tcPr>
            <w:tcW w:w="5000" w:type="dxa"/>
            <w:noWrap w:val="0"/>
            <w:vAlign w:val="center"/>
          </w:tcPr>
          <w:p>
            <w:pPr>
              <w:spacing w:after="3"/>
            </w:pPr>
            <w:r>
              <w:rPr>
                <w:rFonts w:hint="eastAsia"/>
                <w:bCs/>
                <w:color w:val="000000"/>
                <w:sz w:val="22"/>
                <w:szCs w:val="22"/>
              </w:rPr>
              <w:t>地面防滑设置</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4.2.5</w:t>
            </w:r>
          </w:p>
        </w:tc>
        <w:tc>
          <w:tcPr>
            <w:tcW w:w="5000" w:type="dxa"/>
            <w:noWrap w:val="0"/>
            <w:vAlign w:val="center"/>
          </w:tcPr>
          <w:p>
            <w:pPr>
              <w:spacing w:after="3"/>
            </w:pPr>
            <w:r>
              <w:rPr>
                <w:rFonts w:hint="eastAsia"/>
                <w:bCs/>
                <w:color w:val="000000"/>
                <w:sz w:val="22"/>
                <w:szCs w:val="22"/>
              </w:rPr>
              <w:t>人车分流及交通照明</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4.2.6</w:t>
            </w:r>
          </w:p>
        </w:tc>
        <w:tc>
          <w:tcPr>
            <w:tcW w:w="5000" w:type="dxa"/>
            <w:noWrap w:val="0"/>
            <w:vAlign w:val="center"/>
          </w:tcPr>
          <w:p>
            <w:pPr>
              <w:spacing w:after="3"/>
            </w:pPr>
            <w:r>
              <w:rPr>
                <w:rFonts w:hint="eastAsia"/>
                <w:bCs/>
                <w:color w:val="000000"/>
                <w:sz w:val="22"/>
                <w:szCs w:val="22"/>
              </w:rPr>
              <w:t>建筑适变性</w:t>
            </w:r>
          </w:p>
        </w:tc>
        <w:tc>
          <w:tcPr>
            <w:tcW w:w="800" w:type="dxa"/>
            <w:noWrap w:val="0"/>
            <w:vAlign w:val="center"/>
          </w:tcPr>
          <w:p>
            <w:pPr>
              <w:spacing w:after="3"/>
              <w:jc w:val="center"/>
            </w:pPr>
            <w:r>
              <w:rPr>
                <w:rFonts w:hint="eastAsia"/>
                <w:bCs/>
                <w:color w:val="000000"/>
                <w:sz w:val="22"/>
                <w:szCs w:val="22"/>
              </w:rPr>
              <w:t>18</w:t>
            </w:r>
          </w:p>
        </w:tc>
        <w:tc>
          <w:tcPr>
            <w:tcW w:w="800" w:type="dxa"/>
            <w:noWrap w:val="0"/>
            <w:vAlign w:val="center"/>
          </w:tcPr>
          <w:p>
            <w:pPr>
              <w:spacing w:after="3"/>
              <w:jc w:val="center"/>
            </w:pPr>
            <w:r>
              <w:rPr>
                <w:rFonts w:hint="eastAsia"/>
                <w:bCs/>
                <w:color w:val="000000"/>
                <w:sz w:val="22"/>
                <w:szCs w:val="22"/>
              </w:rPr>
              <w:t>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4.2.7</w:t>
            </w:r>
          </w:p>
        </w:tc>
        <w:tc>
          <w:tcPr>
            <w:tcW w:w="5000" w:type="dxa"/>
            <w:noWrap w:val="0"/>
            <w:vAlign w:val="center"/>
          </w:tcPr>
          <w:p>
            <w:pPr>
              <w:spacing w:after="3"/>
            </w:pPr>
            <w:r>
              <w:rPr>
                <w:rFonts w:hint="eastAsia"/>
                <w:bCs/>
                <w:color w:val="000000"/>
                <w:sz w:val="22"/>
                <w:szCs w:val="22"/>
              </w:rPr>
              <w:t>部品部件耐久性</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4.2.8</w:t>
            </w:r>
          </w:p>
        </w:tc>
        <w:tc>
          <w:tcPr>
            <w:tcW w:w="5000" w:type="dxa"/>
            <w:noWrap w:val="0"/>
            <w:vAlign w:val="center"/>
          </w:tcPr>
          <w:p>
            <w:pPr>
              <w:spacing w:after="3"/>
            </w:pPr>
            <w:r>
              <w:rPr>
                <w:rFonts w:hint="eastAsia"/>
                <w:bCs/>
                <w:color w:val="000000"/>
                <w:sz w:val="22"/>
                <w:szCs w:val="22"/>
              </w:rPr>
              <w:t>结构材料耐久性</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4.2.9</w:t>
            </w:r>
          </w:p>
        </w:tc>
        <w:tc>
          <w:tcPr>
            <w:tcW w:w="5000" w:type="dxa"/>
            <w:noWrap w:val="0"/>
            <w:vAlign w:val="center"/>
          </w:tcPr>
          <w:p>
            <w:pPr>
              <w:spacing w:after="3"/>
            </w:pPr>
            <w:r>
              <w:rPr>
                <w:rFonts w:hint="eastAsia"/>
                <w:bCs/>
                <w:color w:val="000000"/>
                <w:sz w:val="22"/>
                <w:szCs w:val="22"/>
              </w:rPr>
              <w:t>装饰装修材料耐久性</w:t>
            </w:r>
          </w:p>
        </w:tc>
        <w:tc>
          <w:tcPr>
            <w:tcW w:w="800" w:type="dxa"/>
            <w:noWrap w:val="0"/>
            <w:vAlign w:val="center"/>
          </w:tcPr>
          <w:p>
            <w:pPr>
              <w:spacing w:after="3"/>
              <w:jc w:val="center"/>
            </w:pPr>
            <w:r>
              <w:rPr>
                <w:rFonts w:hint="eastAsia"/>
                <w:bCs/>
                <w:color w:val="000000"/>
                <w:sz w:val="22"/>
                <w:szCs w:val="22"/>
              </w:rPr>
              <w:t>9</w:t>
            </w:r>
          </w:p>
        </w:tc>
        <w:tc>
          <w:tcPr>
            <w:tcW w:w="800" w:type="dxa"/>
            <w:noWrap w:val="0"/>
            <w:vAlign w:val="center"/>
          </w:tcPr>
          <w:p>
            <w:pPr>
              <w:spacing w:after="3"/>
              <w:jc w:val="center"/>
            </w:pPr>
            <w:r>
              <w:rPr>
                <w:rFonts w:hint="eastAsia"/>
                <w:bCs/>
                <w:color w:val="000000"/>
                <w:sz w:val="22"/>
                <w:szCs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gridSpan w:val="3"/>
            <w:shd w:val="clear" w:color="auto" w:fill="DCDCDC"/>
            <w:noWrap w:val="0"/>
            <w:vAlign w:val="center"/>
          </w:tcPr>
          <w:p>
            <w:pPr>
              <w:spacing w:after="3"/>
              <w:jc w:val="center"/>
            </w:pPr>
            <w:r>
              <w:rPr>
                <w:rFonts w:hint="eastAsia"/>
                <w:b/>
                <w:bCs/>
                <w:color w:val="000000"/>
                <w:sz w:val="20"/>
                <w:szCs w:val="20"/>
              </w:rPr>
              <w:t>合计</w:t>
            </w:r>
          </w:p>
        </w:tc>
        <w:tc>
          <w:tcPr>
            <w:tcW w:w="800" w:type="dxa"/>
            <w:noWrap w:val="0"/>
            <w:vAlign w:val="center"/>
          </w:tcPr>
          <w:p>
            <w:pPr>
              <w:spacing w:after="3"/>
              <w:jc w:val="center"/>
            </w:pPr>
            <w:r>
              <w:rPr>
                <w:rFonts w:hint="eastAsia"/>
                <w:bCs/>
                <w:color w:val="000000"/>
                <w:sz w:val="22"/>
                <w:szCs w:val="22"/>
              </w:rPr>
              <w:t>100.0</w:t>
            </w:r>
          </w:p>
        </w:tc>
        <w:tc>
          <w:tcPr>
            <w:tcW w:w="800" w:type="dxa"/>
            <w:noWrap w:val="0"/>
            <w:vAlign w:val="center"/>
          </w:tcPr>
          <w:p>
            <w:pPr>
              <w:spacing w:after="3"/>
              <w:jc w:val="center"/>
            </w:pPr>
            <w:r>
              <w:rPr>
                <w:rFonts w:hint="eastAsia"/>
                <w:bCs/>
                <w:color w:val="000000"/>
                <w:sz w:val="22"/>
                <w:szCs w:val="22"/>
              </w:rPr>
              <w:t>100.0</w:t>
            </w:r>
          </w:p>
        </w:tc>
      </w:tr>
    </w:tbl>
    <w:p/>
    <w:p>
      <w:pPr>
        <w:numPr>
          <w:numId w:val="0"/>
        </w:numPr>
        <w:ind w:leftChars="0"/>
        <w:jc w:val="left"/>
        <w:rPr>
          <w:rFonts w:hint="eastAsia" w:ascii="宋体" w:hAnsi="宋体"/>
          <w:b/>
          <w:bCs/>
          <w:color w:val="000000"/>
          <w:sz w:val="28"/>
          <w:szCs w:val="28"/>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4.1.1 场地应避开滑坡、泥石流等地质危险地段，易发生洪涝区有可靠的防涝基础设施；场地应无危险化学品、易燃易爆源的威胁，无电磁辐射、含氡土壤的危害。</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请对场地作简要说明。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建筑场地选址科学，土地平整，无洪涝、滑坡、泥石流自然灾害，无危险化学品、易燃易爆危险源的威胁，无电磁辐射、含氡土壤等危害。</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）项目区位图、场地地形图、工程地质勘察报告；</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）环评报告；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）相关检测报告或论证报告。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环评报告：2规划设计/ 环评报告书.docx</w:t>
            </w:r>
            <w:r>
              <w:rPr>
                <w:rFonts w:ascii="Times New Roman" w:hAnsi="Times New Roman" w:cs="Times New Roman"/>
                <w:sz w:val="20"/>
                <w:szCs w:val="20"/>
              </w:rPr>
              <w:br w:type="textWrapping"/>
            </w:r>
            <w:r>
              <w:rPr>
                <w:rStyle w:val="26"/>
                <w:rFonts w:ascii="Times New Roman" w:hAnsi="Times New Roman" w:cs="Times New Roman"/>
                <w:sz w:val="20"/>
                <w:szCs w:val="20"/>
              </w:rPr>
              <w:t>工程地质勘察报告：2规划设计/ 项目地质灾害危险性评估报告.doc</w:t>
            </w:r>
            <w:r>
              <w:rPr>
                <w:rFonts w:ascii="Times New Roman" w:hAnsi="Times New Roman" w:cs="Times New Roman"/>
                <w:sz w:val="20"/>
                <w:szCs w:val="20"/>
              </w:rPr>
              <w:br w:type="textWrapping"/>
            </w:r>
            <w:r>
              <w:rPr>
                <w:rStyle w:val="26"/>
                <w:rFonts w:ascii="Times New Roman" w:hAnsi="Times New Roman" w:cs="Times New Roman"/>
                <w:sz w:val="20"/>
                <w:szCs w:val="20"/>
              </w:rPr>
              <w:t>相关检测报告或论证报告：2规划设计/ 危险源风险辨识及评价报告.doc</w:t>
            </w:r>
            <w:r>
              <w:rPr>
                <w:rFonts w:ascii="Times New Roman" w:hAnsi="Times New Roman" w:cs="Times New Roman"/>
                <w:sz w:val="20"/>
                <w:szCs w:val="20"/>
              </w:rPr>
              <w:br w:type="textWrapping"/>
            </w:r>
            <w:r>
              <w:rPr>
                <w:rStyle w:val="26"/>
                <w:rFonts w:ascii="Times New Roman" w:hAnsi="Times New Roman" w:cs="Times New Roman"/>
                <w:sz w:val="20"/>
                <w:szCs w:val="20"/>
              </w:rPr>
              <w:t>项目区位图：2规划设计/ 新桥幼儿园地形-17(1).dwg</w:t>
            </w:r>
            <w:r>
              <w:rPr>
                <w:rFonts w:ascii="Times New Roman" w:hAnsi="Times New Roman" w:cs="Times New Roman"/>
                <w:sz w:val="20"/>
                <w:szCs w:val="20"/>
              </w:rPr>
              <w:br w:type="textWrapping"/>
            </w:r>
            <w:r>
              <w:rPr>
                <w:rStyle w:val="26"/>
                <w:rFonts w:ascii="Times New Roman" w:hAnsi="Times New Roman" w:cs="Times New Roman"/>
                <w:sz w:val="20"/>
                <w:szCs w:val="20"/>
              </w:rPr>
              <w:t>场地地形图：3建筑设计/ 新桥幼儿园地形-17(1).dwg</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 xml:space="preserve">4.1.2 建筑结构应满足承载力和建筑使用功能要求。建筑外墙、屋面门窗幕墙及外保温等围护结构应满足安全、耐久和防护的要求。 </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pPr>
        <w:pStyle w:val="11"/>
        <w:spacing w:before="0" w:beforeAutospacing="0" w:after="0" w:afterAutospacing="0"/>
        <w:jc w:val="both"/>
      </w:pPr>
      <w:r>
        <w:rPr>
          <w:rStyle w:val="25"/>
          <w:rFonts w:hint="eastAsia" w:ascii="MS Mincho" w:hAnsi="MS Mincho" w:eastAsia="MS Mincho" w:cs="MS Mincho"/>
          <w:sz w:val="28"/>
          <w:szCs w:val="28"/>
        </w:rPr>
        <w:t>☑</w:t>
      </w:r>
      <w:r>
        <w:t xml:space="preserve"> </w:t>
      </w:r>
      <w:r>
        <w:rPr>
          <w:rFonts w:hint="eastAsia"/>
          <w:sz w:val="21"/>
          <w:szCs w:val="21"/>
        </w:rPr>
        <w:t>达标；</w:t>
      </w:r>
      <w:r>
        <w:t xml:space="preserve"> </w:t>
      </w:r>
      <w:r>
        <w:rPr>
          <w:rStyle w:val="25"/>
          <w:rFonts w:hint="eastAsia" w:ascii="MS Mincho" w:hAnsi="MS Mincho" w:eastAsia="MS Mincho" w:cs="MS Mincho"/>
          <w:sz w:val="28"/>
          <w:szCs w:val="28"/>
        </w:rPr>
        <w:t>☐</w:t>
      </w:r>
      <w:r>
        <w:t xml:space="preserve"> </w:t>
      </w:r>
      <w:r>
        <w:rPr>
          <w:rFonts w:hint="eastAsia"/>
          <w:sz w:val="21"/>
          <w:szCs w:val="21"/>
        </w:rPr>
        <w:t>不达标</w:t>
      </w:r>
      <w:r>
        <w:t xml:space="preserve"> </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pPr>
        <w:pStyle w:val="11"/>
        <w:spacing w:before="0" w:beforeAutospacing="0" w:after="0" w:afterAutospacing="0"/>
        <w:jc w:val="both"/>
      </w:pPr>
      <w:r>
        <w:rPr>
          <w:rFonts w:hint="eastAsia"/>
          <w:sz w:val="21"/>
          <w:szCs w:val="21"/>
        </w:rPr>
        <w:t>请对建筑结构和外墙，门窗幕墙及外保温等围护结构的构造满足安全性耐久性的作法。</w:t>
      </w:r>
      <w:r>
        <w:t xml:space="preserve"> </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w:t>
            </w:r>
          </w:p>
          <w:p>
            <w:pPr>
              <w:spacing w:before="100" w:beforeAutospacing="1" w:after="100" w:afterAutospacing="1"/>
            </w:pPr>
            <w:r>
              <w:t>1、对整体刚度较差的建筑物，纠倾施工前先进行破损部位或建筑物整体的加固施工，防止建筑物在施工时发生倒塌。</w:t>
            </w:r>
            <w:r>
              <w:br w:type="textWrapping"/>
            </w:r>
            <w:r>
              <w:t>2、要考虑建筑物地基在纠倾施工时可能产生的附加沉降，并估计纠倾后建筑物地基可能持续的变形(即滞后的回倾量)，在纠倾施工时及施工后要加强现场观测，并要采取有效的处理措施。</w:t>
            </w:r>
            <w:r>
              <w:br w:type="textWrapping"/>
            </w:r>
            <w:r>
              <w:t>3、施工前要对相邻建筑物及地下设施进行一次检查或测量，要与对方协商或签订协议，采取必要的保护措施。</w:t>
            </w:r>
            <w:r>
              <w:br w:type="textWrapping"/>
            </w:r>
            <w:r>
              <w:t>4、对于纠倾后的复倾可能性，应根据防复倾加固设计，在纠倾施工前或施工后进行加固处理。</w:t>
            </w:r>
          </w:p>
          <w:p>
            <w:r>
              <w:rPr>
                <w:rFonts w:ascii="Times New Roman" w:hAnsi="Times New Roman" w:cs="Times New Roman"/>
                <w:sz w:val="20"/>
                <w:szCs w:val="20"/>
              </w:rPr>
              <w:t>​​</w:t>
            </w:r>
            <w:r>
              <w:t xml:space="preserve">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pPr>
        <w:pStyle w:val="11"/>
        <w:spacing w:before="0" w:beforeAutospacing="0" w:after="0" w:afterAutospacing="0"/>
        <w:jc w:val="both"/>
      </w:pPr>
      <w:r>
        <w:rPr>
          <w:rFonts w:hint="eastAsia"/>
          <w:sz w:val="21"/>
          <w:szCs w:val="21"/>
        </w:rPr>
        <w:t>提交材料及要求：</w:t>
      </w:r>
      <w:r>
        <w:t xml:space="preserve"> </w:t>
      </w:r>
    </w:p>
    <w:p>
      <w:pPr>
        <w:pStyle w:val="11"/>
        <w:spacing w:before="0" w:beforeAutospacing="0" w:after="0" w:afterAutospacing="0"/>
        <w:jc w:val="both"/>
      </w:pPr>
      <w:r>
        <w:rPr>
          <w:rFonts w:ascii="Times New Roman" w:hAnsi="Times New Roman" w:cs="Times New Roman"/>
          <w:sz w:val="21"/>
          <w:szCs w:val="21"/>
        </w:rPr>
        <w:t>1</w:t>
      </w:r>
      <w:r>
        <w:t xml:space="preserve"> </w:t>
      </w:r>
      <w:r>
        <w:rPr>
          <w:rFonts w:hint="eastAsia"/>
          <w:sz w:val="21"/>
          <w:szCs w:val="21"/>
        </w:rPr>
        <w:t>）建筑竣工图与设计说明、结构竣工图与设计说明、主体与围护结构计算书等；</w:t>
      </w:r>
      <w:r>
        <w:t xml:space="preserve"> </w:t>
      </w:r>
    </w:p>
    <w:p>
      <w:pPr>
        <w:pStyle w:val="11"/>
        <w:spacing w:before="0" w:beforeAutospacing="0" w:after="0" w:afterAutospacing="0"/>
        <w:jc w:val="both"/>
      </w:pPr>
      <w:r>
        <w:rPr>
          <w:rFonts w:ascii="Times New Roman" w:hAnsi="Times New Roman" w:cs="Times New Roman"/>
          <w:sz w:val="21"/>
          <w:szCs w:val="21"/>
        </w:rPr>
        <w:t>2</w:t>
      </w:r>
      <w:r>
        <w:t xml:space="preserve"> </w:t>
      </w:r>
      <w:r>
        <w:rPr>
          <w:rFonts w:hint="eastAsia"/>
          <w:sz w:val="21"/>
          <w:szCs w:val="21"/>
        </w:rPr>
        <w:t>）竣工验收合格证明及相关主要结构用材料的检测报告；</w:t>
      </w:r>
      <w:r>
        <w:t xml:space="preserve"> </w:t>
      </w:r>
    </w:p>
    <w:p>
      <w:pPr>
        <w:pStyle w:val="11"/>
        <w:spacing w:before="0" w:beforeAutospacing="0" w:after="0" w:afterAutospacing="0"/>
        <w:jc w:val="both"/>
      </w:pPr>
      <w:r>
        <w:rPr>
          <w:rFonts w:ascii="Times New Roman" w:hAnsi="Times New Roman" w:cs="Times New Roman"/>
          <w:sz w:val="21"/>
          <w:szCs w:val="21"/>
        </w:rPr>
        <w:t>3</w:t>
      </w:r>
      <w:r>
        <w:t xml:space="preserve"> </w:t>
      </w:r>
      <w:r>
        <w:rPr>
          <w:rFonts w:hint="eastAsia"/>
          <w:sz w:val="21"/>
          <w:szCs w:val="21"/>
        </w:rPr>
        <w:t>）运营管理记录，应包括定期查验记录与维修记录等。</w:t>
      </w:r>
      <w:r>
        <w:t xml:space="preserve"> </w:t>
      </w:r>
    </w:p>
    <w:p>
      <w:pPr>
        <w:pStyle w:val="11"/>
        <w:spacing w:before="0" w:beforeAutospacing="0" w:after="0" w:afterAutospacing="0"/>
        <w:jc w:val="both"/>
      </w:pPr>
      <w:r>
        <w:rPr>
          <w:rFonts w:ascii="Times New Roman" w:hAnsi="Times New Roman" w:cs="Times New Roman"/>
          <w:sz w:val="21"/>
          <w:szCs w:val="21"/>
        </w:rPr>
        <w:t> </w:t>
      </w:r>
      <w:r>
        <w:t xml:space="preserve"> </w:t>
      </w:r>
    </w:p>
    <w:p>
      <w:pPr>
        <w:pStyle w:val="11"/>
        <w:spacing w:before="0" w:beforeAutospacing="0" w:after="0" w:afterAutospacing="0"/>
        <w:jc w:val="both"/>
      </w:pPr>
      <w:r>
        <w:rPr>
          <w:rFonts w:hint="eastAsia"/>
          <w:sz w:val="21"/>
          <w:szCs w:val="21"/>
        </w:rPr>
        <w:t>实际提交材料：</w:t>
      </w:r>
      <w:r>
        <w:t xml:space="preserve"> </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Pr>
              <w:t>建筑专业图纸与设计说明：3建筑设计/ 建筑专业图纸与设计说明/</w:t>
            </w:r>
            <w:r>
              <w:br w:type="textWrapping"/>
            </w:r>
            <w:r>
              <w:rPr>
                <w:rStyle w:val="26"/>
              </w:rPr>
              <w:t>结构专业图纸与设计说明：7结构建材/ 结构专业图纸与设计说明/</w:t>
            </w:r>
            <w:r>
              <w:br w:type="textWrapping"/>
            </w:r>
            <w:r>
              <w:rPr>
                <w:rStyle w:val="26"/>
              </w:rPr>
              <w:t>主体与围护结构计算书：7结构建材/ 围护结构计算书.doc</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4.1.3 外遮阳、太阳能设施、空调室外机位、外墙花池等部外部设施应与建筑主体结构统一设计、施工，并应具备安装、检修与维护条件。</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请对外部设施与建筑主体结构的统一设计、施工进行简要说明。</w:t>
      </w:r>
    </w:p>
    <w:tbl>
      <w:tblPr>
        <w:tblStyle w:val="13"/>
        <w:tblW w:w="0" w:type="auto"/>
        <w:jc w:val="center"/>
        <w:tblLayout w:type="autofit"/>
        <w:tblCellMar>
          <w:top w:w="0" w:type="dxa"/>
          <w:left w:w="0" w:type="dxa"/>
          <w:bottom w:w="0" w:type="dxa"/>
          <w:right w:w="0" w:type="dxa"/>
        </w:tblCellMar>
      </w:tblPr>
      <w:tblGrid>
        <w:gridCol w:w="8508"/>
      </w:tblGrid>
      <w:tr>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本项目集中热水采用太阳能热水系统，集热器布置在屋面，系统为集中集热集中供热系统。</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）建筑和结构竣工图和设计说明；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）外部设施设计说明、计算书和结构大样竣工图；</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）相关检测报告；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）外部设施的维修与管理记录。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结构专业图纸与设计说明：7结构建材/ 结构专业图纸与设计说明/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4.1.4 建筑内部的非结构件、设备及附属设施等应连接牢固并能适应主体结构变形。</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请对建筑内部的非结构件、设备及附属设施等的连接情况进行简要说明。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rPr>
                <w:rFonts w:ascii="Times New Roman" w:hAnsi="Times New Roman" w:cs="Times New Roman"/>
                <w:sz w:val="20"/>
                <w:szCs w:val="20"/>
              </w:rPr>
            </w:pPr>
            <w:r>
              <w:rPr>
                <w:rFonts w:ascii="Times New Roman" w:hAnsi="Times New Roman" w:cs="Times New Roman"/>
                <w:sz w:val="20"/>
                <w:szCs w:val="20"/>
              </w:rPr>
              <w:t> </w:t>
            </w:r>
          </w:p>
          <w:p>
            <w:pPr>
              <w:pStyle w:val="11"/>
              <w:shd w:val="clear" w:color="auto" w:fill="FFFFFF"/>
              <w:spacing w:before="0" w:beforeAutospacing="0" w:after="0" w:afterAutospacing="0"/>
              <w:ind w:firstLine="480"/>
              <w:rPr>
                <w:rFonts w:ascii="Helvetica" w:hAnsi="Helvetica" w:cs="Helvetica"/>
                <w:color w:val="444444"/>
              </w:rPr>
            </w:pPr>
            <w:r>
              <w:rPr>
                <w:rFonts w:ascii="Helvetica" w:hAnsi="Helvetica" w:cs="Helvetica"/>
                <w:color w:val="444444"/>
              </w:rPr>
              <w:t>建筑内部的非结构构件包括非承重墙体、附着于楼面和屋面结构的构件、装饰构件和部件、固定于楼面的大型储物架，移动式档案密集柜等。设备指建筑中为建筑使用功能服务的附属机械、电气构件、部件和系统，主要包括电梯、照明和应急电源、通信设备、管道系统、采暖和空气调节系统、烟火监测和消防系统、公用天线等。附属设施包括整体卫生间、固定在墙体上的橱柜、储物柜等等。</w:t>
            </w:r>
          </w:p>
          <w:p>
            <w:pPr>
              <w:pStyle w:val="11"/>
              <w:shd w:val="clear" w:color="auto" w:fill="FFFFFF"/>
              <w:spacing w:before="0" w:beforeAutospacing="0" w:after="0" w:afterAutospacing="0"/>
              <w:ind w:firstLine="480"/>
              <w:rPr>
                <w:rFonts w:ascii="Helvetica" w:hAnsi="Helvetica" w:cs="Helvetica"/>
                <w:color w:val="444444"/>
              </w:rPr>
            </w:pPr>
            <w:r>
              <w:rPr>
                <w:rFonts w:ascii="Helvetica" w:hAnsi="Helvetica" w:cs="Helvetica"/>
                <w:color w:val="444444"/>
              </w:rPr>
              <w:t>建筑内部非结构构件、设备及附属设施等应满足建筑使用安全，与主体结构之间的连接满足承载力验算及国家相关规范规定的构造要求。例如，内填充墙高厚比应满足稳定性计算要求；楼屋面下机电设备的吊杆满足吊挂设备的承载力要求;墙上固定吊柜与墙体连接可靠，连接锚栓满足吊柜预期极限承载能力的要求。</w:t>
            </w:r>
          </w:p>
          <w:p>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）建筑、结构竣工图和设计说明；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）关键构件计算书；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）相关检测报告；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）建筑的维修与管理记录。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结构专业图纸与设计说明：7结构建材/ 结构专业图纸与设计说明/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4.1.5 建筑外门窗必须安装牢靠，其抗风压性能和水密性能应符合国家现行有关标准的规定。</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0" w:beforeAutospacing="0" w:after="0" w:afterAutospacing="0"/>
        <w:jc w:val="both"/>
      </w:pPr>
      <w:r>
        <w:rPr>
          <w:rFonts w:ascii="Times New Roman" w:hAnsi="Times New Roman" w:cs="Times New Roman"/>
          <w:sz w:val="21"/>
          <w:szCs w:val="21"/>
        </w:rPr>
        <w:t> </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请对外门窗牢靠性、抗风压性能和水密性能进行简要说明。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ascii="Times New Roman" w:hAnsi="Times New Roman" w:cs="Times New Roman"/>
                <w:sz w:val="20"/>
                <w:szCs w:val="20"/>
              </w:rPr>
              <w:t> </w:t>
            </w:r>
            <w:r>
              <w:rPr>
                <w:rFonts w:ascii="Arial" w:hAnsi="Arial" w:cs="Arial"/>
                <w:b/>
                <w:bCs/>
                <w:color w:val="333333"/>
                <w:shd w:val="clear" w:color="auto" w:fill="FFFFFF"/>
              </w:rPr>
              <w:t>空气渗透性能，也称气密性</w:t>
            </w:r>
            <w:r>
              <w:rPr>
                <w:rFonts w:ascii="Arial" w:hAnsi="Arial" w:cs="Arial"/>
                <w:color w:val="333333"/>
                <w:shd w:val="clear" w:color="auto" w:fill="FFFFFF"/>
              </w:rPr>
              <w:t>，是指外门窗在正常关闭状态时，阻止空气渗透的能力。外门窗气密性能的高低，对热量的损失影响极大，气密性能越好，则热交换就越少，对室温的影响也越小。</w:t>
            </w:r>
            <w:r>
              <w:rPr>
                <w:rFonts w:ascii="Times New Roman" w:hAnsi="Times New Roman" w:cs="Times New Roman"/>
                <w:sz w:val="20"/>
                <w:szCs w:val="20"/>
              </w:rPr>
              <w:br w:type="textWrapping"/>
            </w:r>
            <w:r>
              <w:rPr>
                <w:rFonts w:ascii="Times New Roman" w:hAnsi="Times New Roman" w:cs="Times New Roman"/>
                <w:sz w:val="20"/>
                <w:szCs w:val="20"/>
              </w:rPr>
              <w:t>​</w:t>
            </w:r>
            <w:r>
              <w:rPr>
                <w:rFonts w:ascii="Arial" w:hAnsi="Arial" w:cs="Arial"/>
                <w:b/>
                <w:bCs/>
                <w:color w:val="333333"/>
                <w:shd w:val="clear" w:color="auto" w:fill="FFFFFF"/>
              </w:rPr>
              <w:t>水密性能</w:t>
            </w:r>
            <w:r>
              <w:rPr>
                <w:rFonts w:ascii="Arial" w:hAnsi="Arial" w:cs="Arial"/>
                <w:color w:val="333333"/>
                <w:shd w:val="clear" w:color="auto" w:fill="FFFFFF"/>
              </w:rPr>
              <w:t>，是指外门窗正常关闭状态时，在风雨同时作用下，阻止雨水渗漏的能力。一般检测外门窗水密性能采用的标准是按《建筑外门窗气密、水密、抗风压性能分级及检测方法》，该标准详细规定了对检测设备的要求、性能检测的方法以及水密性能的分级指标。</w:t>
            </w:r>
            <w:r>
              <w:rPr>
                <w:rFonts w:ascii="Times New Roman" w:hAnsi="Times New Roman" w:cs="Times New Roman"/>
                <w:sz w:val="20"/>
                <w:szCs w:val="20"/>
              </w:rPr>
              <w:br w:type="textWrapping"/>
            </w:r>
            <w:r>
              <w:rPr>
                <w:rFonts w:ascii="Times New Roman" w:hAnsi="Times New Roman" w:cs="Times New Roman"/>
                <w:sz w:val="20"/>
                <w:szCs w:val="20"/>
              </w:rPr>
              <w:t>​</w:t>
            </w:r>
            <w:r>
              <w:rPr>
                <w:rFonts w:ascii="Arial" w:hAnsi="Arial" w:cs="Arial"/>
                <w:b/>
                <w:bCs/>
                <w:color w:val="333333"/>
                <w:shd w:val="clear" w:color="auto" w:fill="FFFFFF"/>
              </w:rPr>
              <w:t>抗风压性能</w:t>
            </w:r>
            <w:r>
              <w:rPr>
                <w:rFonts w:ascii="Arial" w:hAnsi="Arial" w:cs="Arial"/>
                <w:color w:val="333333"/>
                <w:shd w:val="clear" w:color="auto" w:fill="FFFFFF"/>
              </w:rPr>
              <w:t>，是指外门窗正常关闭状态时，在风压作用下不发生损坏（如:开裂、面板破损、局部屈服、粘结失效等）和五金件松动、开启困难等功能障碍的能力。</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）建筑门窗（幕墙）竣工图纸、门窗抗风压性能、水密性能设计文件；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）施工工法说明文件；</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）门窗水密、抗风压性能检测报告；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门窗维修与管理记录。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门窗水密、抗风压性能检测报告：3建筑设计/ 建筑外门窗气密、水密、抗风压性能检测报告.docx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 xml:space="preserve">4.1.6 卫生间、浴室的地面应设置防水层，墙面、顶棚应设置防潮层。 </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pPr>
        <w:pStyle w:val="11"/>
        <w:spacing w:before="0" w:beforeAutospacing="0" w:after="0" w:afterAutospacing="0"/>
        <w:jc w:val="both"/>
      </w:pPr>
      <w:r>
        <w:rPr>
          <w:rStyle w:val="25"/>
          <w:rFonts w:hint="eastAsia" w:ascii="MS Mincho" w:hAnsi="MS Mincho" w:eastAsia="MS Mincho" w:cs="MS Mincho"/>
          <w:sz w:val="28"/>
          <w:szCs w:val="28"/>
        </w:rPr>
        <w:t>☑</w:t>
      </w:r>
      <w:r>
        <w:t xml:space="preserve"> </w:t>
      </w:r>
      <w:r>
        <w:rPr>
          <w:rFonts w:hint="eastAsia"/>
          <w:sz w:val="21"/>
          <w:szCs w:val="21"/>
        </w:rPr>
        <w:t>达标；</w:t>
      </w:r>
      <w:r>
        <w:t xml:space="preserve"> </w:t>
      </w:r>
      <w:r>
        <w:rPr>
          <w:rStyle w:val="25"/>
          <w:rFonts w:hint="eastAsia" w:ascii="MS Mincho" w:hAnsi="MS Mincho" w:eastAsia="MS Mincho" w:cs="MS Mincho"/>
          <w:sz w:val="28"/>
          <w:szCs w:val="28"/>
        </w:rPr>
        <w:t>☐</w:t>
      </w:r>
      <w:r>
        <w:t xml:space="preserve"> </w:t>
      </w:r>
      <w:r>
        <w:rPr>
          <w:rFonts w:hint="eastAsia"/>
          <w:sz w:val="21"/>
          <w:szCs w:val="21"/>
        </w:rPr>
        <w:t>不达标</w:t>
      </w:r>
      <w:r>
        <w:t xml:space="preserve"> </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pPr>
        <w:pStyle w:val="11"/>
        <w:spacing w:before="0" w:beforeAutospacing="0" w:after="0" w:afterAutospacing="0"/>
        <w:jc w:val="both"/>
      </w:pPr>
      <w:r>
        <w:rPr>
          <w:rFonts w:hint="eastAsia"/>
          <w:sz w:val="21"/>
          <w:szCs w:val="21"/>
        </w:rPr>
        <w:t>请对卫生间、浴室的地面和墙面、顶棚构造进行简要说明。</w:t>
      </w:r>
      <w:r>
        <w:t xml:space="preserve"> </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1.吊顶应选择环保安全材料，可以把铝扣板或PVC扣板作为卫生间的吊顶</w:t>
            </w:r>
            <w:r>
              <w:rPr>
                <w:rFonts w:ascii="Times New Roman" w:hAnsi="Times New Roman" w:cs="Times New Roman"/>
                <w:sz w:val="20"/>
                <w:szCs w:val="20"/>
              </w:rPr>
              <w:br w:type="textWrapping"/>
            </w:r>
            <w:r>
              <w:rPr>
                <w:rFonts w:ascii="Times New Roman" w:hAnsi="Times New Roman" w:cs="Times New Roman"/>
                <w:sz w:val="20"/>
                <w:szCs w:val="20"/>
              </w:rPr>
              <w:t>​2.保持厕所的通风，换气扇一定要安装逆向回风装置</w:t>
            </w:r>
            <w:r>
              <w:rPr>
                <w:rFonts w:ascii="Times New Roman" w:hAnsi="Times New Roman" w:cs="Times New Roman"/>
                <w:sz w:val="20"/>
                <w:szCs w:val="20"/>
              </w:rPr>
              <w:br w:type="textWrapping"/>
            </w:r>
            <w:r>
              <w:rPr>
                <w:rFonts w:ascii="Times New Roman" w:hAnsi="Times New Roman" w:cs="Times New Roman"/>
                <w:sz w:val="20"/>
                <w:szCs w:val="20"/>
              </w:rPr>
              <w:t>​3.厕所在地面平整后再进行防水处理​</w:t>
            </w:r>
            <w:r>
              <w:t xml:space="preserve">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pPr>
        <w:pStyle w:val="11"/>
        <w:spacing w:before="0" w:beforeAutospacing="0" w:after="0" w:afterAutospacing="0"/>
        <w:jc w:val="both"/>
      </w:pPr>
      <w:r>
        <w:rPr>
          <w:rFonts w:hint="eastAsia"/>
          <w:sz w:val="21"/>
          <w:szCs w:val="21"/>
        </w:rPr>
        <w:t>提交材料及要求：</w:t>
      </w:r>
      <w:r>
        <w:t xml:space="preserve"> </w:t>
      </w:r>
    </w:p>
    <w:p>
      <w:pPr>
        <w:pStyle w:val="11"/>
        <w:spacing w:before="0" w:beforeAutospacing="0" w:after="0" w:afterAutospacing="0"/>
        <w:jc w:val="both"/>
      </w:pPr>
      <w:r>
        <w:rPr>
          <w:rFonts w:ascii="Times New Roman" w:hAnsi="Times New Roman" w:cs="Times New Roman"/>
          <w:sz w:val="21"/>
          <w:szCs w:val="21"/>
        </w:rPr>
        <w:t>1</w:t>
      </w:r>
      <w:r>
        <w:t xml:space="preserve"> </w:t>
      </w:r>
      <w:r>
        <w:rPr>
          <w:rFonts w:hint="eastAsia"/>
          <w:sz w:val="21"/>
          <w:szCs w:val="21"/>
        </w:rPr>
        <w:t>）相关竣工图和防水、防潮措施说明；</w:t>
      </w:r>
      <w:r>
        <w:t xml:space="preserve"> </w:t>
      </w:r>
    </w:p>
    <w:p>
      <w:pPr>
        <w:pStyle w:val="11"/>
        <w:spacing w:before="0" w:beforeAutospacing="0" w:after="0" w:afterAutospacing="0"/>
        <w:jc w:val="both"/>
      </w:pPr>
      <w:r>
        <w:rPr>
          <w:rFonts w:ascii="Times New Roman" w:hAnsi="Times New Roman" w:cs="Times New Roman"/>
          <w:sz w:val="21"/>
          <w:szCs w:val="21"/>
        </w:rPr>
        <w:t>2</w:t>
      </w:r>
      <w:r>
        <w:t xml:space="preserve"> </w:t>
      </w:r>
      <w:r>
        <w:rPr>
          <w:rFonts w:hint="eastAsia"/>
          <w:sz w:val="21"/>
          <w:szCs w:val="21"/>
        </w:rPr>
        <w:t>）防水、防潮相关材料的决算清单、产品说明书、检测报告。</w:t>
      </w:r>
      <w:r>
        <w:t xml:space="preserve"> </w:t>
      </w:r>
    </w:p>
    <w:p>
      <w:pPr>
        <w:pStyle w:val="11"/>
        <w:spacing w:before="0" w:beforeAutospacing="0" w:after="0" w:afterAutospacing="0"/>
        <w:jc w:val="both"/>
      </w:pPr>
      <w:r>
        <w:rPr>
          <w:rFonts w:ascii="Times New Roman" w:hAnsi="Times New Roman" w:cs="Times New Roman"/>
          <w:sz w:val="21"/>
          <w:szCs w:val="21"/>
        </w:rPr>
        <w:t> </w:t>
      </w:r>
      <w:r>
        <w:t xml:space="preserve"> </w:t>
      </w:r>
    </w:p>
    <w:p>
      <w:pPr>
        <w:pStyle w:val="11"/>
        <w:spacing w:before="0" w:beforeAutospacing="0" w:after="0" w:afterAutospacing="0"/>
        <w:jc w:val="both"/>
      </w:pPr>
      <w:r>
        <w:rPr>
          <w:rFonts w:hint="eastAsia"/>
          <w:sz w:val="21"/>
          <w:szCs w:val="21"/>
        </w:rPr>
        <w:t>实际提交材料：</w:t>
      </w:r>
      <w:r>
        <w:t xml:space="preserve"> </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相关设计图和防水、防潮措施及技术参数要求说明：3建筑设计/ 4.1.6 防水防潮措施.docx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4.1.7走廊、疏散通道等通行空间应满足紧急疏散、应急救护等要求，且应保持畅通。</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请对走廊、疏散通道等通行空间的畅通性进行简要说明。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w:t>
            </w:r>
            <w:r>
              <w:rPr>
                <w:rFonts w:ascii="Times New Roman" w:hAnsi="Times New Roman" w:cs="Times New Roman"/>
                <w:color w:val="444444"/>
                <w:sz w:val="20"/>
                <w:szCs w:val="20"/>
              </w:rPr>
              <w:t>建筑应根据其高度、规模、使用功能和耐火等级等因素合理设置安全疏散和避难设施；安全出口和疏散门的位置、数量、宽度及疏散楼梯间的形式，应满足人员安全疏散的要求；走廊、疏散通道等应满足现行《建筑设计防火规范》GB 50016、《防灾避难场所设计规范》GB51143等对安全疏散和避难、应急交通的相关要求；对公共建筑及居住建筑的大堂设应急救护电源插座。</w:t>
            </w:r>
            <w:r>
              <w:rPr>
                <w:rFonts w:ascii="Times New Roman" w:hAnsi="Times New Roman" w:cs="Times New Roman"/>
                <w:sz w:val="20"/>
                <w:szCs w:val="20"/>
              </w:rPr>
              <w:br w:type="textWrapping"/>
            </w:r>
            <w:r>
              <w:rPr>
                <w:rFonts w:ascii="Times New Roman" w:hAnsi="Times New Roman" w:cs="Times New Roman"/>
                <w:sz w:val="20"/>
                <w:szCs w:val="20"/>
              </w:rPr>
              <w:t>​</w:t>
            </w:r>
            <w:r>
              <w:rPr>
                <w:rFonts w:ascii="Times New Roman" w:hAnsi="Times New Roman" w:cs="Times New Roman"/>
                <w:color w:val="444444"/>
                <w:sz w:val="20"/>
                <w:szCs w:val="20"/>
              </w:rPr>
              <w:t>保持通行空间路线畅通、视线清晰，不应有阳台花池、机电箱等凸向走廊、疏散通道的设计，防止对人员活动、步行交通、消防疏散埋下安全隐患。</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）建筑、弱电专业相关竣工图纸；</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）紧急疏散、应急救护的相关管理制度；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）紧急疏散、应急救护的相关教育宣传记录，应提供影像资料。</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4.1.8应具有安全防护的警示和引导标识系统。</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请对安全防护的警示和引导标识系统进行简要说明。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w:t>
            </w:r>
          </w:p>
          <w:p>
            <w:pPr>
              <w:pStyle w:val="11"/>
              <w:spacing w:before="0" w:beforeAutospacing="0" w:after="0" w:afterAutospacing="0"/>
              <w:rPr>
                <w:rFonts w:ascii="Times New Roman" w:hAnsi="Times New Roman" w:cs="Times New Roman"/>
                <w:color w:val="444444"/>
                <w:sz w:val="20"/>
                <w:szCs w:val="20"/>
              </w:rPr>
            </w:pPr>
            <w:r>
              <w:rPr>
                <w:rFonts w:ascii="Times New Roman" w:hAnsi="Times New Roman" w:cs="Times New Roman"/>
                <w:color w:val="444444"/>
                <w:sz w:val="20"/>
                <w:szCs w:val="20"/>
              </w:rPr>
              <w:t>根据《安全标志及其使用导则》GB 2894-2008,安全标志分为禁止标志、警 告标志、指令标志和提示标志四类。本条所述是指具有警示和引导功能的安全标志，应在场地及建筑公共场所和其他有必要提醒人们注意安全的场所显著位置上设置。</w:t>
            </w:r>
          </w:p>
          <w:p>
            <w:pPr>
              <w:pStyle w:val="11"/>
              <w:spacing w:before="0" w:beforeAutospacing="0" w:after="0" w:afterAutospacing="0"/>
              <w:rPr>
                <w:rFonts w:ascii="Times New Roman" w:hAnsi="Times New Roman" w:cs="Times New Roman"/>
                <w:color w:val="444444"/>
                <w:sz w:val="20"/>
                <w:szCs w:val="20"/>
              </w:rPr>
            </w:pPr>
            <w:r>
              <w:rPr>
                <w:rFonts w:ascii="Times New Roman" w:hAnsi="Times New Roman" w:cs="Times New Roman"/>
                <w:color w:val="444444"/>
                <w:sz w:val="20"/>
                <w:szCs w:val="20"/>
              </w:rPr>
              <w:t>设置显著、醒目的安全警示标志，能够起到提醒建筑使用者注意安全的作用。 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pPr>
              <w:pStyle w:val="11"/>
              <w:spacing w:before="0" w:beforeAutospacing="0" w:after="0" w:afterAutospacing="0"/>
              <w:rPr>
                <w:rFonts w:ascii="Times New Roman" w:hAnsi="Times New Roman" w:cs="Times New Roman"/>
                <w:color w:val="444444"/>
                <w:sz w:val="20"/>
                <w:szCs w:val="20"/>
              </w:rPr>
            </w:pPr>
            <w:r>
              <w:rPr>
                <w:rFonts w:ascii="Times New Roman" w:hAnsi="Times New Roman" w:cs="Times New Roman"/>
                <w:color w:val="444444"/>
                <w:sz w:val="20"/>
                <w:szCs w:val="20"/>
              </w:rPr>
              <w:t>设置安全引导指示标志，具体包括人行导向标识，紧急出口标志、避险处标志、应急避难场所标志、急救点标志、报警点标志、以及其他促进建筑安全使用的引导标志等。对地下室、停车场等还包括车行导向标识。标识设计需要结合建筑平面与建筑功能特点结合流线，合理安排位置和分布密度。在难以确定位置和方向的流线节点上，应增加标识点位以便明示和指引。如紧急出口标志，一般设置于便于安全疏散的紧急出口处，结合方向箭头设置于通向紧急出口的通道、楼梯口等处。</w:t>
            </w:r>
          </w:p>
          <w:p>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）标识系统的设计与设置说明文件；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）现场照片。</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标识系统的设计与设置说明文件：3建筑设计/ 4.1.8标识系统的设计与设置说明文件.docx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4.2.1 采用基于性能的抗震设计并合理提高建筑的抗震性能。（10分）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基于性能的抗震设计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如何基于性能进行抗震设计并提供合理提高建筑抗震性能的简要说明。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w:t>
            </w:r>
            <w:r>
              <w:rPr>
                <w:rFonts w:ascii="Helvetica" w:hAnsi="Helvetica" w:cs="Helvetica"/>
                <w:color w:val="444444"/>
                <w:shd w:val="clear" w:color="auto" w:fill="FFFFFF"/>
              </w:rPr>
              <w:t>基于性能的抗震设计即性能化设计仍是以现有的抗震科学水平和经济条件为前提的，一般需要综合考虑使用功能、设防震度、结构的不规则程度和类型、结构发挥延性变形的能力、造价、震后的各种损失及修复难度等等因素。不同的抗震设防类别，其性能设计要求也有所不同。“小震不坏、中震可修、大震不倒” 是一般情况的性能要求，参考《建筑抗震设计规范》GB 50011-2010（2016年版）</w:t>
            </w:r>
            <w:r>
              <w:rPr>
                <w:rFonts w:ascii="Times New Roman" w:hAnsi="Times New Roman" w:cs="Times New Roman"/>
                <w:sz w:val="20"/>
                <w:szCs w:val="20"/>
              </w:rPr>
              <w:br w:type="textWrapping"/>
            </w:r>
            <w:r>
              <w:rPr>
                <w:rFonts w:ascii="Times New Roman" w:hAnsi="Times New Roman" w:cs="Times New Roman"/>
                <w:sz w:val="20"/>
                <w:szCs w:val="20"/>
              </w:rPr>
              <w:t>​</w:t>
            </w:r>
            <w:r>
              <w:rPr>
                <w:rFonts w:ascii="Helvetica" w:hAnsi="Helvetica" w:cs="Helvetica"/>
                <w:color w:val="444444"/>
                <w:shd w:val="clear" w:color="auto" w:fill="FFFFFF"/>
              </w:rPr>
              <w:t>针对具体工程的需要和可能，可以对整体结构，也可以对某些部位或者关键构件，灵活运用各种措施达到表4.1预期的性能目标。本条实际操作时，在确保建筑结构满足“小震不坏、中震可修、大震不倒”一般情况的性能要求的情况下, 根据项目情况，可以考虑对整体结构、局部部位或者关键构件按更高的抗震性能目标进行设计，或者采取措施减少地震作用。局部部位或者关键构件可根据建筑平面、立面的规则性、构件的重要性程度选取，如教学楼的楼梯间作“抗震安全岛”，提高该区域的抗震性能，结构转换层的框支柱、框支梁，剪力墙的底部加 强层部位、结构薄弱层构件等等；釆取的措施包括设隔震支座（垫）、消能减震支撑、阻力器等等。</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）结构竣工图、计算书；</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）抗震性能分析报告或抗震设计专篇；</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）隔震设施、消能减震构件的检测检验报告。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结构专业图纸与设计说明：7结构建材/ 结构专业图纸与设计说明/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结构计算书：7结构建材/ 结构计算说明.doc</w:t>
            </w:r>
            <w:r>
              <w:rPr>
                <w:rFonts w:ascii="Times New Roman" w:hAnsi="Times New Roman" w:cs="Times New Roman"/>
                <w:sz w:val="20"/>
                <w:szCs w:val="20"/>
              </w:rPr>
              <w:br w:type="textWrapping"/>
            </w:r>
            <w:r>
              <w:rPr>
                <w:rStyle w:val="26"/>
                <w:rFonts w:ascii="Times New Roman" w:hAnsi="Times New Roman" w:cs="Times New Roman"/>
                <w:sz w:val="20"/>
                <w:szCs w:val="20"/>
              </w:rPr>
              <w:t>抗震性能分析报告或抗震设计专篇：7结构建材/ 抗震性能分析报告.doc</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4.2.2 采取保障人员安全的防护措施。（15分）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793"/>
        <w:gridCol w:w="1138"/>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99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99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提高阳台、外窗、窗台、防护栏杆等安全防护水平</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99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建筑物出入口均设外墙饰面、门窗玻璃意外脱落的防护措施，并与人员通行区域的遮阳、遮风或挡雨措施结合</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299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利用场地或景观形成可降低坠物风险的缓冲区、隔离带</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w:t>
            </w:r>
          </w:p>
        </w:tc>
      </w:tr>
      <w:tr>
        <w:tblPrEx>
          <w:tblCellMar>
            <w:top w:w="0" w:type="dxa"/>
            <w:left w:w="0" w:type="dxa"/>
            <w:bottom w:w="0" w:type="dxa"/>
            <w:right w:w="0" w:type="dxa"/>
          </w:tblCellMar>
        </w:tblPrEx>
        <w:trPr>
          <w:trHeight w:val="68" w:hRule="atLeast"/>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68" w:lineRule="atLeast"/>
              <w:jc w:val="center"/>
            </w:pPr>
            <w:r>
              <w:rPr>
                <w:rFonts w:hint="eastAsia"/>
                <w:sz w:val="21"/>
                <w:szCs w:val="21"/>
              </w:rPr>
              <w:t>合计</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68" w:lineRule="atLeast"/>
              <w:jc w:val="center"/>
            </w:pPr>
            <w:r>
              <w:rPr>
                <w:rFonts w:ascii="Times New Roman" w:hAnsi="Times New Roman" w:cs="Times New Roman"/>
                <w:sz w:val="21"/>
                <w:szCs w:val="21"/>
              </w:rPr>
              <w:t>15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68" w:lineRule="atLeast"/>
              <w:jc w:val="center"/>
            </w:pPr>
            <w:r>
              <w:rPr>
                <w:rFonts w:ascii="Times New Roman" w:hAnsi="Times New Roman" w:cs="Times New Roman"/>
                <w:sz w:val="21"/>
                <w:szCs w:val="21"/>
              </w:rPr>
              <w:t> 15</w:t>
            </w:r>
          </w:p>
        </w:tc>
      </w:tr>
      <w:tr>
        <w:tblPrEx>
          <w:tblCellMar>
            <w:top w:w="0" w:type="dxa"/>
            <w:left w:w="0" w:type="dxa"/>
            <w:bottom w:w="0" w:type="dxa"/>
            <w:right w:w="0" w:type="dxa"/>
          </w:tblCellMar>
        </w:tblPrEx>
        <w:trPr>
          <w:jc w:val="center"/>
        </w:trPr>
        <w:tc>
          <w:tcPr>
            <w:tcW w:w="708" w:type="dxa"/>
            <w:tcBorders>
              <w:top w:val="nil"/>
              <w:left w:val="nil"/>
              <w:bottom w:val="nil"/>
              <w:right w:val="nil"/>
            </w:tcBorders>
            <w:noWrap w:val="0"/>
            <w:vAlign w:val="center"/>
          </w:tcPr>
          <w:p>
            <w:pPr>
              <w:rPr>
                <w:sz w:val="1"/>
              </w:rPr>
            </w:pPr>
          </w:p>
        </w:tc>
        <w:tc>
          <w:tcPr>
            <w:tcW w:w="4674" w:type="dxa"/>
            <w:tcBorders>
              <w:top w:val="nil"/>
              <w:left w:val="nil"/>
              <w:bottom w:val="nil"/>
              <w:right w:val="nil"/>
            </w:tcBorders>
            <w:noWrap w:val="0"/>
            <w:vAlign w:val="center"/>
          </w:tcPr>
          <w:p>
            <w:pPr>
              <w:rPr>
                <w:sz w:val="1"/>
              </w:rPr>
            </w:pPr>
          </w:p>
        </w:tc>
        <w:tc>
          <w:tcPr>
            <w:tcW w:w="1110"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74"/>
        <w:gridCol w:w="4117"/>
      </w:tblGrid>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建筑出入口的防护措施</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设有护栏</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防护措施与其他措施结合做法</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r>
              <w:rPr>
                <w:rFonts w:ascii="Arial" w:hAnsi="Arial" w:cs="Arial"/>
                <w:color w:val="71777D"/>
                <w:sz w:val="21"/>
                <w:szCs w:val="21"/>
                <w:shd w:val="clear" w:color="auto" w:fill="FFFFFF"/>
              </w:rPr>
              <w:t>埋设管线坐落在软土层，必须进行挤石块</w:t>
            </w:r>
            <w:r>
              <w:rPr>
                <w:rFonts w:ascii="Arial" w:hAnsi="Arial" w:cs="Arial"/>
                <w:color w:val="CC0000"/>
                <w:sz w:val="21"/>
                <w:szCs w:val="21"/>
                <w:shd w:val="clear" w:color="auto" w:fill="FFFFFF"/>
              </w:rPr>
              <w:t>和</w:t>
            </w:r>
            <w:r>
              <w:rPr>
                <w:rFonts w:ascii="Arial" w:hAnsi="Arial" w:cs="Arial"/>
                <w:color w:val="71777D"/>
                <w:sz w:val="21"/>
                <w:szCs w:val="21"/>
                <w:shd w:val="clear" w:color="auto" w:fill="FFFFFF"/>
              </w:rPr>
              <w:t>基配砂石处理</w:t>
            </w:r>
            <w:r>
              <w:rPr>
                <w:rFonts w:ascii="Times New Roman" w:hAnsi="Times New Roman" w:cs="Times New Roman"/>
                <w:sz w:val="21"/>
                <w:szCs w:val="21"/>
              </w:rPr>
              <w:t>​</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缓冲区和隔离带的形式</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在缓冲区中设置隔离带</w:t>
            </w:r>
          </w:p>
        </w:tc>
      </w:tr>
    </w:tbl>
    <w:p>
      <w:pPr>
        <w:pStyle w:val="11"/>
        <w:spacing w:before="0" w:beforeAutospacing="0" w:after="0" w:afterAutospacing="0"/>
        <w:jc w:val="both"/>
      </w:pPr>
      <w:r>
        <w:rPr>
          <w:rFonts w:hint="eastAsia"/>
          <w:sz w:val="21"/>
          <w:szCs w:val="21"/>
        </w:rPr>
        <w:t>请对采取何种措施提高安全防护水平进行简要说明。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9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w:t>
            </w:r>
            <w:r>
              <w:rPr>
                <w:rFonts w:hint="eastAsia" w:cs="Times New Roman"/>
                <w:sz w:val="21"/>
                <w:szCs w:val="21"/>
              </w:rPr>
              <w:t>提高阳台、外窗、窗台、防护栏杆等安全防护水平</w:t>
            </w:r>
            <w:r>
              <w:rPr>
                <w:rFonts w:ascii="Times New Roman" w:hAnsi="Times New Roman" w:cs="Times New Roman"/>
                <w:sz w:val="20"/>
                <w:szCs w:val="20"/>
              </w:rPr>
              <w:br w:type="textWrapping"/>
            </w:r>
            <w:r>
              <w:rPr>
                <w:rFonts w:ascii="Times New Roman" w:hAnsi="Times New Roman" w:cs="Times New Roman"/>
                <w:sz w:val="20"/>
                <w:szCs w:val="20"/>
              </w:rPr>
              <w:t>​</w:t>
            </w:r>
            <w:r>
              <w:rPr>
                <w:rFonts w:hint="eastAsia" w:cs="Times New Roman"/>
                <w:sz w:val="21"/>
                <w:szCs w:val="21"/>
              </w:rPr>
              <w:t>建筑物出入口均设外墙饰面、门窗玻璃意外脱落的防护措施，并与人员通行区域的遮阳、遮风或挡雨措施结合</w:t>
            </w:r>
            <w:r>
              <w:rPr>
                <w:rFonts w:hint="eastAsia" w:cs="Times New Roman"/>
                <w:sz w:val="21"/>
                <w:szCs w:val="21"/>
              </w:rPr>
              <w:br w:type="textWrapping"/>
            </w:r>
            <w:r>
              <w:rPr>
                <w:rFonts w:hint="eastAsia" w:ascii="MS Mincho" w:hAnsi="MS Mincho" w:eastAsia="MS Mincho" w:cs="MS Mincho"/>
                <w:sz w:val="21"/>
                <w:szCs w:val="21"/>
              </w:rPr>
              <w:t>​</w:t>
            </w:r>
            <w:r>
              <w:rPr>
                <w:rFonts w:hint="eastAsia"/>
                <w:sz w:val="21"/>
                <w:szCs w:val="21"/>
              </w:rPr>
              <w:t>利用场地或景观形成可降低坠物风险的缓冲区、隔离带</w:t>
            </w:r>
            <w:r>
              <w:rPr>
                <w:rFonts w:hint="eastAsia" w:ascii="MS Mincho" w:hAnsi="MS Mincho" w:eastAsia="MS Mincho" w:cs="MS Mincho"/>
                <w:sz w:val="21"/>
                <w:szCs w:val="21"/>
              </w:rPr>
              <w:t>​</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320" w:lineRule="atLeast"/>
        <w:jc w:val="both"/>
      </w:pPr>
      <w:r>
        <w:rPr>
          <w:rFonts w:hint="eastAsia"/>
          <w:sz w:val="21"/>
          <w:szCs w:val="21"/>
        </w:rPr>
        <w:t>提交材料及要求：</w:t>
      </w:r>
    </w:p>
    <w:p>
      <w:pPr>
        <w:pStyle w:val="11"/>
        <w:spacing w:before="0" w:beforeAutospacing="0" w:after="0" w:afterAutospacing="0" w:line="320" w:lineRule="atLeast"/>
        <w:jc w:val="both"/>
      </w:pPr>
      <w:r>
        <w:rPr>
          <w:rFonts w:ascii="Times New Roman" w:hAnsi="Times New Roman" w:cs="Times New Roman"/>
          <w:sz w:val="21"/>
          <w:szCs w:val="21"/>
        </w:rPr>
        <w:t>1</w:t>
      </w:r>
      <w:r>
        <w:rPr>
          <w:rFonts w:hint="eastAsia"/>
          <w:sz w:val="21"/>
          <w:szCs w:val="21"/>
        </w:rPr>
        <w:t>）阳台、外窗、窗台、防护栏杆设计竣工图、建筑出入口安全防护设计图；</w:t>
      </w:r>
    </w:p>
    <w:p>
      <w:pPr>
        <w:pStyle w:val="11"/>
        <w:spacing w:before="0" w:beforeAutospacing="0" w:after="0" w:afterAutospacing="0" w:line="320" w:lineRule="atLeast"/>
        <w:jc w:val="both"/>
      </w:pPr>
      <w:r>
        <w:rPr>
          <w:rFonts w:ascii="Times New Roman" w:hAnsi="Times New Roman" w:cs="Times New Roman"/>
          <w:sz w:val="21"/>
          <w:szCs w:val="21"/>
        </w:rPr>
        <w:t>2</w:t>
      </w:r>
      <w:r>
        <w:rPr>
          <w:rFonts w:hint="eastAsia"/>
          <w:sz w:val="21"/>
          <w:szCs w:val="21"/>
        </w:rPr>
        <w:t>）防护栏杆相关检测报告；</w:t>
      </w:r>
    </w:p>
    <w:p>
      <w:pPr>
        <w:pStyle w:val="11"/>
        <w:spacing w:before="0" w:beforeAutospacing="0" w:after="0" w:afterAutospacing="0" w:line="320" w:lineRule="atLeast"/>
        <w:jc w:val="both"/>
      </w:pPr>
      <w:r>
        <w:rPr>
          <w:rFonts w:ascii="Times New Roman" w:hAnsi="Times New Roman" w:cs="Times New Roman"/>
          <w:sz w:val="21"/>
          <w:szCs w:val="21"/>
        </w:rPr>
        <w:t>3</w:t>
      </w:r>
      <w:r>
        <w:rPr>
          <w:rFonts w:hint="eastAsia"/>
          <w:sz w:val="21"/>
          <w:szCs w:val="21"/>
        </w:rPr>
        <w:t>）根据安全防护措施，形成专项报告。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阳台、外窗、窗台、防护栏杆设计设计图：3建筑设计/ 外窗、窗台.png</w:t>
            </w:r>
            <w:r>
              <w:rPr>
                <w:rFonts w:ascii="Times New Roman" w:hAnsi="Times New Roman" w:cs="Times New Roman"/>
                <w:sz w:val="20"/>
                <w:szCs w:val="20"/>
              </w:rPr>
              <w:br w:type="textWrapping"/>
            </w:r>
            <w:r>
              <w:rPr>
                <w:rStyle w:val="26"/>
                <w:rFonts w:ascii="Times New Roman" w:hAnsi="Times New Roman" w:cs="Times New Roman"/>
                <w:sz w:val="20"/>
                <w:szCs w:val="20"/>
              </w:rPr>
              <w:t>建筑出入口安全防护设计图及室外场地设计图：3建筑设计/ 出入口安全防护设计.png</w:t>
            </w:r>
            <w:r>
              <w:rPr>
                <w:rFonts w:ascii="Times New Roman" w:hAnsi="Times New Roman" w:cs="Times New Roman"/>
                <w:sz w:val="20"/>
                <w:szCs w:val="20"/>
              </w:rPr>
              <w:br w:type="textWrapping"/>
            </w:r>
            <w:r>
              <w:rPr>
                <w:rStyle w:val="26"/>
                <w:rFonts w:ascii="Times New Roman" w:hAnsi="Times New Roman" w:cs="Times New Roman"/>
                <w:sz w:val="20"/>
                <w:szCs w:val="20"/>
              </w:rPr>
              <w:t>防护栏杆相关检测报告：7结构建材/ 出入口安全防护设计.png</w:t>
            </w:r>
          </w:p>
        </w:tc>
      </w:tr>
    </w:tbl>
    <w:p>
      <w:pPr>
        <w:pStyle w:val="11"/>
        <w:spacing w:before="0" w:beforeAutospacing="0" w:after="0" w:afterAutospacing="0"/>
        <w:jc w:val="both"/>
        <w:rPr>
          <w:rFonts w:ascii="Times New Roman" w:hAnsi="Times New Roman" w:cs="Times New Roman"/>
          <w:b/>
          <w:bCs/>
        </w:rPr>
      </w:pP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4.2.3 采用具有安全防护功能的产品或配件。（10分）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31"/>
        <w:gridCol w:w="4357"/>
        <w:gridCol w:w="1573"/>
        <w:gridCol w:w="1330"/>
      </w:tblGrid>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采用具有安全防护功能的玻璃</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2</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采用具备防夹功能的门窗</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10</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10 </w:t>
            </w:r>
          </w:p>
        </w:tc>
      </w:tr>
      <w:tr>
        <w:tblPrEx>
          <w:tblCellMar>
            <w:top w:w="0" w:type="dxa"/>
            <w:left w:w="0" w:type="dxa"/>
            <w:bottom w:w="0" w:type="dxa"/>
            <w:right w:w="0" w:type="dxa"/>
          </w:tblCellMar>
        </w:tblPrEx>
        <w:trPr>
          <w:jc w:val="center"/>
        </w:trPr>
        <w:tc>
          <w:tcPr>
            <w:tcW w:w="714" w:type="dxa"/>
            <w:tcBorders>
              <w:top w:val="nil"/>
              <w:left w:val="nil"/>
              <w:bottom w:val="nil"/>
              <w:right w:val="nil"/>
            </w:tcBorders>
            <w:noWrap w:val="0"/>
            <w:vAlign w:val="center"/>
          </w:tcPr>
          <w:p>
            <w:pPr>
              <w:rPr>
                <w:sz w:val="1"/>
              </w:rPr>
            </w:pPr>
          </w:p>
        </w:tc>
        <w:tc>
          <w:tcPr>
            <w:tcW w:w="4248"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297"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74"/>
        <w:gridCol w:w="4117"/>
      </w:tblGrid>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安全防护玻璃占玻璃总用量的比例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60%​</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防夹功能门窗占门窗用量的比例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40%​</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请对安全防护功能的产品或配件进行简要说明。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w:t>
            </w:r>
            <w:r>
              <w:rPr>
                <w:rFonts w:ascii="Helvetica" w:hAnsi="Helvetica" w:cs="Helvetica"/>
                <w:color w:val="444444"/>
                <w:shd w:val="clear" w:color="auto" w:fill="FFFFFF"/>
              </w:rPr>
              <w:t>分隔建筑室内外的玻璃门窗、幕墙、防护栏杆等釆用安全玻璃，室内玻璃隔断、玻璃护栏等釆用夹胶钢化玻璃以防止自爆伤人。可参考现行标准《建筑用安全玻璃》GB 15763、《建筑玻璃应用技术规程》JGJ 113以及《建筑安全玻璃管理规定》</w:t>
            </w:r>
            <w:r>
              <w:rPr>
                <w:rFonts w:ascii="Times New Roman" w:hAnsi="Times New Roman" w:cs="Times New Roman"/>
                <w:sz w:val="20"/>
                <w:szCs w:val="20"/>
              </w:rPr>
              <w:br w:type="textWrapping"/>
            </w:r>
            <w:r>
              <w:rPr>
                <w:rFonts w:ascii="Times New Roman" w:hAnsi="Times New Roman" w:cs="Times New Roman"/>
                <w:sz w:val="20"/>
                <w:szCs w:val="20"/>
              </w:rPr>
              <w:t>​</w:t>
            </w:r>
            <w:r>
              <w:rPr>
                <w:rFonts w:ascii="Helvetica" w:hAnsi="Helvetica" w:cs="Helvetica"/>
                <w:color w:val="444444"/>
                <w:shd w:val="clear" w:color="auto" w:fill="FFFFFF"/>
              </w:rPr>
              <w:t>对门窗,对于人流量大、门窗开合频繁的民用建筑的公共区域，釆用可调力度的闭门器或具有缓冲功能的延时闭门器等措施，防止夹人伤人事故的发生。主要部位包括但不限于电梯门、大堂入口门、旋转门、推拉门窗等。</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）建筑和结构竣工图纸；</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）安全玻璃、门窗等产品或配件的型式检验报告；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）材料决算清单。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结构专业图纸与设计说明：7结构建材/ 结构专业图纸与设计说明/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安全玻璃、门窗等产品或配件的型式检验报告：3建筑设计/ 安全玻璃、门窗等产品或配件的型式检验报告/</w:t>
            </w:r>
            <w:r>
              <w:rPr>
                <w:rFonts w:ascii="Times New Roman" w:hAnsi="Times New Roman" w:cs="Times New Roman"/>
                <w:sz w:val="20"/>
                <w:szCs w:val="20"/>
              </w:rPr>
              <w:br w:type="textWrapping"/>
            </w:r>
            <w:r>
              <w:rPr>
                <w:rStyle w:val="26"/>
                <w:rFonts w:ascii="Times New Roman" w:hAnsi="Times New Roman" w:cs="Times New Roman"/>
                <w:sz w:val="20"/>
                <w:szCs w:val="20"/>
              </w:rPr>
              <w:t>材料决算清单：7结构建材/ 幼儿园工程预算表.xls</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4.2.4 室内外地面或路设置防滑措施。（10分）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6"/>
        <w:gridCol w:w="4479"/>
        <w:gridCol w:w="1453"/>
        <w:gridCol w:w="1333"/>
      </w:tblGrid>
      <w:tr>
        <w:tblPrEx>
          <w:tblCellMar>
            <w:top w:w="0" w:type="dxa"/>
            <w:left w:w="0" w:type="dxa"/>
            <w:bottom w:w="0" w:type="dxa"/>
            <w:right w:w="0" w:type="dxa"/>
          </w:tblCellMar>
        </w:tblPrEx>
        <w:trPr>
          <w:jc w:val="center"/>
        </w:trPr>
        <w:tc>
          <w:tcPr>
            <w:tcW w:w="4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28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0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8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建筑出入口及平台、公共走廊、电梯门厅、厨房、浴室、卫生间等设置防滑措施，防滑等级不低于现行行业标准《建筑地面工程防滑技术规程》规定的</w:t>
            </w:r>
            <w:r>
              <w:rPr>
                <w:rFonts w:ascii="Times New Roman" w:hAnsi="Times New Roman" w:cs="Times New Roman"/>
                <w:sz w:val="21"/>
                <w:szCs w:val="21"/>
              </w:rPr>
              <w:t>Bd</w:t>
            </w:r>
            <w:r>
              <w:rPr>
                <w:rFonts w:hint="eastAsia"/>
                <w:sz w:val="21"/>
                <w:szCs w:val="21"/>
              </w:rPr>
              <w:t>、</w:t>
            </w:r>
            <w:r>
              <w:rPr>
                <w:rFonts w:ascii="Times New Roman" w:hAnsi="Times New Roman" w:cs="Times New Roman"/>
                <w:sz w:val="21"/>
                <w:szCs w:val="21"/>
              </w:rPr>
              <w:t>Bw</w:t>
            </w:r>
            <w:r>
              <w:rPr>
                <w:rFonts w:hint="eastAsia"/>
                <w:sz w:val="21"/>
                <w:szCs w:val="21"/>
              </w:rPr>
              <w:t>级</w:t>
            </w:r>
          </w:p>
        </w:tc>
        <w:tc>
          <w:tcPr>
            <w:tcW w:w="90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jc w:val="center"/>
        </w:trPr>
        <w:tc>
          <w:tcPr>
            <w:tcW w:w="4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8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建筑室内外活动场地所采用的防滑地面，防滑等级达到现行行业标准《建筑地面工程防滑技术规程》规定的</w:t>
            </w:r>
            <w:r>
              <w:rPr>
                <w:rFonts w:ascii="Times New Roman" w:hAnsi="Times New Roman" w:cs="Times New Roman"/>
                <w:sz w:val="21"/>
                <w:szCs w:val="21"/>
              </w:rPr>
              <w:t>Ad</w:t>
            </w:r>
            <w:r>
              <w:rPr>
                <w:rFonts w:hint="eastAsia"/>
                <w:sz w:val="21"/>
                <w:szCs w:val="21"/>
              </w:rPr>
              <w:t>、</w:t>
            </w:r>
            <w:r>
              <w:rPr>
                <w:rFonts w:ascii="Times New Roman" w:hAnsi="Times New Roman" w:cs="Times New Roman"/>
                <w:sz w:val="21"/>
                <w:szCs w:val="21"/>
              </w:rPr>
              <w:t>Aw</w:t>
            </w:r>
            <w:r>
              <w:rPr>
                <w:rFonts w:hint="eastAsia"/>
                <w:sz w:val="21"/>
                <w:szCs w:val="21"/>
              </w:rPr>
              <w:t>级</w:t>
            </w:r>
          </w:p>
        </w:tc>
        <w:tc>
          <w:tcPr>
            <w:tcW w:w="90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4</w:t>
            </w:r>
          </w:p>
        </w:tc>
      </w:tr>
      <w:tr>
        <w:tblPrEx>
          <w:tblCellMar>
            <w:top w:w="0" w:type="dxa"/>
            <w:left w:w="0" w:type="dxa"/>
            <w:bottom w:w="0" w:type="dxa"/>
            <w:right w:w="0" w:type="dxa"/>
          </w:tblCellMar>
        </w:tblPrEx>
        <w:trPr>
          <w:jc w:val="center"/>
        </w:trPr>
        <w:tc>
          <w:tcPr>
            <w:tcW w:w="4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28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建筑坡道、楼梯踏步防滑等级达到现行行业标准《建筑地面工程防滑技术规程》规定的</w:t>
            </w:r>
            <w:r>
              <w:rPr>
                <w:rFonts w:ascii="Times New Roman" w:hAnsi="Times New Roman" w:cs="Times New Roman"/>
                <w:sz w:val="21"/>
                <w:szCs w:val="21"/>
              </w:rPr>
              <w:t>Ad</w:t>
            </w:r>
            <w:r>
              <w:rPr>
                <w:rFonts w:hint="eastAsia"/>
                <w:sz w:val="21"/>
                <w:szCs w:val="21"/>
              </w:rPr>
              <w:t>、</w:t>
            </w:r>
            <w:r>
              <w:rPr>
                <w:rFonts w:ascii="Times New Roman" w:hAnsi="Times New Roman" w:cs="Times New Roman"/>
                <w:sz w:val="21"/>
                <w:szCs w:val="21"/>
              </w:rPr>
              <w:t>Aw</w:t>
            </w:r>
            <w:r>
              <w:rPr>
                <w:rFonts w:hint="eastAsia"/>
                <w:sz w:val="21"/>
                <w:szCs w:val="21"/>
              </w:rPr>
              <w:t>级或按水平地面等级提高一级，并采用防滑条等防滑构造技术措施</w:t>
            </w:r>
          </w:p>
        </w:tc>
        <w:tc>
          <w:tcPr>
            <w:tcW w:w="90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0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707" w:type="dxa"/>
            <w:tcBorders>
              <w:top w:val="nil"/>
              <w:left w:val="nil"/>
              <w:bottom w:val="nil"/>
              <w:right w:val="nil"/>
            </w:tcBorders>
            <w:noWrap w:val="0"/>
            <w:vAlign w:val="center"/>
          </w:tcPr>
          <w:p>
            <w:pPr>
              <w:rPr>
                <w:sz w:val="1"/>
              </w:rPr>
            </w:pPr>
          </w:p>
        </w:tc>
        <w:tc>
          <w:tcPr>
            <w:tcW w:w="4368" w:type="dxa"/>
            <w:tcBorders>
              <w:top w:val="nil"/>
              <w:left w:val="nil"/>
              <w:bottom w:val="nil"/>
              <w:right w:val="nil"/>
            </w:tcBorders>
            <w:noWrap w:val="0"/>
            <w:vAlign w:val="center"/>
          </w:tcPr>
          <w:p>
            <w:pPr>
              <w:rPr>
                <w:sz w:val="1"/>
              </w:rPr>
            </w:pPr>
          </w:p>
        </w:tc>
        <w:tc>
          <w:tcPr>
            <w:tcW w:w="1417"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74"/>
        <w:gridCol w:w="4117"/>
      </w:tblGrid>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建筑出入口及平台、公共走廊、电梯门厅、厨房、浴室、卫生间等设置防滑等级</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Bw</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建筑室内外活动场地所采用的防滑地面的防滑等级</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Aw</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建筑坡道、楼梯踏步防滑等级</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Ad</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）建筑竣工图，防滑构造做法等设计文件；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）防滑材料相关测试报告。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防滑材料相关测试报告：7结构建材/ 4.2.4 地面防滑设置.docx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4.2.5 采取人车分流措施，且步行和自行车交通系统有充足照明。（8分）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采取人车分流措施，且步行和自交通系统有充足照明</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74"/>
        <w:gridCol w:w="4117"/>
      </w:tblGrid>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是否人车分流</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是</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步行道路是否有照明</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是</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自行车道路是否有照明</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是</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请对人车分流措施、步行和自行车交通系统进行简要说明。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w:t>
            </w:r>
          </w:p>
          <w:p>
            <w:pPr>
              <w:pStyle w:val="11"/>
              <w:shd w:val="clear" w:color="auto" w:fill="FFFFFF"/>
              <w:spacing w:before="0" w:beforeAutospacing="0" w:after="0" w:afterAutospacing="0"/>
              <w:ind w:firstLine="480"/>
              <w:rPr>
                <w:rFonts w:ascii="Helvetica" w:hAnsi="Helvetica" w:cs="Helvetica"/>
                <w:color w:val="444444"/>
              </w:rPr>
            </w:pPr>
            <w:r>
              <w:rPr>
                <w:rFonts w:ascii="Helvetica" w:hAnsi="Helvetica" w:cs="Helvetica"/>
                <w:color w:val="444444"/>
              </w:rPr>
              <w:t>人车分流将行人和机动车完全分离开，互不干扰，可避免人车争路的情况， 充分保障行人尤其是老人和儿童的安全。提供完善的人行道路网络可鼓励公众步行，也是建立以行人为本的城市的先决条件。</w:t>
            </w:r>
          </w:p>
          <w:p>
            <w:pPr>
              <w:pStyle w:val="11"/>
              <w:shd w:val="clear" w:color="auto" w:fill="FFFFFF"/>
              <w:spacing w:before="0" w:beforeAutospacing="0" w:after="0" w:afterAutospacing="0"/>
              <w:ind w:firstLine="480"/>
              <w:rPr>
                <w:rFonts w:ascii="Helvetica" w:hAnsi="Helvetica" w:cs="Helvetica"/>
                <w:color w:val="444444"/>
              </w:rPr>
            </w:pPr>
            <w:r>
              <w:rPr>
                <w:rFonts w:ascii="Helvetica" w:hAnsi="Helvetica" w:cs="Helvetica"/>
                <w:color w:val="444444"/>
              </w:rPr>
              <w:t>夜间行人的不安全感和实际存在的危险与道路等行人设施的照度水平和照明质量密切相关。步行和自行车交通系统照明应以路面平均照度、路面最小照度和垂直照度为评价指标，其照明标准值应不低于行业标准《城市道路照明设计标 准》CJJ 45-2015的规定</w:t>
            </w:r>
          </w:p>
          <w:p>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）人车分流专项设计竣工文件、道路照明设计竣工文件；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）相关区域的照度计算书、检测报告。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人车分流专项设计文件：3建筑设计/ 人车分流专项设计文件.docx</w:t>
            </w:r>
            <w:r>
              <w:rPr>
                <w:rFonts w:ascii="Times New Roman" w:hAnsi="Times New Roman" w:cs="Times New Roman"/>
                <w:sz w:val="20"/>
                <w:szCs w:val="20"/>
              </w:rPr>
              <w:br w:type="textWrapping"/>
            </w:r>
            <w:r>
              <w:rPr>
                <w:rStyle w:val="26"/>
                <w:rFonts w:ascii="Times New Roman" w:hAnsi="Times New Roman" w:cs="Times New Roman"/>
                <w:sz w:val="20"/>
                <w:szCs w:val="20"/>
              </w:rPr>
              <w:t>道路照明设计文件：8电气设计/ 道路照明设计文件.docx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4.2.6 采取提升建筑适变性的措施。（18分）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采取通用开放、灵活可变的使用空间设计，或采取建筑使用功能可变措施</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7</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建筑结构与建筑设备管线分离</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7</w:t>
            </w:r>
          </w:p>
        </w:tc>
      </w:tr>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采用与建筑功能和空间变化相适应的设备设施布置方式或控制方式</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7 </w:t>
            </w:r>
          </w:p>
        </w:tc>
      </w:tr>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18</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18 </w:t>
            </w:r>
          </w:p>
        </w:tc>
      </w:tr>
      <w:tr>
        <w:tblPrEx>
          <w:tblCellMar>
            <w:top w:w="0" w:type="dxa"/>
            <w:left w:w="0" w:type="dxa"/>
            <w:bottom w:w="0" w:type="dxa"/>
            <w:right w:w="0" w:type="dxa"/>
          </w:tblCellMar>
        </w:tblPrEx>
        <w:trPr>
          <w:jc w:val="center"/>
        </w:trPr>
        <w:tc>
          <w:tcPr>
            <w:tcW w:w="709" w:type="dxa"/>
            <w:tcBorders>
              <w:top w:val="nil"/>
              <w:left w:val="nil"/>
              <w:bottom w:val="nil"/>
              <w:right w:val="nil"/>
            </w:tcBorders>
            <w:noWrap w:val="0"/>
            <w:vAlign w:val="center"/>
          </w:tcPr>
          <w:p>
            <w:pPr>
              <w:rPr>
                <w:sz w:val="1"/>
              </w:rPr>
            </w:pPr>
          </w:p>
        </w:tc>
        <w:tc>
          <w:tcPr>
            <w:tcW w:w="4250"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5" w:type="pct"/>
        <w:jc w:val="center"/>
        <w:tblLayout w:type="autofit"/>
        <w:tblCellMar>
          <w:top w:w="0" w:type="dxa"/>
          <w:left w:w="0" w:type="dxa"/>
          <w:bottom w:w="0" w:type="dxa"/>
          <w:right w:w="0" w:type="dxa"/>
        </w:tblCellMar>
      </w:tblPr>
      <w:tblGrid>
        <w:gridCol w:w="3875"/>
        <w:gridCol w:w="4114"/>
      </w:tblGrid>
      <w:tr>
        <w:tblPrEx>
          <w:tblCellMar>
            <w:top w:w="0" w:type="dxa"/>
            <w:left w:w="0" w:type="dxa"/>
            <w:bottom w:w="0" w:type="dxa"/>
            <w:right w:w="0" w:type="dxa"/>
          </w:tblCellMar>
        </w:tblPrEx>
        <w:trPr>
          <w:jc w:val="center"/>
        </w:trPr>
        <w:tc>
          <w:tcPr>
            <w:tcW w:w="242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7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灵活可变空间占建筑面积比例</w:t>
            </w:r>
          </w:p>
        </w:tc>
        <w:tc>
          <w:tcPr>
            <w:tcW w:w="257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20%​</w:t>
            </w:r>
          </w:p>
        </w:tc>
      </w:tr>
      <w:tr>
        <w:tblPrEx>
          <w:tblCellMar>
            <w:top w:w="0" w:type="dxa"/>
            <w:left w:w="0" w:type="dxa"/>
            <w:bottom w:w="0" w:type="dxa"/>
            <w:right w:w="0" w:type="dxa"/>
          </w:tblCellMar>
        </w:tblPrEx>
        <w:trPr>
          <w:jc w:val="center"/>
        </w:trPr>
        <w:tc>
          <w:tcPr>
            <w:tcW w:w="242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是否管线分离</w:t>
            </w:r>
          </w:p>
        </w:tc>
        <w:tc>
          <w:tcPr>
            <w:tcW w:w="257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是</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请对采取与建筑功能和空间变化相适应的设备设施布置方式或控制方式进行简要说明：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w:t>
            </w:r>
            <w:r>
              <w:rPr>
                <w:rFonts w:ascii="Helvetica" w:hAnsi="Helvetica" w:cs="Helvetica"/>
                <w:color w:val="444444"/>
                <w:shd w:val="clear" w:color="auto" w:fill="FFFFFF"/>
              </w:rPr>
              <w:t>建筑适变性包括建筑的适应性和可变性。适应性是指使用功能和空间的变化潜力，可变性是指结构和空间行的形态变化。除走廊、楼梯、电梯井、卫生间、 厨房、设备机房、公共管井以外的地上室内空间均应视为“可适变空间”，有特殊 隔声、防护及特殊工艺需求的空间不计入。此外，作为商业、办公用途的地下空间也应视为“可适变的室内空间”，其它用途的地下空间可不计入。</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）建筑适变性提升措施的专项设计说明；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）建筑、结构、设备及装修设计相关竣工图。</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装修设计图纸与设计说明：3建筑设计/ 装修设计图纸与设计说明/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建筑专业图纸与设计说明：3建筑设计/ 建筑专业图纸与设计说明/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结构专业图纸与设计说明：7结构建材/ 结构专业图纸与设计说明/</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4.2.7 采取提升建筑部品部件耐久性的措施。（10分）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32"/>
        <w:gridCol w:w="4788"/>
        <w:gridCol w:w="1141"/>
        <w:gridCol w:w="1330"/>
      </w:tblGrid>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299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71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3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99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使用耐腐蚀、抗老化、耐久性能好的管材、管线、管件</w:t>
            </w:r>
          </w:p>
        </w:tc>
        <w:tc>
          <w:tcPr>
            <w:tcW w:w="71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99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活动配件选用长寿命产品，并考虑部品组合的同寿命性；不同使用寿命的部品组合时，采用便于分别拆换、更新和升级的构造</w:t>
            </w:r>
          </w:p>
        </w:tc>
        <w:tc>
          <w:tcPr>
            <w:tcW w:w="71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71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713" w:type="dxa"/>
            <w:tcBorders>
              <w:top w:val="nil"/>
              <w:left w:val="nil"/>
              <w:bottom w:val="nil"/>
              <w:right w:val="nil"/>
            </w:tcBorders>
            <w:noWrap w:val="0"/>
            <w:vAlign w:val="center"/>
          </w:tcPr>
          <w:p>
            <w:pPr>
              <w:rPr>
                <w:sz w:val="1"/>
              </w:rPr>
            </w:pPr>
          </w:p>
        </w:tc>
        <w:tc>
          <w:tcPr>
            <w:tcW w:w="4669" w:type="dxa"/>
            <w:tcBorders>
              <w:top w:val="nil"/>
              <w:left w:val="nil"/>
              <w:bottom w:val="nil"/>
              <w:right w:val="nil"/>
            </w:tcBorders>
            <w:noWrap w:val="0"/>
            <w:vAlign w:val="center"/>
          </w:tcPr>
          <w:p>
            <w:pPr>
              <w:rPr>
                <w:sz w:val="1"/>
              </w:rPr>
            </w:pPr>
          </w:p>
        </w:tc>
        <w:tc>
          <w:tcPr>
            <w:tcW w:w="1113" w:type="dxa"/>
            <w:tcBorders>
              <w:top w:val="nil"/>
              <w:left w:val="nil"/>
              <w:bottom w:val="nil"/>
              <w:right w:val="nil"/>
            </w:tcBorders>
            <w:noWrap w:val="0"/>
            <w:vAlign w:val="center"/>
          </w:tcPr>
          <w:p>
            <w:pPr>
              <w:rPr>
                <w:sz w:val="1"/>
              </w:rPr>
            </w:pPr>
          </w:p>
        </w:tc>
        <w:tc>
          <w:tcPr>
            <w:tcW w:w="1297"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65"/>
        <w:gridCol w:w="4126"/>
      </w:tblGrid>
      <w:tr>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类型</w:t>
            </w:r>
          </w:p>
        </w:tc>
        <w:tc>
          <w:tcPr>
            <w:tcW w:w="460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管材</w:t>
            </w:r>
          </w:p>
        </w:tc>
        <w:tc>
          <w:tcPr>
            <w:tcW w:w="460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 xml:space="preserve">耐腐蚀 </w:t>
            </w:r>
            <w:r>
              <w:rPr>
                <w:rStyle w:val="25"/>
                <w:rFonts w:hint="eastAsia" w:ascii="MS Mincho" w:hAnsi="MS Mincho" w:eastAsia="MS Mincho" w:cs="MS Mincho"/>
                <w:sz w:val="28"/>
                <w:szCs w:val="28"/>
              </w:rPr>
              <w:t>☑</w:t>
            </w:r>
            <w:r>
              <w:rPr>
                <w:rFonts w:hint="eastAsia"/>
                <w:sz w:val="21"/>
                <w:szCs w:val="21"/>
              </w:rPr>
              <w:t xml:space="preserve">抗老化 </w:t>
            </w:r>
            <w:r>
              <w:rPr>
                <w:rStyle w:val="25"/>
                <w:rFonts w:hint="eastAsia" w:ascii="MS Mincho" w:hAnsi="MS Mincho" w:eastAsia="MS Mincho" w:cs="MS Mincho"/>
                <w:sz w:val="28"/>
                <w:szCs w:val="28"/>
              </w:rPr>
              <w:t>☑</w:t>
            </w:r>
            <w:r>
              <w:rPr>
                <w:rFonts w:hint="eastAsia"/>
                <w:sz w:val="21"/>
                <w:szCs w:val="21"/>
              </w:rPr>
              <w:t>耐久性能好</w:t>
            </w:r>
          </w:p>
        </w:tc>
      </w:tr>
      <w:tr>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管线</w:t>
            </w:r>
          </w:p>
        </w:tc>
        <w:tc>
          <w:tcPr>
            <w:tcW w:w="460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 xml:space="preserve">耐腐蚀 </w:t>
            </w:r>
            <w:r>
              <w:rPr>
                <w:rStyle w:val="25"/>
                <w:rFonts w:hint="eastAsia" w:ascii="MS Mincho" w:hAnsi="MS Mincho" w:eastAsia="MS Mincho" w:cs="MS Mincho"/>
                <w:sz w:val="28"/>
                <w:szCs w:val="28"/>
              </w:rPr>
              <w:t>☑</w:t>
            </w:r>
            <w:r>
              <w:rPr>
                <w:rFonts w:hint="eastAsia"/>
                <w:sz w:val="21"/>
                <w:szCs w:val="21"/>
              </w:rPr>
              <w:t xml:space="preserve">抗老化 </w:t>
            </w:r>
            <w:r>
              <w:rPr>
                <w:rStyle w:val="25"/>
                <w:rFonts w:hint="eastAsia" w:ascii="MS Mincho" w:hAnsi="MS Mincho" w:eastAsia="MS Mincho" w:cs="MS Mincho"/>
                <w:sz w:val="28"/>
                <w:szCs w:val="28"/>
              </w:rPr>
              <w:t>☑</w:t>
            </w:r>
            <w:r>
              <w:rPr>
                <w:rFonts w:hint="eastAsia"/>
                <w:sz w:val="21"/>
                <w:szCs w:val="21"/>
              </w:rPr>
              <w:t>耐久性能好</w:t>
            </w:r>
          </w:p>
        </w:tc>
      </w:tr>
      <w:tr>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管件</w:t>
            </w:r>
          </w:p>
        </w:tc>
        <w:tc>
          <w:tcPr>
            <w:tcW w:w="460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 xml:space="preserve">耐腐蚀 </w:t>
            </w:r>
            <w:r>
              <w:rPr>
                <w:rStyle w:val="25"/>
                <w:rFonts w:hint="eastAsia" w:ascii="MS Mincho" w:hAnsi="MS Mincho" w:eastAsia="MS Mincho" w:cs="MS Mincho"/>
                <w:sz w:val="28"/>
                <w:szCs w:val="28"/>
              </w:rPr>
              <w:t>☑</w:t>
            </w:r>
            <w:r>
              <w:rPr>
                <w:rFonts w:hint="eastAsia"/>
                <w:sz w:val="21"/>
                <w:szCs w:val="21"/>
              </w:rPr>
              <w:t xml:space="preserve">抗老化 </w:t>
            </w:r>
            <w:r>
              <w:rPr>
                <w:rStyle w:val="25"/>
                <w:rFonts w:hint="eastAsia" w:ascii="MS Mincho" w:hAnsi="MS Mincho" w:eastAsia="MS Mincho" w:cs="MS Mincho"/>
                <w:sz w:val="28"/>
                <w:szCs w:val="28"/>
              </w:rPr>
              <w:t>☑</w:t>
            </w:r>
            <w:r>
              <w:rPr>
                <w:rFonts w:hint="eastAsia"/>
                <w:sz w:val="21"/>
                <w:szCs w:val="21"/>
              </w:rPr>
              <w:t>耐久性能好</w:t>
            </w:r>
          </w:p>
        </w:tc>
      </w:tr>
      <w:tr>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活动配件部品组合寿命</w:t>
            </w:r>
          </w:p>
        </w:tc>
        <w:tc>
          <w:tcPr>
            <w:tcW w:w="460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XX</w:t>
            </w:r>
            <w:r>
              <w:rPr>
                <w:rFonts w:hint="eastAsia"/>
                <w:sz w:val="21"/>
                <w:szCs w:val="21"/>
              </w:rPr>
              <w:t>年</w:t>
            </w:r>
          </w:p>
        </w:tc>
      </w:tr>
      <w:tr>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不同使用寿命的部品组合</w:t>
            </w:r>
          </w:p>
        </w:tc>
        <w:tc>
          <w:tcPr>
            <w:tcW w:w="460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 xml:space="preserve">便于分别拆换 </w:t>
            </w:r>
            <w:r>
              <w:rPr>
                <w:rStyle w:val="25"/>
                <w:rFonts w:hint="eastAsia" w:ascii="MS Mincho" w:hAnsi="MS Mincho" w:eastAsia="MS Mincho" w:cs="MS Mincho"/>
                <w:sz w:val="28"/>
                <w:szCs w:val="28"/>
              </w:rPr>
              <w:t>☑</w:t>
            </w:r>
            <w:r>
              <w:rPr>
                <w:rFonts w:hint="eastAsia"/>
                <w:sz w:val="21"/>
                <w:szCs w:val="21"/>
              </w:rPr>
              <w:t>更新</w:t>
            </w:r>
            <w:r>
              <w:rPr>
                <w:rFonts w:hint="eastAsia"/>
                <w:sz w:val="28"/>
                <w:szCs w:val="28"/>
              </w:rPr>
              <w:t xml:space="preserve"> </w:t>
            </w:r>
            <w:r>
              <w:rPr>
                <w:rStyle w:val="25"/>
                <w:rFonts w:hint="eastAsia" w:ascii="MS Mincho" w:hAnsi="MS Mincho" w:eastAsia="MS Mincho" w:cs="MS Mincho"/>
                <w:sz w:val="28"/>
                <w:szCs w:val="28"/>
              </w:rPr>
              <w:t>☑</w:t>
            </w:r>
            <w:r>
              <w:rPr>
                <w:rFonts w:hint="eastAsia"/>
                <w:sz w:val="21"/>
                <w:szCs w:val="21"/>
              </w:rPr>
              <w:t>升级</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请简要说明采取的提升建筑部品构件耐久性的具体措施：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8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生活及中水给水管采用优质</w:t>
            </w:r>
            <w:r>
              <w:rPr>
                <w:rFonts w:ascii="Times New Roman" w:hAnsi="Times New Roman" w:cs="Times New Roman"/>
                <w:sz w:val="20"/>
                <w:szCs w:val="20"/>
              </w:rPr>
              <w:t>PP-R</w:t>
            </w:r>
            <w:r>
              <w:rPr>
                <w:rFonts w:hint="eastAsia"/>
                <w:sz w:val="20"/>
                <w:szCs w:val="20"/>
              </w:rPr>
              <w:t>管，热水管采用热水型管材，采用热熔连接。室内排水管</w:t>
            </w:r>
            <w:r>
              <w:rPr>
                <w:rFonts w:ascii="Times New Roman" w:hAnsi="Times New Roman" w:cs="Times New Roman"/>
                <w:sz w:val="20"/>
                <w:szCs w:val="20"/>
              </w:rPr>
              <w:t>(</w:t>
            </w:r>
            <w:r>
              <w:rPr>
                <w:rFonts w:hint="eastAsia"/>
                <w:sz w:val="20"/>
                <w:szCs w:val="20"/>
              </w:rPr>
              <w:t>含出户管</w:t>
            </w:r>
            <w:r>
              <w:rPr>
                <w:rFonts w:ascii="Times New Roman" w:hAnsi="Times New Roman" w:cs="Times New Roman"/>
                <w:sz w:val="20"/>
                <w:szCs w:val="20"/>
              </w:rPr>
              <w:t>)</w:t>
            </w:r>
            <w:r>
              <w:rPr>
                <w:rFonts w:hint="eastAsia"/>
                <w:sz w:val="20"/>
                <w:szCs w:val="20"/>
              </w:rPr>
              <w:t>采用</w:t>
            </w:r>
            <w:r>
              <w:rPr>
                <w:rFonts w:ascii="Times New Roman" w:hAnsi="Times New Roman" w:cs="Times New Roman"/>
                <w:sz w:val="20"/>
                <w:szCs w:val="20"/>
              </w:rPr>
              <w:t>UPVC</w:t>
            </w:r>
            <w:r>
              <w:rPr>
                <w:rFonts w:hint="eastAsia"/>
                <w:sz w:val="20"/>
                <w:szCs w:val="20"/>
              </w:rPr>
              <w:t>塑料排水管，承插粘接。室外埋地管采用</w:t>
            </w:r>
            <w:r>
              <w:rPr>
                <w:rFonts w:ascii="Times New Roman" w:hAnsi="Times New Roman" w:cs="Times New Roman"/>
                <w:sz w:val="20"/>
                <w:szCs w:val="20"/>
              </w:rPr>
              <w:t>HDPE</w:t>
            </w:r>
            <w:r>
              <w:rPr>
                <w:rFonts w:hint="eastAsia"/>
                <w:sz w:val="20"/>
                <w:szCs w:val="20"/>
              </w:rPr>
              <w:t>双壁波纹排水管，胶圈承插接口。承压排水管采用给水</w:t>
            </w:r>
            <w:r>
              <w:rPr>
                <w:rFonts w:ascii="Times New Roman" w:hAnsi="Times New Roman" w:cs="Times New Roman"/>
                <w:sz w:val="20"/>
                <w:szCs w:val="20"/>
              </w:rPr>
              <w:t>PE</w:t>
            </w:r>
            <w:r>
              <w:rPr>
                <w:rFonts w:hint="eastAsia"/>
                <w:sz w:val="20"/>
                <w:szCs w:val="20"/>
              </w:rPr>
              <w:t>管，热熔连接。给水管</w:t>
            </w:r>
            <w:r>
              <w:rPr>
                <w:rFonts w:ascii="Times New Roman" w:hAnsi="Times New Roman" w:cs="Times New Roman"/>
                <w:sz w:val="20"/>
                <w:szCs w:val="20"/>
              </w:rPr>
              <w:t>DN&lt;50</w:t>
            </w:r>
            <w:r>
              <w:rPr>
                <w:rFonts w:hint="eastAsia"/>
                <w:sz w:val="20"/>
                <w:szCs w:val="20"/>
              </w:rPr>
              <w:t>采用截止阀，</w:t>
            </w:r>
            <w:r>
              <w:rPr>
                <w:rFonts w:ascii="Times New Roman" w:hAnsi="Times New Roman" w:cs="Times New Roman"/>
                <w:sz w:val="20"/>
                <w:szCs w:val="20"/>
              </w:rPr>
              <w:t>DN&gt;50</w:t>
            </w:r>
            <w:r>
              <w:rPr>
                <w:rFonts w:hint="eastAsia"/>
                <w:sz w:val="20"/>
                <w:szCs w:val="20"/>
              </w:rPr>
              <w:t>采用碟阀或闸阀。消防管阀门采用碟阀或闸阀，且有明显的开启标志。</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280" w:lineRule="atLeast"/>
        <w:jc w:val="both"/>
      </w:pPr>
      <w:r>
        <w:rPr>
          <w:rFonts w:hint="eastAsia"/>
          <w:sz w:val="21"/>
          <w:szCs w:val="21"/>
        </w:rPr>
        <w:t>提交材料及要求：</w:t>
      </w:r>
    </w:p>
    <w:p>
      <w:pPr>
        <w:pStyle w:val="11"/>
        <w:spacing w:before="0" w:beforeAutospacing="0" w:after="0" w:afterAutospacing="0" w:line="280" w:lineRule="atLeast"/>
        <w:jc w:val="both"/>
      </w:pPr>
      <w:r>
        <w:rPr>
          <w:rFonts w:ascii="Times New Roman" w:hAnsi="Times New Roman" w:cs="Times New Roman"/>
          <w:sz w:val="21"/>
          <w:szCs w:val="21"/>
        </w:rPr>
        <w:t>1</w:t>
      </w:r>
      <w:r>
        <w:rPr>
          <w:rFonts w:hint="eastAsia"/>
          <w:sz w:val="21"/>
          <w:szCs w:val="21"/>
        </w:rPr>
        <w:t>）相关建筑、给排水、装修竣工图纸及设计说明；</w:t>
      </w:r>
    </w:p>
    <w:p>
      <w:pPr>
        <w:pStyle w:val="11"/>
        <w:spacing w:before="0" w:beforeAutospacing="0" w:after="0" w:afterAutospacing="0" w:line="280" w:lineRule="atLeast"/>
        <w:jc w:val="both"/>
      </w:pPr>
      <w:r>
        <w:rPr>
          <w:rFonts w:ascii="Times New Roman" w:hAnsi="Times New Roman" w:cs="Times New Roman"/>
          <w:sz w:val="21"/>
          <w:szCs w:val="21"/>
        </w:rPr>
        <w:t>2</w:t>
      </w:r>
      <w:r>
        <w:rPr>
          <w:rFonts w:hint="eastAsia"/>
          <w:sz w:val="21"/>
          <w:szCs w:val="21"/>
        </w:rPr>
        <w:t>）材料决算清单、相关产品说明书或检测报告。</w:t>
      </w:r>
    </w:p>
    <w:p>
      <w:pPr>
        <w:pStyle w:val="11"/>
        <w:spacing w:before="0" w:beforeAutospacing="0" w:after="0" w:afterAutospacing="0" w:line="280" w:lineRule="atLeast"/>
        <w:jc w:val="both"/>
      </w:pPr>
      <w:r>
        <w:rPr>
          <w:rFonts w:ascii="Times New Roman" w:hAnsi="Times New Roman" w:cs="Times New Roman"/>
          <w:sz w:val="21"/>
          <w:szCs w:val="21"/>
        </w:rPr>
        <w:t> </w:t>
      </w:r>
    </w:p>
    <w:p>
      <w:pPr>
        <w:pStyle w:val="11"/>
        <w:spacing w:before="0" w:beforeAutospacing="0" w:after="0" w:afterAutospacing="0" w:line="280" w:lineRule="atLeast"/>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给排水专业图纸及设计说明：6给排水设计/ 建筑施工图.dwg</w:t>
            </w:r>
            <w:r>
              <w:rPr>
                <w:rFonts w:ascii="Times New Roman" w:hAnsi="Times New Roman" w:cs="Times New Roman"/>
                <w:sz w:val="20"/>
                <w:szCs w:val="20"/>
              </w:rPr>
              <w:br w:type="textWrapping"/>
            </w:r>
            <w:r>
              <w:rPr>
                <w:rStyle w:val="26"/>
                <w:rFonts w:ascii="Times New Roman" w:hAnsi="Times New Roman" w:cs="Times New Roman"/>
                <w:sz w:val="20"/>
                <w:szCs w:val="20"/>
              </w:rPr>
              <w:t>材料决算清单：7结构建材/ 幼儿园工程预算表.xls</w:t>
            </w:r>
            <w:r>
              <w:rPr>
                <w:rFonts w:ascii="Times New Roman" w:hAnsi="Times New Roman" w:cs="Times New Roman"/>
                <w:sz w:val="20"/>
                <w:szCs w:val="20"/>
              </w:rPr>
              <w:br w:type="textWrapping"/>
            </w:r>
            <w:r>
              <w:rPr>
                <w:rStyle w:val="26"/>
                <w:rFonts w:ascii="Times New Roman" w:hAnsi="Times New Roman" w:cs="Times New Roman"/>
                <w:sz w:val="20"/>
                <w:szCs w:val="20"/>
              </w:rPr>
              <w:t>部品部件相关产品检测报告：7结构建材/ 4.2.7 部品部件耐久性.docx</w:t>
            </w:r>
            <w:r>
              <w:rPr>
                <w:rFonts w:ascii="Times New Roman" w:hAnsi="Times New Roman" w:cs="Times New Roman"/>
                <w:sz w:val="20"/>
                <w:szCs w:val="20"/>
              </w:rPr>
              <w:br w:type="textWrapping"/>
            </w:r>
            <w:r>
              <w:rPr>
                <w:rStyle w:val="26"/>
                <w:rFonts w:ascii="Times New Roman" w:hAnsi="Times New Roman" w:cs="Times New Roman"/>
                <w:sz w:val="20"/>
                <w:szCs w:val="20"/>
              </w:rPr>
              <w:t>电气专业图纸及设计说明：8电气设计/ 电气设计说明.docx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w:t>
      </w:r>
      <w:r>
        <w:rPr>
          <w:rFonts w:hint="eastAsia" w:ascii="Times New Roman" w:hAnsi="Times New Roman" w:eastAsia="宋体" w:cs="Times New Roman"/>
          <w:i w:val="0"/>
          <w:iCs w:val="0"/>
          <w:color w:val="auto"/>
          <w:sz w:val="24"/>
          <w:szCs w:val="24"/>
          <w:lang w:eastAsia="zh-CN"/>
        </w:rPr>
        <w:t>.2.8 提高建筑结构材料的耐久性。（10分）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907" w:type="pct"/>
        <w:jc w:val="center"/>
        <w:tblLayout w:type="autofit"/>
        <w:tblCellMar>
          <w:top w:w="0" w:type="dxa"/>
          <w:left w:w="0" w:type="dxa"/>
          <w:bottom w:w="0" w:type="dxa"/>
          <w:right w:w="0" w:type="dxa"/>
        </w:tblCellMar>
      </w:tblPr>
      <w:tblGrid>
        <w:gridCol w:w="708"/>
        <w:gridCol w:w="990"/>
        <w:gridCol w:w="4389"/>
        <w:gridCol w:w="1131"/>
        <w:gridCol w:w="1132"/>
      </w:tblGrid>
      <w:tr>
        <w:tblPrEx>
          <w:tblCellMar>
            <w:top w:w="0" w:type="dxa"/>
            <w:left w:w="0" w:type="dxa"/>
            <w:bottom w:w="0" w:type="dxa"/>
            <w:right w:w="0" w:type="dxa"/>
          </w:tblCellMar>
        </w:tblPrEx>
        <w:trPr>
          <w:jc w:val="center"/>
        </w:trPr>
        <w:tc>
          <w:tcPr>
            <w:tcW w:w="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6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6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1"/>
                <w:szCs w:val="21"/>
              </w:rPr>
              <w:t>☑</w:t>
            </w:r>
            <w:r>
              <w:rPr>
                <w:rFonts w:hint="eastAsia"/>
                <w:sz w:val="21"/>
                <w:szCs w:val="21"/>
              </w:rPr>
              <w:t>按</w:t>
            </w:r>
            <w:r>
              <w:rPr>
                <w:rFonts w:ascii="Times New Roman" w:hAnsi="Times New Roman" w:cs="Times New Roman"/>
                <w:sz w:val="21"/>
                <w:szCs w:val="21"/>
              </w:rPr>
              <w:t>100</w:t>
            </w:r>
            <w:r>
              <w:rPr>
                <w:rFonts w:hint="eastAsia"/>
                <w:sz w:val="21"/>
                <w:szCs w:val="21"/>
              </w:rPr>
              <w:t>年进行耐久性设计</w:t>
            </w:r>
          </w:p>
        </w:tc>
        <w:tc>
          <w:tcPr>
            <w:tcW w:w="6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678"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20</w:t>
            </w:r>
          </w:p>
        </w:tc>
      </w:tr>
      <w:tr>
        <w:tblPrEx>
          <w:tblCellMar>
            <w:top w:w="0" w:type="dxa"/>
            <w:left w:w="0" w:type="dxa"/>
            <w:bottom w:w="0" w:type="dxa"/>
            <w:right w:w="0" w:type="dxa"/>
          </w:tblCellMar>
        </w:tblPrEx>
        <w:trPr>
          <w:jc w:val="center"/>
        </w:trPr>
        <w:tc>
          <w:tcPr>
            <w:tcW w:w="42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593"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1"/>
                <w:szCs w:val="21"/>
              </w:rPr>
              <w:t>☑</w:t>
            </w:r>
            <w:r>
              <w:rPr>
                <w:rFonts w:hint="eastAsia"/>
                <w:sz w:val="21"/>
                <w:szCs w:val="21"/>
              </w:rPr>
              <w:t>采用耐久性能好的建筑结构材料</w:t>
            </w:r>
          </w:p>
        </w:tc>
        <w:tc>
          <w:tcPr>
            <w:tcW w:w="262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1"/>
                <w:szCs w:val="21"/>
              </w:rPr>
              <w:t>☑</w:t>
            </w:r>
            <w:r>
              <w:rPr>
                <w:rFonts w:hint="eastAsia"/>
                <w:sz w:val="21"/>
                <w:szCs w:val="21"/>
              </w:rPr>
              <w:t>混凝土构件，提高钢筋保护层厚度或采用高耐久性混凝土</w:t>
            </w:r>
          </w:p>
        </w:tc>
        <w:tc>
          <w:tcPr>
            <w:tcW w:w="677"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262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sz w:val="21"/>
                <w:szCs w:val="21"/>
              </w:rPr>
              <w:t>□</w:t>
            </w:r>
            <w:r>
              <w:rPr>
                <w:rFonts w:hint="eastAsia"/>
                <w:sz w:val="21"/>
                <w:szCs w:val="21"/>
              </w:rPr>
              <w:t>钢构件，采用耐候结构钢及耐候性防腐涂料</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262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sz w:val="21"/>
                <w:szCs w:val="21"/>
              </w:rPr>
              <w:t>□</w:t>
            </w:r>
            <w:r>
              <w:rPr>
                <w:rFonts w:hint="eastAsia"/>
                <w:sz w:val="21"/>
                <w:szCs w:val="21"/>
              </w:rPr>
              <w:t>木构件，采用防腐木材、耐久木材或耐久木制品</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691" w:type="dxa"/>
            <w:tcBorders>
              <w:top w:val="nil"/>
              <w:left w:val="nil"/>
              <w:bottom w:val="nil"/>
              <w:right w:val="nil"/>
            </w:tcBorders>
            <w:noWrap w:val="0"/>
            <w:vAlign w:val="center"/>
          </w:tcPr>
          <w:p>
            <w:pPr>
              <w:rPr>
                <w:sz w:val="1"/>
              </w:rPr>
            </w:pPr>
          </w:p>
        </w:tc>
        <w:tc>
          <w:tcPr>
            <w:tcW w:w="966" w:type="dxa"/>
            <w:tcBorders>
              <w:top w:val="nil"/>
              <w:left w:val="nil"/>
              <w:bottom w:val="nil"/>
              <w:right w:val="nil"/>
            </w:tcBorders>
            <w:noWrap w:val="0"/>
            <w:vAlign w:val="center"/>
          </w:tcPr>
          <w:p>
            <w:pPr>
              <w:rPr>
                <w:sz w:val="1"/>
              </w:rPr>
            </w:pPr>
          </w:p>
        </w:tc>
        <w:tc>
          <w:tcPr>
            <w:tcW w:w="4279" w:type="dxa"/>
            <w:tcBorders>
              <w:top w:val="nil"/>
              <w:left w:val="nil"/>
              <w:bottom w:val="nil"/>
              <w:right w:val="nil"/>
            </w:tcBorders>
            <w:noWrap w:val="0"/>
            <w:vAlign w:val="center"/>
          </w:tcPr>
          <w:p>
            <w:pPr>
              <w:rPr>
                <w:sz w:val="1"/>
              </w:rPr>
            </w:pPr>
          </w:p>
        </w:tc>
        <w:tc>
          <w:tcPr>
            <w:tcW w:w="1102" w:type="dxa"/>
            <w:tcBorders>
              <w:top w:val="nil"/>
              <w:left w:val="nil"/>
              <w:bottom w:val="nil"/>
              <w:right w:val="nil"/>
            </w:tcBorders>
            <w:noWrap w:val="0"/>
            <w:vAlign w:val="center"/>
          </w:tcPr>
          <w:p>
            <w:pPr>
              <w:rPr>
                <w:sz w:val="1"/>
              </w:rPr>
            </w:pPr>
          </w:p>
        </w:tc>
        <w:tc>
          <w:tcPr>
            <w:tcW w:w="1104"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71"/>
        <w:gridCol w:w="4120"/>
      </w:tblGrid>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类型</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建筑结构设计年限</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 100</w:t>
            </w:r>
          </w:p>
        </w:tc>
      </w:tr>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建筑结构材料</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 xml:space="preserve">混凝土 </w:t>
            </w:r>
            <w:r>
              <w:rPr>
                <w:rStyle w:val="25"/>
                <w:rFonts w:hint="eastAsia" w:ascii="MS Mincho" w:hAnsi="MS Mincho" w:eastAsia="MS Mincho" w:cs="MS Mincho"/>
                <w:sz w:val="28"/>
                <w:szCs w:val="28"/>
              </w:rPr>
              <w:t>☐</w:t>
            </w:r>
            <w:r>
              <w:rPr>
                <w:rFonts w:hint="eastAsia"/>
                <w:sz w:val="21"/>
                <w:szCs w:val="21"/>
              </w:rPr>
              <w:t xml:space="preserve">钢 </w:t>
            </w:r>
            <w:r>
              <w:rPr>
                <w:rStyle w:val="25"/>
                <w:rFonts w:hint="eastAsia" w:ascii="MS Mincho" w:hAnsi="MS Mincho" w:eastAsia="MS Mincho" w:cs="MS Mincho"/>
                <w:sz w:val="28"/>
                <w:szCs w:val="28"/>
              </w:rPr>
              <w:t>☐</w:t>
            </w:r>
            <w:r>
              <w:rPr>
                <w:rFonts w:hint="eastAsia"/>
                <w:sz w:val="21"/>
                <w:szCs w:val="21"/>
              </w:rPr>
              <w:t>木</w:t>
            </w:r>
          </w:p>
        </w:tc>
      </w:tr>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钢筋保护层厚度</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 40mm</w:t>
            </w:r>
          </w:p>
        </w:tc>
      </w:tr>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是否采用高耐久性混凝土</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 是</w:t>
            </w:r>
          </w:p>
        </w:tc>
      </w:tr>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是否采用耐候结构钢和耐候性防腐涂料</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 是</w:t>
            </w:r>
          </w:p>
        </w:tc>
      </w:tr>
      <w:tr>
        <w:tblPrEx>
          <w:tblCellMar>
            <w:top w:w="0" w:type="dxa"/>
            <w:left w:w="0" w:type="dxa"/>
            <w:bottom w:w="0" w:type="dxa"/>
            <w:right w:w="0" w:type="dxa"/>
          </w:tblCellMar>
        </w:tblPrEx>
        <w:trPr>
          <w:jc w:val="center"/>
        </w:trPr>
        <w:tc>
          <w:tcPr>
            <w:tcW w:w="24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是否采用耐久木制品</w:t>
            </w:r>
          </w:p>
        </w:tc>
        <w:tc>
          <w:tcPr>
            <w:tcW w:w="257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 是</w:t>
            </w:r>
          </w:p>
        </w:tc>
      </w:tr>
    </w:tbl>
    <w:p>
      <w:pPr>
        <w:pStyle w:val="11"/>
        <w:spacing w:before="0" w:beforeAutospacing="0" w:after="0" w:afterAutospacing="0"/>
        <w:jc w:val="both"/>
      </w:pPr>
      <w:r>
        <w:rPr>
          <w:rFonts w:hint="eastAsia"/>
          <w:sz w:val="21"/>
          <w:szCs w:val="21"/>
        </w:rPr>
        <w:t>请简要说明提高建筑结构材料耐久性的设计内容和落实情况：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682"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结合本项目实际，通过对比本工程宜采用静压预应力管桩基础形式，以强风化及以下岩层作为持力层，以达到经济合理节材效果；教室、体育馆均需大开间布置，框架结构较剪力墙结构更适合用于楼层低、大开间建筑，功能布置灵活，且对于楼层较低的建筑，框架结构较剪力墙结构建设成本更低；根据不同板跨设置不同板厚，充分利用板底钢筋承载能力，钢筋均采用</w:t>
            </w:r>
            <w:r>
              <w:rPr>
                <w:rFonts w:ascii="Times New Roman" w:hAnsi="Times New Roman" w:cs="Times New Roman"/>
                <w:sz w:val="20"/>
                <w:szCs w:val="20"/>
              </w:rPr>
              <w:t>HRB400</w:t>
            </w:r>
            <w:r>
              <w:rPr>
                <w:rFonts w:hint="eastAsia"/>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280" w:lineRule="atLeast"/>
        <w:jc w:val="both"/>
      </w:pPr>
      <w:r>
        <w:rPr>
          <w:rFonts w:hint="eastAsia"/>
          <w:sz w:val="21"/>
          <w:szCs w:val="21"/>
        </w:rPr>
        <w:t>提交材料及要求：</w:t>
      </w:r>
    </w:p>
    <w:p>
      <w:pPr>
        <w:pStyle w:val="11"/>
        <w:spacing w:before="0" w:beforeAutospacing="0" w:after="0" w:afterAutospacing="0" w:line="280" w:lineRule="atLeast"/>
        <w:jc w:val="both"/>
      </w:pPr>
      <w:r>
        <w:rPr>
          <w:rFonts w:ascii="Times New Roman" w:hAnsi="Times New Roman" w:cs="Times New Roman"/>
          <w:sz w:val="21"/>
          <w:szCs w:val="21"/>
        </w:rPr>
        <w:t>1</w:t>
      </w:r>
      <w:r>
        <w:rPr>
          <w:rFonts w:hint="eastAsia"/>
          <w:sz w:val="21"/>
          <w:szCs w:val="21"/>
        </w:rPr>
        <w:t>）建筑、结构设计竣工图：应注明本项目采用的高性能材料的类别及范围或耐候结构钢、耐候型防腐涂料的采用情况；</w:t>
      </w:r>
    </w:p>
    <w:p>
      <w:pPr>
        <w:pStyle w:val="11"/>
        <w:spacing w:before="0" w:beforeAutospacing="0" w:after="0" w:afterAutospacing="0" w:line="280" w:lineRule="atLeast"/>
        <w:jc w:val="both"/>
      </w:pPr>
      <w:r>
        <w:rPr>
          <w:rFonts w:ascii="Times New Roman" w:hAnsi="Times New Roman" w:cs="Times New Roman"/>
          <w:sz w:val="21"/>
          <w:szCs w:val="21"/>
        </w:rPr>
        <w:t>2</w:t>
      </w:r>
      <w:r>
        <w:rPr>
          <w:rFonts w:hint="eastAsia"/>
          <w:sz w:val="21"/>
          <w:szCs w:val="21"/>
        </w:rPr>
        <w:t>）耐久性好的建筑结构材料使用情况统计，应提供相关产品说明、检测报告以及建筑结构材料的决算清单；</w:t>
      </w:r>
    </w:p>
    <w:p>
      <w:pPr>
        <w:pStyle w:val="11"/>
        <w:spacing w:before="0" w:beforeAutospacing="0" w:after="0" w:afterAutospacing="0" w:line="280" w:lineRule="atLeast"/>
        <w:jc w:val="both"/>
      </w:pPr>
      <w:r>
        <w:rPr>
          <w:rFonts w:ascii="Times New Roman" w:hAnsi="Times New Roman" w:cs="Times New Roman"/>
          <w:sz w:val="21"/>
          <w:szCs w:val="21"/>
        </w:rPr>
        <w:t>3</w:t>
      </w:r>
      <w:r>
        <w:rPr>
          <w:rFonts w:hint="eastAsia"/>
          <w:sz w:val="21"/>
          <w:szCs w:val="21"/>
        </w:rPr>
        <w:t>）项目运行使用中的维护管理记录。</w:t>
      </w:r>
    </w:p>
    <w:p>
      <w:pPr>
        <w:pStyle w:val="11"/>
        <w:spacing w:before="0" w:beforeAutospacing="0" w:after="0" w:afterAutospacing="0" w:line="280" w:lineRule="atLeast"/>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42"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结构专业图纸与设计说明：7结构建材/ 结构专业图纸与设计说明/</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4.2.9 合理采用耐久性好、易维护的装饰装修建筑材料。（9分）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31"/>
        <w:gridCol w:w="4357"/>
        <w:gridCol w:w="1573"/>
        <w:gridCol w:w="1330"/>
      </w:tblGrid>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采用耐久性好的外饰面材料</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2</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采用耐久性好的防水和密封材料</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jc w:val="center"/>
        </w:trPr>
        <w:tc>
          <w:tcPr>
            <w:tcW w:w="45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采用耐久性好、易维护的室内装饰装修材料</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9</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9</w:t>
            </w:r>
          </w:p>
        </w:tc>
      </w:tr>
      <w:tr>
        <w:tblPrEx>
          <w:tblCellMar>
            <w:top w:w="0" w:type="dxa"/>
            <w:left w:w="0" w:type="dxa"/>
            <w:bottom w:w="0" w:type="dxa"/>
            <w:right w:w="0" w:type="dxa"/>
          </w:tblCellMar>
        </w:tblPrEx>
        <w:trPr>
          <w:jc w:val="center"/>
        </w:trPr>
        <w:tc>
          <w:tcPr>
            <w:tcW w:w="714" w:type="dxa"/>
            <w:tcBorders>
              <w:top w:val="nil"/>
              <w:left w:val="nil"/>
              <w:bottom w:val="nil"/>
              <w:right w:val="nil"/>
            </w:tcBorders>
            <w:noWrap w:val="0"/>
            <w:vAlign w:val="center"/>
          </w:tcPr>
          <w:p>
            <w:pPr>
              <w:rPr>
                <w:sz w:val="1"/>
              </w:rPr>
            </w:pPr>
          </w:p>
        </w:tc>
        <w:tc>
          <w:tcPr>
            <w:tcW w:w="4248"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297"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995"/>
        <w:gridCol w:w="3996"/>
      </w:tblGrid>
      <w:tr>
        <w:tblPrEx>
          <w:tblCellMar>
            <w:top w:w="0" w:type="dxa"/>
            <w:left w:w="0" w:type="dxa"/>
            <w:bottom w:w="0" w:type="dxa"/>
            <w:right w:w="0" w:type="dxa"/>
          </w:tblCellMar>
        </w:tblPrEx>
        <w:trPr>
          <w:jc w:val="center"/>
        </w:trPr>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耐久性好的外饰面材料占总外饰面材料质量比例</w:t>
            </w:r>
          </w:p>
        </w:tc>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80%​</w:t>
            </w:r>
          </w:p>
        </w:tc>
      </w:tr>
      <w:tr>
        <w:tblPrEx>
          <w:tblCellMar>
            <w:top w:w="0" w:type="dxa"/>
            <w:left w:w="0" w:type="dxa"/>
            <w:bottom w:w="0" w:type="dxa"/>
            <w:right w:w="0" w:type="dxa"/>
          </w:tblCellMar>
        </w:tblPrEx>
        <w:trPr>
          <w:jc w:val="center"/>
        </w:trPr>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耐久性好的防水和密封材料占总防水和密封材料质量比例</w:t>
            </w:r>
          </w:p>
        </w:tc>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80%​</w:t>
            </w:r>
          </w:p>
        </w:tc>
      </w:tr>
      <w:tr>
        <w:tblPrEx>
          <w:tblCellMar>
            <w:top w:w="0" w:type="dxa"/>
            <w:left w:w="0" w:type="dxa"/>
            <w:bottom w:w="0" w:type="dxa"/>
            <w:right w:w="0" w:type="dxa"/>
          </w:tblCellMar>
        </w:tblPrEx>
        <w:trPr>
          <w:jc w:val="center"/>
        </w:trPr>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耐久性好、易维护的室内装饰装修材料占室内装饰装修材料质量比例</w:t>
            </w:r>
          </w:p>
        </w:tc>
        <w:tc>
          <w:tcPr>
            <w:tcW w:w="250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80%​</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请简要说明装饰装修建筑材料采用耐久性好、易维护材料的情况：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519"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ascii="Helvetica" w:hAnsi="Helvetica" w:cs="Helvetica"/>
                <w:color w:val="444444"/>
                <w:shd w:val="clear" w:color="auto" w:fill="FFFFFF"/>
              </w:rPr>
              <w:t>釆用水性氟涂料或耐候性相当的涂料，选用耐久性与建筑幕墙设计年限相匹配的饰面材料，合理釆用清水混凝土等。釆用清水混凝土可减少装饰装修材料用量，减轻建筑自重</w:t>
            </w:r>
            <w:r>
              <w:rPr>
                <w:rFonts w:hint="eastAsia"/>
                <w:sz w:val="20"/>
                <w:szCs w:val="20"/>
              </w:rPr>
              <w:br w:type="textWrapping"/>
            </w:r>
            <w:r>
              <w:rPr>
                <w:rFonts w:hint="eastAsia" w:ascii="MS Mincho" w:hAnsi="MS Mincho" w:eastAsia="MS Mincho" w:cs="MS Mincho"/>
                <w:sz w:val="20"/>
                <w:szCs w:val="20"/>
              </w:rPr>
              <w:t>​</w:t>
            </w:r>
            <w:r>
              <w:rPr>
                <w:rFonts w:ascii="Helvetica" w:hAnsi="Helvetica" w:cs="Helvetica"/>
                <w:color w:val="444444"/>
                <w:shd w:val="clear" w:color="auto" w:fill="FFFFFF"/>
              </w:rPr>
              <w:t>防水和密封材料，国家标准《绿色产品评价防水与密封材料》 GB/T 35609-2017对于沥青基防水卷材、高分子防水卷材、防水涂料、密封胶的 耐久性提出了具体要求</w:t>
            </w:r>
            <w:r>
              <w:rPr>
                <w:rFonts w:ascii="Helvetica" w:hAnsi="Helvetica" w:cs="Helvetica"/>
                <w:color w:val="444444"/>
                <w:shd w:val="clear" w:color="auto" w:fill="FFFFFF"/>
              </w:rPr>
              <w:br w:type="textWrapping"/>
            </w:r>
            <w:r>
              <w:rPr>
                <w:rFonts w:ascii="Helvetica" w:hAnsi="Helvetica" w:cs="Helvetica"/>
                <w:color w:val="444444"/>
                <w:shd w:val="clear" w:color="auto" w:fill="FFFFFF"/>
              </w:rPr>
              <w:t>​室内装饰装修材料，包括选用耐洗刷性＞5000次的内墙涂料， 选用耐磨性好的陶瓷地砖(有釉砖耐磨性不低于4级，无釉砖磨坑体积不大于 127mm3)，釆用免装饰面层的做法(如清水混凝土，免吊顶设计)等。​</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）装修竣工图、材料决算清单；</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）材料性能检测报告、采购文件；</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）材料性能检测报告。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47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材料决算清单：7结构建材/ 幼儿园工程预算表.xls</w:t>
            </w:r>
            <w:r>
              <w:rPr>
                <w:rFonts w:ascii="Times New Roman" w:hAnsi="Times New Roman" w:cs="Times New Roman"/>
                <w:sz w:val="20"/>
                <w:szCs w:val="20"/>
              </w:rPr>
              <w:br w:type="textWrapping"/>
            </w:r>
            <w:r>
              <w:rPr>
                <w:rStyle w:val="26"/>
                <w:rFonts w:ascii="Times New Roman" w:hAnsi="Times New Roman" w:cs="Times New Roman"/>
                <w:sz w:val="20"/>
                <w:szCs w:val="20"/>
              </w:rPr>
              <w:t>装饰装修材料采购文件：7结构建材/ 装修材料表.docx</w:t>
            </w:r>
          </w:p>
        </w:tc>
      </w:tr>
    </w:tbl>
    <w:p>
      <w:pPr>
        <w:pStyle w:val="11"/>
        <w:spacing w:before="0" w:beforeAutospacing="0" w:after="0" w:afterAutospacing="0"/>
        <w:jc w:val="both"/>
      </w:pPr>
      <w:r>
        <w:rPr>
          <w:rFonts w:ascii="Calibri" w:hAnsi="Calibri"/>
          <w:sz w:val="21"/>
          <w:szCs w:val="21"/>
        </w:rPr>
        <w:t> </w:t>
      </w:r>
      <w:r>
        <w:rPr>
          <w:b/>
          <w:bCs/>
          <w:color w:val="000000"/>
        </w:rPr>
        <w:br w:type="page"/>
      </w:r>
      <w:r>
        <w:rPr>
          <w:rFonts w:hint="eastAsia"/>
          <w:b/>
          <w:bCs/>
          <w:color w:val="000000"/>
        </w:rPr>
        <w:t>5 健康舒适</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76"/>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shd w:val="clear" w:color="auto" w:fill="DCDCDC"/>
            <w:noWrap w:val="0"/>
            <w:vAlign w:val="center"/>
          </w:tcPr>
          <w:p>
            <w:pPr>
              <w:spacing w:after="3"/>
              <w:jc w:val="center"/>
            </w:pPr>
            <w:r>
              <w:rPr>
                <w:rFonts w:hint="eastAsia"/>
                <w:b/>
                <w:bCs/>
                <w:color w:val="000000"/>
                <w:sz w:val="20"/>
                <w:szCs w:val="20"/>
              </w:rPr>
              <w:t>子项</w:t>
            </w:r>
          </w:p>
        </w:tc>
        <w:tc>
          <w:tcPr>
            <w:tcW w:w="800" w:type="dxa"/>
            <w:shd w:val="clear" w:color="auto" w:fill="DCDCDC"/>
            <w:noWrap w:val="0"/>
            <w:vAlign w:val="center"/>
          </w:tcPr>
          <w:p>
            <w:pPr>
              <w:spacing w:after="3"/>
              <w:jc w:val="center"/>
            </w:pPr>
            <w:r>
              <w:rPr>
                <w:rFonts w:hint="eastAsia"/>
                <w:b/>
                <w:bCs/>
                <w:color w:val="000000"/>
                <w:sz w:val="22"/>
                <w:szCs w:val="22"/>
              </w:rPr>
              <w:t>条文编号</w:t>
            </w:r>
          </w:p>
        </w:tc>
        <w:tc>
          <w:tcPr>
            <w:tcW w:w="5000" w:type="dxa"/>
            <w:shd w:val="clear" w:color="auto" w:fill="DCDCDC"/>
            <w:noWrap w:val="0"/>
            <w:vAlign w:val="center"/>
          </w:tcPr>
          <w:p>
            <w:pPr>
              <w:spacing w:after="3"/>
              <w:jc w:val="center"/>
            </w:pPr>
            <w:r>
              <w:rPr>
                <w:rFonts w:hint="eastAsia"/>
                <w:b/>
                <w:bCs/>
                <w:color w:val="000000"/>
                <w:sz w:val="20"/>
                <w:szCs w:val="20"/>
              </w:rPr>
              <w:t>条文</w:t>
            </w:r>
          </w:p>
        </w:tc>
        <w:tc>
          <w:tcPr>
            <w:tcW w:w="800" w:type="dxa"/>
            <w:shd w:val="clear" w:color="auto" w:fill="DCDCDC"/>
            <w:noWrap w:val="0"/>
            <w:vAlign w:val="center"/>
          </w:tcPr>
          <w:p>
            <w:pPr>
              <w:spacing w:after="3"/>
              <w:jc w:val="center"/>
            </w:pPr>
            <w:r>
              <w:rPr>
                <w:rFonts w:hint="eastAsia"/>
                <w:b/>
                <w:bCs/>
                <w:color w:val="000000"/>
                <w:sz w:val="20"/>
                <w:szCs w:val="20"/>
              </w:rPr>
              <w:t>满分</w:t>
            </w:r>
          </w:p>
        </w:tc>
        <w:tc>
          <w:tcPr>
            <w:tcW w:w="800" w:type="dxa"/>
            <w:shd w:val="clear" w:color="auto" w:fill="DCDCDC"/>
            <w:noWrap w:val="0"/>
            <w:vAlign w:val="center"/>
          </w:tcPr>
          <w:p>
            <w:pPr>
              <w:spacing w:after="3"/>
              <w:jc w:val="center"/>
            </w:pPr>
            <w:r>
              <w:rPr>
                <w:rFonts w:hint="eastAsia"/>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控制项</w:t>
            </w:r>
          </w:p>
        </w:tc>
        <w:tc>
          <w:tcPr>
            <w:tcW w:w="800" w:type="dxa"/>
            <w:noWrap w:val="0"/>
            <w:vAlign w:val="center"/>
          </w:tcPr>
          <w:p>
            <w:pPr>
              <w:spacing w:after="3"/>
            </w:pPr>
            <w:r>
              <w:rPr>
                <w:rFonts w:hint="eastAsia"/>
                <w:bCs/>
                <w:color w:val="000000"/>
                <w:sz w:val="22"/>
                <w:szCs w:val="22"/>
              </w:rPr>
              <w:t>5.1.1</w:t>
            </w:r>
          </w:p>
        </w:tc>
        <w:tc>
          <w:tcPr>
            <w:tcW w:w="5000" w:type="dxa"/>
            <w:noWrap w:val="0"/>
            <w:vAlign w:val="center"/>
          </w:tcPr>
          <w:p>
            <w:pPr>
              <w:spacing w:after="3"/>
            </w:pPr>
            <w:r>
              <w:rPr>
                <w:rFonts w:hint="eastAsia"/>
                <w:bCs/>
                <w:color w:val="000000"/>
                <w:sz w:val="22"/>
                <w:szCs w:val="22"/>
              </w:rPr>
              <w:t>空气污染物</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5.1.2</w:t>
            </w:r>
          </w:p>
        </w:tc>
        <w:tc>
          <w:tcPr>
            <w:tcW w:w="5000" w:type="dxa"/>
            <w:noWrap w:val="0"/>
            <w:vAlign w:val="center"/>
          </w:tcPr>
          <w:p>
            <w:pPr>
              <w:spacing w:after="3"/>
            </w:pPr>
            <w:r>
              <w:rPr>
                <w:rFonts w:hint="eastAsia"/>
                <w:bCs/>
                <w:color w:val="000000"/>
                <w:sz w:val="22"/>
                <w:szCs w:val="22"/>
              </w:rPr>
              <w:t>避免室内空气污染</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5.1.3</w:t>
            </w:r>
          </w:p>
        </w:tc>
        <w:tc>
          <w:tcPr>
            <w:tcW w:w="5000" w:type="dxa"/>
            <w:noWrap w:val="0"/>
            <w:vAlign w:val="center"/>
          </w:tcPr>
          <w:p>
            <w:pPr>
              <w:spacing w:after="3"/>
            </w:pPr>
            <w:r>
              <w:rPr>
                <w:rFonts w:hint="eastAsia"/>
                <w:bCs/>
                <w:color w:val="000000"/>
                <w:sz w:val="22"/>
                <w:szCs w:val="22"/>
              </w:rPr>
              <w:t>给排水系统合规</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5.1.4</w:t>
            </w:r>
          </w:p>
        </w:tc>
        <w:tc>
          <w:tcPr>
            <w:tcW w:w="5000" w:type="dxa"/>
            <w:noWrap w:val="0"/>
            <w:vAlign w:val="center"/>
          </w:tcPr>
          <w:p>
            <w:pPr>
              <w:spacing w:after="3"/>
            </w:pPr>
            <w:r>
              <w:rPr>
                <w:rFonts w:hint="eastAsia"/>
                <w:bCs/>
                <w:color w:val="000000"/>
                <w:sz w:val="22"/>
                <w:szCs w:val="22"/>
              </w:rPr>
              <w:t>室内声环境</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5.1.5</w:t>
            </w:r>
          </w:p>
        </w:tc>
        <w:tc>
          <w:tcPr>
            <w:tcW w:w="5000" w:type="dxa"/>
            <w:noWrap w:val="0"/>
            <w:vAlign w:val="center"/>
          </w:tcPr>
          <w:p>
            <w:pPr>
              <w:spacing w:after="3"/>
            </w:pPr>
            <w:r>
              <w:rPr>
                <w:rFonts w:hint="eastAsia"/>
                <w:bCs/>
                <w:color w:val="000000"/>
                <w:sz w:val="22"/>
                <w:szCs w:val="22"/>
              </w:rPr>
              <w:t>建筑照明</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5.1.6</w:t>
            </w:r>
          </w:p>
        </w:tc>
        <w:tc>
          <w:tcPr>
            <w:tcW w:w="5000" w:type="dxa"/>
            <w:noWrap w:val="0"/>
            <w:vAlign w:val="center"/>
          </w:tcPr>
          <w:p>
            <w:pPr>
              <w:spacing w:after="3"/>
            </w:pPr>
            <w:r>
              <w:rPr>
                <w:rFonts w:hint="eastAsia"/>
                <w:bCs/>
                <w:color w:val="000000"/>
                <w:sz w:val="22"/>
                <w:szCs w:val="22"/>
              </w:rPr>
              <w:t>暖通设计参数</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5.1.7</w:t>
            </w:r>
          </w:p>
        </w:tc>
        <w:tc>
          <w:tcPr>
            <w:tcW w:w="5000" w:type="dxa"/>
            <w:noWrap w:val="0"/>
            <w:vAlign w:val="center"/>
          </w:tcPr>
          <w:p>
            <w:pPr>
              <w:spacing w:after="3"/>
            </w:pPr>
            <w:r>
              <w:rPr>
                <w:rFonts w:hint="eastAsia"/>
                <w:bCs/>
                <w:color w:val="000000"/>
                <w:sz w:val="22"/>
                <w:szCs w:val="22"/>
              </w:rPr>
              <w:t>围护结构热工性能</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5.1.8</w:t>
            </w:r>
          </w:p>
        </w:tc>
        <w:tc>
          <w:tcPr>
            <w:tcW w:w="5000" w:type="dxa"/>
            <w:noWrap w:val="0"/>
            <w:vAlign w:val="center"/>
          </w:tcPr>
          <w:p>
            <w:pPr>
              <w:spacing w:after="3"/>
            </w:pPr>
            <w:r>
              <w:rPr>
                <w:rFonts w:hint="eastAsia"/>
                <w:bCs/>
                <w:color w:val="000000"/>
                <w:sz w:val="22"/>
                <w:szCs w:val="22"/>
              </w:rPr>
              <w:t>室内热环境调节</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5.1.9</w:t>
            </w:r>
          </w:p>
        </w:tc>
        <w:tc>
          <w:tcPr>
            <w:tcW w:w="5000" w:type="dxa"/>
            <w:noWrap w:val="0"/>
            <w:vAlign w:val="center"/>
          </w:tcPr>
          <w:p>
            <w:pPr>
              <w:spacing w:after="3"/>
            </w:pPr>
            <w:r>
              <w:rPr>
                <w:rFonts w:hint="eastAsia"/>
                <w:bCs/>
                <w:color w:val="000000"/>
                <w:sz w:val="22"/>
                <w:szCs w:val="22"/>
              </w:rPr>
              <w:t>地下车库CO监测</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评分项</w:t>
            </w:r>
          </w:p>
        </w:tc>
        <w:tc>
          <w:tcPr>
            <w:tcW w:w="800" w:type="dxa"/>
            <w:noWrap w:val="0"/>
            <w:vAlign w:val="center"/>
          </w:tcPr>
          <w:p>
            <w:pPr>
              <w:spacing w:after="3"/>
            </w:pPr>
            <w:r>
              <w:rPr>
                <w:rFonts w:hint="eastAsia"/>
                <w:bCs/>
                <w:color w:val="000000"/>
                <w:sz w:val="22"/>
                <w:szCs w:val="22"/>
              </w:rPr>
              <w:t>5.2.1</w:t>
            </w:r>
          </w:p>
        </w:tc>
        <w:tc>
          <w:tcPr>
            <w:tcW w:w="5000" w:type="dxa"/>
            <w:noWrap w:val="0"/>
            <w:vAlign w:val="center"/>
          </w:tcPr>
          <w:p>
            <w:pPr>
              <w:spacing w:after="3"/>
            </w:pPr>
            <w:r>
              <w:rPr>
                <w:rFonts w:hint="eastAsia"/>
                <w:bCs/>
                <w:color w:val="000000"/>
                <w:sz w:val="22"/>
                <w:szCs w:val="22"/>
              </w:rPr>
              <w:t>空气污染物浓度</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rPr>
                <w:rFonts w:hint="default" w:eastAsia="宋体"/>
                <w:lang w:val="en-US" w:eastAsia="zh-CN"/>
              </w:rPr>
            </w:pPr>
            <w:r>
              <w:rPr>
                <w:rFonts w:hint="eastAsia" w:eastAsia="宋体"/>
                <w:bCs/>
                <w:color w:val="000000"/>
                <w:sz w:val="22"/>
                <w:szCs w:val="22"/>
                <w:lang w:val="en-US" w:eastAsia="zh-CN"/>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5.2.2</w:t>
            </w:r>
          </w:p>
        </w:tc>
        <w:tc>
          <w:tcPr>
            <w:tcW w:w="5000" w:type="dxa"/>
            <w:noWrap w:val="0"/>
            <w:vAlign w:val="center"/>
          </w:tcPr>
          <w:p>
            <w:pPr>
              <w:spacing w:after="3"/>
            </w:pPr>
            <w:r>
              <w:rPr>
                <w:rFonts w:hint="eastAsia"/>
                <w:bCs/>
                <w:color w:val="000000"/>
                <w:sz w:val="22"/>
                <w:szCs w:val="22"/>
              </w:rPr>
              <w:t>装修材料安全</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5.2.3</w:t>
            </w:r>
          </w:p>
        </w:tc>
        <w:tc>
          <w:tcPr>
            <w:tcW w:w="5000" w:type="dxa"/>
            <w:noWrap w:val="0"/>
            <w:vAlign w:val="center"/>
          </w:tcPr>
          <w:p>
            <w:pPr>
              <w:spacing w:after="3"/>
            </w:pPr>
            <w:r>
              <w:rPr>
                <w:rFonts w:hint="eastAsia"/>
                <w:bCs/>
                <w:color w:val="000000"/>
                <w:sz w:val="22"/>
                <w:szCs w:val="22"/>
              </w:rPr>
              <w:t>水质安全</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5.2.4</w:t>
            </w:r>
          </w:p>
        </w:tc>
        <w:tc>
          <w:tcPr>
            <w:tcW w:w="5000" w:type="dxa"/>
            <w:noWrap w:val="0"/>
            <w:vAlign w:val="center"/>
          </w:tcPr>
          <w:p>
            <w:pPr>
              <w:spacing w:after="3"/>
            </w:pPr>
            <w:r>
              <w:rPr>
                <w:rFonts w:hint="eastAsia"/>
                <w:bCs/>
                <w:color w:val="000000"/>
                <w:sz w:val="22"/>
                <w:szCs w:val="22"/>
              </w:rPr>
              <w:t>饮用水储水卫生</w:t>
            </w:r>
          </w:p>
        </w:tc>
        <w:tc>
          <w:tcPr>
            <w:tcW w:w="800" w:type="dxa"/>
            <w:noWrap w:val="0"/>
            <w:vAlign w:val="center"/>
          </w:tcPr>
          <w:p>
            <w:pPr>
              <w:spacing w:after="3"/>
              <w:jc w:val="center"/>
            </w:pPr>
            <w:r>
              <w:rPr>
                <w:rFonts w:hint="eastAsia"/>
                <w:bCs/>
                <w:color w:val="000000"/>
                <w:sz w:val="22"/>
                <w:szCs w:val="22"/>
              </w:rPr>
              <w:t>9</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5.2.5</w:t>
            </w:r>
          </w:p>
        </w:tc>
        <w:tc>
          <w:tcPr>
            <w:tcW w:w="5000" w:type="dxa"/>
            <w:noWrap w:val="0"/>
            <w:vAlign w:val="center"/>
          </w:tcPr>
          <w:p>
            <w:pPr>
              <w:spacing w:after="3"/>
            </w:pPr>
            <w:r>
              <w:rPr>
                <w:rFonts w:hint="eastAsia"/>
                <w:bCs/>
                <w:color w:val="000000"/>
                <w:sz w:val="22"/>
                <w:szCs w:val="22"/>
              </w:rPr>
              <w:t>给排水管线标识</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5.2.6</w:t>
            </w:r>
          </w:p>
        </w:tc>
        <w:tc>
          <w:tcPr>
            <w:tcW w:w="5000" w:type="dxa"/>
            <w:noWrap w:val="0"/>
            <w:vAlign w:val="center"/>
          </w:tcPr>
          <w:p>
            <w:pPr>
              <w:spacing w:after="3"/>
            </w:pPr>
            <w:r>
              <w:rPr>
                <w:rFonts w:hint="eastAsia"/>
                <w:bCs/>
                <w:color w:val="000000"/>
                <w:sz w:val="22"/>
                <w:szCs w:val="22"/>
              </w:rPr>
              <w:t>室内噪声级</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5.2.7</w:t>
            </w:r>
          </w:p>
        </w:tc>
        <w:tc>
          <w:tcPr>
            <w:tcW w:w="5000" w:type="dxa"/>
            <w:noWrap w:val="0"/>
            <w:vAlign w:val="center"/>
          </w:tcPr>
          <w:p>
            <w:pPr>
              <w:spacing w:after="3"/>
            </w:pPr>
            <w:r>
              <w:rPr>
                <w:rFonts w:hint="eastAsia"/>
                <w:bCs/>
                <w:color w:val="000000"/>
                <w:sz w:val="22"/>
                <w:szCs w:val="22"/>
              </w:rPr>
              <w:t>构件隔声性能</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5.2.8</w:t>
            </w:r>
          </w:p>
        </w:tc>
        <w:tc>
          <w:tcPr>
            <w:tcW w:w="5000" w:type="dxa"/>
            <w:noWrap w:val="0"/>
            <w:vAlign w:val="center"/>
          </w:tcPr>
          <w:p>
            <w:pPr>
              <w:spacing w:after="3"/>
            </w:pPr>
            <w:r>
              <w:rPr>
                <w:rFonts w:hint="eastAsia"/>
                <w:bCs/>
                <w:color w:val="000000"/>
                <w:sz w:val="22"/>
                <w:szCs w:val="22"/>
              </w:rPr>
              <w:t>天然采光</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5.2.9</w:t>
            </w:r>
          </w:p>
        </w:tc>
        <w:tc>
          <w:tcPr>
            <w:tcW w:w="5000" w:type="dxa"/>
            <w:noWrap w:val="0"/>
            <w:vAlign w:val="center"/>
          </w:tcPr>
          <w:p>
            <w:pPr>
              <w:spacing w:after="3"/>
            </w:pPr>
            <w:r>
              <w:rPr>
                <w:rFonts w:hint="eastAsia"/>
                <w:bCs/>
                <w:color w:val="000000"/>
                <w:sz w:val="22"/>
                <w:szCs w:val="22"/>
              </w:rPr>
              <w:t>室内热湿环境</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5.2.10</w:t>
            </w:r>
          </w:p>
        </w:tc>
        <w:tc>
          <w:tcPr>
            <w:tcW w:w="5000" w:type="dxa"/>
            <w:noWrap w:val="0"/>
            <w:vAlign w:val="center"/>
          </w:tcPr>
          <w:p>
            <w:pPr>
              <w:spacing w:after="3"/>
            </w:pPr>
            <w:r>
              <w:rPr>
                <w:rFonts w:hint="eastAsia"/>
                <w:bCs/>
                <w:color w:val="000000"/>
                <w:sz w:val="22"/>
                <w:szCs w:val="22"/>
              </w:rPr>
              <w:t>自然通风优化</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5.2.11</w:t>
            </w:r>
          </w:p>
        </w:tc>
        <w:tc>
          <w:tcPr>
            <w:tcW w:w="5000" w:type="dxa"/>
            <w:noWrap w:val="0"/>
            <w:vAlign w:val="center"/>
          </w:tcPr>
          <w:p>
            <w:pPr>
              <w:spacing w:after="3"/>
            </w:pPr>
            <w:r>
              <w:rPr>
                <w:rFonts w:hint="eastAsia"/>
                <w:bCs/>
                <w:color w:val="000000"/>
                <w:sz w:val="22"/>
                <w:szCs w:val="22"/>
              </w:rPr>
              <w:t>可调节遮阳设施</w:t>
            </w:r>
          </w:p>
        </w:tc>
        <w:tc>
          <w:tcPr>
            <w:tcW w:w="800" w:type="dxa"/>
            <w:noWrap w:val="0"/>
            <w:vAlign w:val="center"/>
          </w:tcPr>
          <w:p>
            <w:pPr>
              <w:spacing w:after="3"/>
              <w:jc w:val="center"/>
            </w:pPr>
            <w:r>
              <w:rPr>
                <w:rFonts w:hint="eastAsia"/>
                <w:bCs/>
                <w:color w:val="000000"/>
                <w:sz w:val="22"/>
                <w:szCs w:val="22"/>
              </w:rPr>
              <w:t>9</w:t>
            </w:r>
          </w:p>
        </w:tc>
        <w:tc>
          <w:tcPr>
            <w:tcW w:w="800" w:type="dxa"/>
            <w:noWrap w:val="0"/>
            <w:vAlign w:val="center"/>
          </w:tcPr>
          <w:p>
            <w:pPr>
              <w:spacing w:after="3"/>
              <w:jc w:val="center"/>
            </w:pPr>
            <w:r>
              <w:rPr>
                <w:rFonts w:hint="eastAsia"/>
                <w:bCs/>
                <w:color w:val="000000"/>
                <w:sz w:val="22"/>
                <w:szCs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gridSpan w:val="3"/>
            <w:shd w:val="clear" w:color="auto" w:fill="DCDCDC"/>
            <w:noWrap w:val="0"/>
            <w:vAlign w:val="center"/>
          </w:tcPr>
          <w:p>
            <w:pPr>
              <w:spacing w:after="3"/>
              <w:jc w:val="center"/>
            </w:pPr>
            <w:r>
              <w:rPr>
                <w:rFonts w:hint="eastAsia"/>
                <w:b/>
                <w:bCs/>
                <w:color w:val="000000"/>
                <w:sz w:val="20"/>
                <w:szCs w:val="20"/>
              </w:rPr>
              <w:t>合计</w:t>
            </w:r>
          </w:p>
        </w:tc>
        <w:tc>
          <w:tcPr>
            <w:tcW w:w="800" w:type="dxa"/>
            <w:noWrap w:val="0"/>
            <w:vAlign w:val="center"/>
          </w:tcPr>
          <w:p>
            <w:pPr>
              <w:spacing w:after="3"/>
              <w:jc w:val="center"/>
            </w:pPr>
            <w:r>
              <w:rPr>
                <w:rFonts w:hint="eastAsia"/>
                <w:bCs/>
                <w:color w:val="000000"/>
                <w:sz w:val="22"/>
                <w:szCs w:val="22"/>
              </w:rPr>
              <w:t>100.0</w:t>
            </w:r>
          </w:p>
        </w:tc>
        <w:tc>
          <w:tcPr>
            <w:tcW w:w="800" w:type="dxa"/>
            <w:noWrap w:val="0"/>
            <w:vAlign w:val="center"/>
          </w:tcPr>
          <w:p>
            <w:pPr>
              <w:spacing w:after="3"/>
              <w:jc w:val="center"/>
            </w:pPr>
            <w:r>
              <w:rPr>
                <w:rFonts w:hint="eastAsia"/>
                <w:bCs/>
                <w:color w:val="000000"/>
                <w:sz w:val="22"/>
                <w:szCs w:val="22"/>
              </w:rPr>
              <w:t>81.0</w:t>
            </w:r>
          </w:p>
        </w:tc>
      </w:tr>
    </w:tbl>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5.1.1室内空气中的氨、甲醛、苯、总挥发性有机物、氡等污染物浓度应符合现行国家标准《室内空气质量标准》GB/T 18883的有关规定。建筑室内和建筑主出入口处应禁止吸烟，并应在醒目位置设置禁烟标志。</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请对室内空气质量达标情况进行简要说明：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321"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室内新风除霾空调一体机上有空气参数显示面板，当空气参数超标时进行预警，并联动新风机进行空气处理。</w:t>
            </w:r>
          </w:p>
          <w:p>
            <w:pPr>
              <w:pStyle w:val="11"/>
              <w:spacing w:before="0" w:beforeAutospacing="0" w:after="0" w:afterAutospacing="0"/>
              <w:ind w:firstLine="400"/>
            </w:pPr>
            <w:r>
              <w:rPr>
                <w:rFonts w:hint="eastAsia"/>
                <w:sz w:val="20"/>
                <w:szCs w:val="20"/>
              </w:rPr>
              <w:t>主要功能建筑均采用新风换气机送新风，卫生间排风的方式（排风量为送风量的80~90%）保证室内空气质量。其他房间合理布置送回风口位置，使气流组织合理，房间无死角。</w:t>
            </w:r>
          </w:p>
        </w:tc>
      </w:tr>
    </w:tbl>
    <w:p>
      <w:pPr>
        <w:pStyle w:val="11"/>
        <w:spacing w:before="0" w:beforeAutospacing="0" w:after="0" w:afterAutospacing="0"/>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请对室内禁烟标志设置情况进行简要说明：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311"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室内未设置吸烟区，该项不参评</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）相关专业竣工图及说明文件；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）选用装修材料的种类、用量及相关检测报告；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）室内空气质量检测报告；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）禁烟标志设置情况。</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36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选用装修材料的种类、用量及相关检测报告：7结构建材/ 建筑及装修材料使用说明书.doc</w:t>
            </w:r>
            <w:r>
              <w:rPr>
                <w:rFonts w:ascii="Times New Roman" w:hAnsi="Times New Roman" w:cs="Times New Roman"/>
                <w:sz w:val="20"/>
                <w:szCs w:val="20"/>
              </w:rPr>
              <w:br w:type="textWrapping"/>
            </w:r>
            <w:r>
              <w:rPr>
                <w:rStyle w:val="26"/>
                <w:rFonts w:ascii="Times New Roman" w:hAnsi="Times New Roman" w:cs="Times New Roman"/>
                <w:sz w:val="20"/>
                <w:szCs w:val="20"/>
              </w:rPr>
              <w:t>室内空气污染物浓度预评估分析报告：5暖通设计/ 污染物浓度预评估分析报告.doc</w:t>
            </w:r>
          </w:p>
        </w:tc>
      </w:tr>
    </w:tbl>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5.1.2应采取措施避免厨房、餐厅、打印复印室、卫生间、地下车库等区域的空气和污染物串通到其他空间；应防止厨房、卫生间的排气倒灌。</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请对避免厨房、餐厅、打印复印室、卫生间、地下车库等区域的空气和污染物串通到其他空间的措施进行简要说明（不超过</w:t>
      </w:r>
      <w:r>
        <w:rPr>
          <w:rFonts w:ascii="Times New Roman" w:hAnsi="Times New Roman" w:cs="Times New Roman"/>
          <w:sz w:val="21"/>
          <w:szCs w:val="21"/>
        </w:rPr>
        <w:t>300</w:t>
      </w:r>
      <w:r>
        <w:rPr>
          <w:rFonts w:hint="eastAsia"/>
          <w:sz w:val="21"/>
          <w:szCs w:val="21"/>
        </w:rPr>
        <w:t>字）：</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食堂屋顶上设置油烟净化器。</w:t>
            </w:r>
          </w:p>
          <w:p>
            <w:pPr>
              <w:pStyle w:val="11"/>
              <w:spacing w:before="0" w:beforeAutospacing="0" w:after="0" w:afterAutospacing="0"/>
              <w:ind w:firstLine="400"/>
            </w:pPr>
            <w:r>
              <w:rPr>
                <w:rFonts w:hint="eastAsia"/>
                <w:sz w:val="20"/>
                <w:szCs w:val="20"/>
              </w:rPr>
              <w:t>卫生间、餐厅设排风口，避免串味。</w:t>
            </w:r>
          </w:p>
          <w:p>
            <w:pPr>
              <w:pStyle w:val="11"/>
              <w:spacing w:before="0" w:beforeAutospacing="0" w:after="0" w:afterAutospacing="0"/>
              <w:ind w:firstLine="400"/>
            </w:pPr>
            <w:r>
              <w:rPr>
                <w:rFonts w:hint="eastAsia"/>
                <w:sz w:val="20"/>
                <w:szCs w:val="20"/>
              </w:rPr>
              <w:t>建筑中厨房，卫生间等易产生污染气体的房间设立排风设施，排出污染气体以保持其他房间空气清洁。</w:t>
            </w:r>
          </w:p>
          <w:p>
            <w:pPr>
              <w:pStyle w:val="11"/>
              <w:spacing w:before="0" w:beforeAutospacing="0" w:after="0" w:afterAutospacing="0"/>
              <w:ind w:firstLine="400"/>
            </w:pPr>
            <w:r>
              <w:rPr>
                <w:rFonts w:ascii="Times New Roman" w:hAnsi="Times New Roman" w:cs="Times New Roman"/>
                <w:sz w:val="20"/>
                <w:szCs w:val="20"/>
              </w:rPr>
              <w:t> </w:t>
            </w:r>
          </w:p>
        </w:tc>
      </w:tr>
    </w:tbl>
    <w:p>
      <w:pPr>
        <w:pStyle w:val="11"/>
        <w:spacing w:before="0" w:beforeAutospacing="0" w:after="0" w:afterAutospacing="0"/>
        <w:jc w:val="both"/>
      </w:pPr>
      <w:r>
        <w:rPr>
          <w:rFonts w:hint="eastAsia"/>
          <w:sz w:val="21"/>
          <w:szCs w:val="21"/>
        </w:rPr>
        <w:t>请对防止厨房、卫生间的排气倒灌措施进行简要说明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317"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卫生间设防回流通风道，防止气味因主导风反灌进入室内；厨房设屋顶油烟净化器，烟气经净化符合排放标准后，排入大气。</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）与污染源空间相关的建筑、暖通专业竣工图及说明，关键设备参数表；</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）室内气流组织模拟分析报告；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）防排气倒灌措施相关的产品性能检测报告。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5.1.3给排水系统的设置应符合下列规定：1生活饮用水水质应满足现行国家标准《生活饮用水卫生标准》GB5749的要求；2应制定水池、水箱等储水设施定期清洗消毒计划并实施，且生活饮用水储水设施每半年清洗消毒应不少于1次；3应使用构造内自带水封的便器，且其水封深度应不小于50mm；4非传统水源管道和设备应设置明确、清晰的永久性标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是否设置储水设施：</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饮用水储水设施每半年清洗</w:t>
      </w:r>
      <w:r>
        <w:rPr>
          <w:rFonts w:hint="eastAsia"/>
          <w:sz w:val="21"/>
          <w:szCs w:val="21"/>
          <w:u w:val="single"/>
        </w:rPr>
        <w:t xml:space="preserve">   2 </w:t>
      </w:r>
      <w:r>
        <w:rPr>
          <w:rFonts w:hint="eastAsia"/>
          <w:sz w:val="21"/>
          <w:szCs w:val="21"/>
        </w:rPr>
        <w:t>次；</w:t>
      </w:r>
    </w:p>
    <w:p>
      <w:pPr>
        <w:pStyle w:val="11"/>
        <w:spacing w:before="0" w:beforeAutospacing="0" w:after="0" w:afterAutospacing="0"/>
        <w:jc w:val="both"/>
      </w:pPr>
      <w:r>
        <w:rPr>
          <w:rFonts w:hint="eastAsia"/>
          <w:sz w:val="21"/>
          <w:szCs w:val="21"/>
        </w:rPr>
        <w:t>请对水池、水箱等储水设施定期清洗消毒计划、水封进行简要说明：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pStyle w:val="5"/>
              <w:keepNext w:val="0"/>
              <w:keepLines w:val="0"/>
              <w:spacing w:before="260" w:beforeAutospacing="0" w:after="260" w:afterAutospacing="0" w:line="240" w:lineRule="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应制定水池、水箱等储水设施定期清洗消毒计划并实施，且生活饮用水储水设施每半年清洗消毒应不少于 1 次； </w:t>
            </w:r>
          </w:p>
          <w:p>
            <w:pPr>
              <w:pStyle w:val="5"/>
              <w:keepNext w:val="0"/>
              <w:keepLines w:val="0"/>
              <w:spacing w:before="260" w:beforeAutospacing="0" w:after="260" w:afterAutospacing="0" w:line="240" w:lineRule="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应使用构造内自带水封的便器，且其水封深度应不小于 50mm ；</w:t>
            </w:r>
          </w:p>
          <w:p>
            <w:pPr>
              <w:pStyle w:val="5"/>
              <w:keepNext w:val="0"/>
              <w:keepLines w:val="0"/>
              <w:spacing w:before="260" w:beforeAutospacing="0" w:after="260" w:afterAutospacing="0" w:line="240" w:lineRule="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非传统水源管道和设备应设置明确、清晰的永久性标识。</w:t>
            </w:r>
          </w:p>
          <w:p>
            <w:r>
              <w:rPr>
                <w:rFonts w:hint="eastAsia" w:ascii="MS Mincho" w:hAnsi="MS Mincho" w:eastAsia="MS Mincho" w:cs="MS Mincho"/>
                <w:sz w:val="20"/>
                <w:szCs w:val="20"/>
              </w:rPr>
              <w:t>​</w:t>
            </w:r>
          </w:p>
        </w:tc>
      </w:tr>
    </w:tbl>
    <w:p>
      <w:pPr>
        <w:pStyle w:val="11"/>
        <w:spacing w:before="0" w:beforeAutospacing="0" w:after="0" w:afterAutospacing="0"/>
        <w:jc w:val="both"/>
      </w:pPr>
      <w:r>
        <w:rPr>
          <w:rFonts w:hint="eastAsia"/>
          <w:sz w:val="21"/>
          <w:szCs w:val="21"/>
        </w:rPr>
        <w:t>非传统水源管道和设备是否设置明确、清晰的永久性标识：</w:t>
      </w:r>
      <w:r>
        <w:rPr>
          <w:rStyle w:val="25"/>
          <w:rFonts w:hint="eastAsia"/>
          <w:sz w:val="21"/>
          <w:szCs w:val="21"/>
        </w:rPr>
        <w:t>□</w:t>
      </w:r>
      <w:r>
        <w:rPr>
          <w:rFonts w:hint="eastAsia"/>
          <w:sz w:val="21"/>
          <w:szCs w:val="21"/>
        </w:rPr>
        <w:t>是，</w:t>
      </w:r>
      <w:r>
        <w:rPr>
          <w:rStyle w:val="25"/>
          <w:rFonts w:hint="eastAsia"/>
          <w:sz w:val="21"/>
          <w:szCs w:val="21"/>
        </w:rPr>
        <w:t>□</w:t>
      </w:r>
      <w:r>
        <w:rPr>
          <w:rFonts w:hint="eastAsia"/>
          <w:sz w:val="21"/>
          <w:szCs w:val="21"/>
        </w:rPr>
        <w:t>否。</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）给排水竣工图纸；</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）地漏、自带水封便器、水箱、消毒用品、消毒器具的产品说明书；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）各用水部门的水质检测报告；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）清洗消毒管理制度和储水设施清洗消毒工作记录。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给排水专业图纸及设计说明：6给排水设计/ 建筑施工图.dwg</w:t>
            </w:r>
            <w:r>
              <w:rPr>
                <w:rFonts w:ascii="Times New Roman" w:hAnsi="Times New Roman" w:cs="Times New Roman"/>
                <w:sz w:val="20"/>
                <w:szCs w:val="20"/>
              </w:rPr>
              <w:br w:type="textWrapping"/>
            </w:r>
            <w:r>
              <w:rPr>
                <w:rStyle w:val="26"/>
                <w:rFonts w:ascii="Times New Roman" w:hAnsi="Times New Roman" w:cs="Times New Roman"/>
                <w:sz w:val="20"/>
                <w:szCs w:val="20"/>
              </w:rPr>
              <w:t>地漏、自带水封便器、水箱、消毒用品、消毒器具的产品说明书：6给排水设计/ 自带水封便器产品说明.doc</w:t>
            </w:r>
            <w:r>
              <w:rPr>
                <w:rFonts w:ascii="Times New Roman" w:hAnsi="Times New Roman" w:cs="Times New Roman"/>
                <w:sz w:val="20"/>
                <w:szCs w:val="20"/>
              </w:rPr>
              <w:br w:type="textWrapping"/>
            </w:r>
            <w:r>
              <w:rPr>
                <w:rStyle w:val="26"/>
                <w:rFonts w:ascii="Times New Roman" w:hAnsi="Times New Roman" w:cs="Times New Roman"/>
                <w:sz w:val="20"/>
                <w:szCs w:val="20"/>
              </w:rPr>
              <w:t>各用水部门的水质检测报告：10运行/ 生活饮用水水质检测报告.docx</w:t>
            </w:r>
          </w:p>
        </w:tc>
      </w:tr>
    </w:tbl>
    <w:p>
      <w:pPr>
        <w:rPr>
          <w:rFonts w:ascii="Times New Roman" w:hAnsi="Times New Roman" w:cs="Times New Roman"/>
          <w:b/>
          <w:bCs/>
        </w:rPr>
      </w:pP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5.1.4主要功能房间的室内噪声级和隔声性能应符合下列规定：1室内噪声级应满足现行国家标准《民用建筑隔声设计规范》GB50118中的低限要求；2外墙、隔墙、楼板和门窗的隔声性能应满足现行国家标准《民用建筑隔声设计规范》GB50118中的低限要求。</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主要功能房间室内噪声值列表：</w:t>
      </w:r>
    </w:p>
    <w:tbl>
      <w:tblPr>
        <w:tblStyle w:val="13"/>
        <w:tblW w:w="4696" w:type="pct"/>
        <w:jc w:val="center"/>
        <w:tblLayout w:type="autofit"/>
        <w:tblCellMar>
          <w:top w:w="0" w:type="dxa"/>
          <w:left w:w="0" w:type="dxa"/>
          <w:bottom w:w="0" w:type="dxa"/>
          <w:right w:w="0" w:type="dxa"/>
        </w:tblCellMar>
      </w:tblPr>
      <w:tblGrid>
        <w:gridCol w:w="2180"/>
        <w:gridCol w:w="2663"/>
        <w:gridCol w:w="3148"/>
      </w:tblGrid>
      <w:tr>
        <w:tblPrEx>
          <w:tblCellMar>
            <w:top w:w="0" w:type="dxa"/>
            <w:left w:w="0" w:type="dxa"/>
            <w:bottom w:w="0" w:type="dxa"/>
            <w:right w:w="0" w:type="dxa"/>
          </w:tblCellMar>
        </w:tblPrEx>
        <w:trPr>
          <w:trHeight w:val="77" w:hRule="atLeast"/>
          <w:jc w:val="center"/>
        </w:trPr>
        <w:tc>
          <w:tcPr>
            <w:tcW w:w="13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7" w:lineRule="atLeast"/>
              <w:jc w:val="center"/>
            </w:pPr>
            <w:r>
              <w:rPr>
                <w:rFonts w:hint="eastAsia"/>
                <w:sz w:val="21"/>
                <w:szCs w:val="21"/>
              </w:rPr>
              <w:t>主要功能房间名称</w:t>
            </w:r>
          </w:p>
        </w:tc>
        <w:tc>
          <w:tcPr>
            <w:tcW w:w="166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7" w:lineRule="atLeast"/>
              <w:jc w:val="center"/>
            </w:pPr>
            <w:r>
              <w:rPr>
                <w:rFonts w:hint="eastAsia"/>
                <w:sz w:val="21"/>
                <w:szCs w:val="21"/>
              </w:rPr>
              <w:t>室内噪声值（</w:t>
            </w:r>
            <w:r>
              <w:rPr>
                <w:rFonts w:ascii="Times New Roman" w:hAnsi="Times New Roman" w:cs="Times New Roman"/>
                <w:sz w:val="21"/>
                <w:szCs w:val="21"/>
              </w:rPr>
              <w:t>dB</w:t>
            </w:r>
            <w:r>
              <w:rPr>
                <w:rFonts w:hint="eastAsia"/>
                <w:sz w:val="21"/>
                <w:szCs w:val="21"/>
              </w:rPr>
              <w:t>）</w:t>
            </w:r>
          </w:p>
        </w:tc>
        <w:tc>
          <w:tcPr>
            <w:tcW w:w="197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7" w:lineRule="atLeast"/>
              <w:jc w:val="center"/>
            </w:pPr>
            <w:r>
              <w:rPr>
                <w:rFonts w:hint="eastAsia"/>
                <w:sz w:val="21"/>
                <w:szCs w:val="21"/>
              </w:rPr>
              <w:t>允许噪声级低限标准（</w:t>
            </w:r>
            <w:r>
              <w:rPr>
                <w:rFonts w:ascii="Times New Roman" w:hAnsi="Times New Roman" w:cs="Times New Roman"/>
                <w:sz w:val="21"/>
                <w:szCs w:val="21"/>
              </w:rPr>
              <w:t>A</w:t>
            </w:r>
            <w:r>
              <w:rPr>
                <w:rFonts w:hint="eastAsia"/>
                <w:sz w:val="21"/>
                <w:szCs w:val="21"/>
              </w:rPr>
              <w:t>声级，</w:t>
            </w:r>
            <w:r>
              <w:rPr>
                <w:rFonts w:ascii="Times New Roman" w:hAnsi="Times New Roman" w:cs="Times New Roman"/>
                <w:sz w:val="21"/>
                <w:szCs w:val="21"/>
              </w:rPr>
              <w:t>dB</w:t>
            </w:r>
            <w:r>
              <w:rPr>
                <w:rFonts w:hint="eastAsia"/>
                <w:sz w:val="21"/>
                <w:szCs w:val="21"/>
              </w:rPr>
              <w:t>）</w:t>
            </w:r>
          </w:p>
        </w:tc>
      </w:tr>
      <w:tr>
        <w:tblPrEx>
          <w:tblCellMar>
            <w:top w:w="0" w:type="dxa"/>
            <w:left w:w="0" w:type="dxa"/>
            <w:bottom w:w="0" w:type="dxa"/>
            <w:right w:w="0" w:type="dxa"/>
          </w:tblCellMar>
        </w:tblPrEx>
        <w:trPr>
          <w:jc w:val="center"/>
        </w:trPr>
        <w:tc>
          <w:tcPr>
            <w:tcW w:w="13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活动室 </w:t>
            </w:r>
          </w:p>
        </w:tc>
        <w:tc>
          <w:tcPr>
            <w:tcW w:w="166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8</w:t>
            </w:r>
          </w:p>
        </w:tc>
        <w:tc>
          <w:tcPr>
            <w:tcW w:w="197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10 </w:t>
            </w:r>
          </w:p>
        </w:tc>
      </w:tr>
      <w:tr>
        <w:tblPrEx>
          <w:tblCellMar>
            <w:top w:w="0" w:type="dxa"/>
            <w:left w:w="0" w:type="dxa"/>
            <w:bottom w:w="0" w:type="dxa"/>
            <w:right w:w="0" w:type="dxa"/>
          </w:tblCellMar>
        </w:tblPrEx>
        <w:trPr>
          <w:jc w:val="center"/>
        </w:trPr>
        <w:tc>
          <w:tcPr>
            <w:tcW w:w="13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多功能厅 </w:t>
            </w:r>
          </w:p>
        </w:tc>
        <w:tc>
          <w:tcPr>
            <w:tcW w:w="166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color w:val="000000"/>
                <w:sz w:val="18"/>
                <w:szCs w:val="18"/>
              </w:rPr>
              <w:t>8 </w:t>
            </w:r>
          </w:p>
        </w:tc>
        <w:tc>
          <w:tcPr>
            <w:tcW w:w="197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13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办公室 </w:t>
            </w:r>
          </w:p>
        </w:tc>
        <w:tc>
          <w:tcPr>
            <w:tcW w:w="166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color w:val="000000"/>
                <w:sz w:val="18"/>
                <w:szCs w:val="18"/>
              </w:rPr>
              <w:t>8</w:t>
            </w:r>
          </w:p>
        </w:tc>
        <w:tc>
          <w:tcPr>
            <w:tcW w:w="197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10 </w:t>
            </w:r>
          </w:p>
        </w:tc>
      </w:tr>
      <w:tr>
        <w:tblPrEx>
          <w:tblCellMar>
            <w:top w:w="0" w:type="dxa"/>
            <w:left w:w="0" w:type="dxa"/>
            <w:bottom w:w="0" w:type="dxa"/>
            <w:right w:w="0" w:type="dxa"/>
          </w:tblCellMar>
        </w:tblPrEx>
        <w:trPr>
          <w:jc w:val="center"/>
        </w:trPr>
        <w:tc>
          <w:tcPr>
            <w:tcW w:w="13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66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color w:val="000000"/>
                <w:sz w:val="18"/>
                <w:szCs w:val="18"/>
              </w:rPr>
              <w:t> </w:t>
            </w:r>
          </w:p>
        </w:tc>
        <w:tc>
          <w:tcPr>
            <w:tcW w:w="197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3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66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color w:val="000000"/>
                <w:sz w:val="18"/>
                <w:szCs w:val="18"/>
              </w:rPr>
              <w:t> </w:t>
            </w:r>
          </w:p>
        </w:tc>
        <w:tc>
          <w:tcPr>
            <w:tcW w:w="197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ascii="Times New Roman" w:hAnsi="Times New Roman" w:cs="Times New Roman"/>
          <w:sz w:val="21"/>
          <w:szCs w:val="21"/>
        </w:rPr>
        <w:t> </w:t>
      </w:r>
    </w:p>
    <w:tbl>
      <w:tblPr>
        <w:tblStyle w:val="13"/>
        <w:tblW w:w="4759" w:type="pct"/>
        <w:jc w:val="center"/>
        <w:tblLayout w:type="autofit"/>
        <w:tblCellMar>
          <w:top w:w="0" w:type="dxa"/>
          <w:left w:w="0" w:type="dxa"/>
          <w:bottom w:w="0" w:type="dxa"/>
          <w:right w:w="0" w:type="dxa"/>
        </w:tblCellMar>
      </w:tblPr>
      <w:tblGrid>
        <w:gridCol w:w="736"/>
        <w:gridCol w:w="1939"/>
        <w:gridCol w:w="1816"/>
        <w:gridCol w:w="1816"/>
        <w:gridCol w:w="1791"/>
      </w:tblGrid>
      <w:tr>
        <w:tblPrEx>
          <w:tblCellMar>
            <w:top w:w="0" w:type="dxa"/>
            <w:left w:w="0" w:type="dxa"/>
            <w:bottom w:w="0" w:type="dxa"/>
            <w:right w:w="0" w:type="dxa"/>
          </w:tblCellMar>
        </w:tblPrEx>
        <w:trPr>
          <w:trHeight w:val="284" w:hRule="atLeast"/>
          <w:jc w:val="center"/>
        </w:trPr>
        <w:tc>
          <w:tcPr>
            <w:tcW w:w="455"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空气声隔声性能</w:t>
            </w: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主要功能房间</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构件类型</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隔声值</w:t>
            </w:r>
            <w:r>
              <w:rPr>
                <w:rFonts w:ascii="Times New Roman" w:hAnsi="Times New Roman" w:cs="Times New Roman"/>
                <w:sz w:val="21"/>
                <w:szCs w:val="21"/>
              </w:rPr>
              <w:t>[dB(A)]</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低限标准限值</w:t>
            </w:r>
            <w:r>
              <w:rPr>
                <w:rFonts w:ascii="Times New Roman" w:hAnsi="Times New Roman" w:cs="Times New Roman"/>
                <w:sz w:val="21"/>
                <w:szCs w:val="21"/>
              </w:rPr>
              <w:t>[dB(A)]</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活动室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隔声玻璃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45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多功能厅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吸音棉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办公室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隔声玻璃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45   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455"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楼板撞击声性能</w:t>
            </w: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主要功能房间</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楼板部位</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撞击声隔声值</w:t>
            </w:r>
            <w:r>
              <w:rPr>
                <w:rFonts w:ascii="Times New Roman" w:hAnsi="Times New Roman" w:cs="Times New Roman"/>
                <w:sz w:val="21"/>
                <w:szCs w:val="21"/>
              </w:rPr>
              <w:t>[dB(A)]</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低限标准限值</w:t>
            </w:r>
            <w:r>
              <w:rPr>
                <w:rFonts w:ascii="Times New Roman" w:hAnsi="Times New Roman" w:cs="Times New Roman"/>
                <w:sz w:val="21"/>
                <w:szCs w:val="21"/>
              </w:rPr>
              <w:t>[dB(A)]</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活动室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中部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40   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多功能厅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中部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30   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办公室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中部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40   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19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12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请简要说明建筑围护结构的隔声措施：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+12A+5，很好的阻断室外噪声的传播。车辆进出禁止鸣笛、减速慢行。为提高楼板撞击声隔声性能楼板增加挤塑聚苯板。</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）建筑竣工图，应包含建筑围护结构的构造说明、施工大样；</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）噪声分析报告、室内噪声级检测报告（典型时间、主要功能房间）</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）主要构件隔声性能检测报告或主要构件隔声性能的实验室检测报告。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主要构件隔声性能分析报告：3建筑设计/ 围护结构构造说明.docx</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5.1.5建筑照明应符合下列规定：1照明数量和质量应符合现行国家标准《建筑照明设计标准》GB50034的规定；2人员长期停留的场所应采用符合现行国家标准《灯和灯系统的光生物安全性》GBT20145规定的无危险类照明产品；3选用LED照明产品的光输出波形的波动深度应满足现行国家标准《LED室内照明应用技术要求》GBT31831的规定。</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9450" w:type="dxa"/>
        <w:jc w:val="center"/>
        <w:tblLayout w:type="autofit"/>
        <w:tblCellMar>
          <w:top w:w="0" w:type="dxa"/>
          <w:left w:w="0" w:type="dxa"/>
          <w:bottom w:w="0" w:type="dxa"/>
          <w:right w:w="0" w:type="dxa"/>
        </w:tblCellMar>
      </w:tblPr>
      <w:tblGrid>
        <w:gridCol w:w="799"/>
        <w:gridCol w:w="1044"/>
        <w:gridCol w:w="1044"/>
        <w:gridCol w:w="1044"/>
        <w:gridCol w:w="1044"/>
        <w:gridCol w:w="1044"/>
        <w:gridCol w:w="1289"/>
        <w:gridCol w:w="1108"/>
        <w:gridCol w:w="1034"/>
      </w:tblGrid>
      <w:tr>
        <w:tblPrEx>
          <w:tblCellMar>
            <w:top w:w="0" w:type="dxa"/>
            <w:left w:w="0" w:type="dxa"/>
            <w:bottom w:w="0" w:type="dxa"/>
            <w:right w:w="0" w:type="dxa"/>
          </w:tblCellMar>
        </w:tblPrEx>
        <w:trPr>
          <w:jc w:val="center"/>
        </w:trPr>
        <w:tc>
          <w:tcPr>
            <w:tcW w:w="79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房间</w:t>
            </w:r>
          </w:p>
          <w:p>
            <w:pPr>
              <w:pStyle w:val="11"/>
              <w:spacing w:before="0" w:beforeAutospacing="0" w:after="0" w:afterAutospacing="0"/>
              <w:jc w:val="center"/>
            </w:pPr>
            <w:r>
              <w:rPr>
                <w:rFonts w:hint="eastAsia"/>
                <w:sz w:val="21"/>
                <w:szCs w:val="21"/>
              </w:rPr>
              <w:t>类型</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照度（</w:t>
            </w:r>
            <w:r>
              <w:rPr>
                <w:rFonts w:ascii="Times New Roman" w:hAnsi="Times New Roman" w:cs="Times New Roman"/>
                <w:sz w:val="21"/>
                <w:szCs w:val="21"/>
              </w:rPr>
              <w:t>lx</w:t>
            </w:r>
            <w:r>
              <w:rPr>
                <w:rFonts w:hint="eastAsia"/>
                <w:sz w:val="21"/>
                <w:szCs w:val="21"/>
              </w:rPr>
              <w:t>）</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不舒适眩光</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UGR/GR</w:t>
            </w:r>
            <w:r>
              <w:rPr>
                <w:rFonts w:hint="eastAsia"/>
                <w:sz w:val="21"/>
                <w:szCs w:val="21"/>
              </w:rPr>
              <w:t>）</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照度均匀度</w:t>
            </w:r>
          </w:p>
          <w:p>
            <w:pPr>
              <w:pStyle w:val="11"/>
              <w:spacing w:before="0" w:beforeAutospacing="0" w:after="0" w:afterAutospacing="0"/>
              <w:jc w:val="center"/>
            </w:pPr>
            <w:r>
              <w:rPr>
                <w:rFonts w:hint="eastAsia"/>
                <w:sz w:val="21"/>
                <w:szCs w:val="21"/>
              </w:rPr>
              <w:t>（</w:t>
            </w:r>
            <w:r>
              <w:rPr>
                <w:rFonts w:ascii="Times New Roman" w:hAnsi="Times New Roman" w:cs="Times New Roman"/>
                <w:i/>
                <w:iCs/>
                <w:sz w:val="21"/>
                <w:szCs w:val="21"/>
              </w:rPr>
              <w:t>U</w:t>
            </w:r>
            <w:r>
              <w:rPr>
                <w:rFonts w:ascii="Times New Roman" w:hAnsi="Times New Roman" w:cs="Times New Roman"/>
                <w:sz w:val="14"/>
                <w:szCs w:val="14"/>
                <w:vertAlign w:val="subscript"/>
              </w:rPr>
              <w:t>0</w:t>
            </w:r>
            <w:r>
              <w:rPr>
                <w:rFonts w:hint="eastAsia"/>
                <w:sz w:val="21"/>
                <w:szCs w:val="21"/>
              </w:rPr>
              <w:t>）</w:t>
            </w:r>
          </w:p>
        </w:tc>
        <w:tc>
          <w:tcPr>
            <w:tcW w:w="1918"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一般显色指数</w:t>
            </w:r>
          </w:p>
          <w:p>
            <w:pPr>
              <w:pStyle w:val="11"/>
              <w:spacing w:before="0" w:beforeAutospacing="0" w:after="0" w:afterAutospacing="0"/>
              <w:jc w:val="center"/>
            </w:pPr>
            <w:r>
              <w:rPr>
                <w:rFonts w:hint="eastAsia"/>
                <w:sz w:val="21"/>
                <w:szCs w:val="21"/>
              </w:rPr>
              <w:t>（</w:t>
            </w:r>
            <w:r>
              <w:rPr>
                <w:rFonts w:ascii="Times New Roman" w:hAnsi="Times New Roman" w:cs="Times New Roman"/>
                <w:i/>
                <w:iCs/>
                <w:sz w:val="21"/>
                <w:szCs w:val="21"/>
              </w:rPr>
              <w:t>R</w:t>
            </w:r>
            <w:r>
              <w:rPr>
                <w:rFonts w:ascii="Times New Roman" w:hAnsi="Times New Roman" w:cs="Times New Roman"/>
                <w:sz w:val="14"/>
                <w:szCs w:val="14"/>
                <w:vertAlign w:val="subscript"/>
              </w:rPr>
              <w:t>a</w:t>
            </w:r>
            <w:r>
              <w:rPr>
                <w:rFonts w:hint="eastAsia"/>
                <w:sz w:val="21"/>
                <w:szCs w:val="21"/>
              </w:rPr>
              <w:t>）</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设计值</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标准值</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设计值</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标准值</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设计值</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标准值</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设计值</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标准值</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活动室</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300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295.97</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16</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19 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150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100-300​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3500 </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3300-5500</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多功能厅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300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281.17</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15</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19</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150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100-300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3500</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3300-5500​ </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办公室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300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291.69</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16 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19</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150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100-300</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3500</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3300-5500​</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r>
      <w:tr>
        <w:tblPrEx>
          <w:tblCellMar>
            <w:top w:w="0" w:type="dxa"/>
            <w:left w:w="0" w:type="dxa"/>
            <w:bottom w:w="0" w:type="dxa"/>
            <w:right w:w="0" w:type="dxa"/>
          </w:tblCellMar>
        </w:tblPrEx>
        <w:trPr>
          <w:jc w:val="center"/>
        </w:trPr>
        <w:tc>
          <w:tcPr>
            <w:tcW w:w="7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0" w:type="auto"/>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c>
          <w:tcPr>
            <w:tcW w:w="9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18"/>
                <w:szCs w:val="18"/>
              </w:rPr>
              <w:t> </w:t>
            </w:r>
          </w:p>
        </w:tc>
      </w:tr>
    </w:tbl>
    <w:p>
      <w:pPr>
        <w:pStyle w:val="11"/>
        <w:spacing w:before="0" w:beforeAutospacing="0" w:after="0" w:afterAutospacing="0"/>
        <w:jc w:val="both"/>
      </w:pPr>
      <w:r>
        <w:rPr>
          <w:rFonts w:hint="eastAsia"/>
          <w:sz w:val="21"/>
          <w:szCs w:val="21"/>
        </w:rPr>
        <w:t>请简要说明照明系统灯具的选型原则、主要灯具型号和参数以及照明控制措施：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10"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支架灯、灯盘采用</w:t>
            </w:r>
            <w:r>
              <w:rPr>
                <w:rFonts w:ascii="Times New Roman" w:hAnsi="Times New Roman" w:cs="Times New Roman"/>
                <w:sz w:val="20"/>
                <w:szCs w:val="20"/>
              </w:rPr>
              <w:t>T5</w:t>
            </w:r>
            <w:r>
              <w:rPr>
                <w:rFonts w:hint="eastAsia"/>
                <w:sz w:val="20"/>
                <w:szCs w:val="20"/>
              </w:rPr>
              <w:t>管</w:t>
            </w:r>
            <w:r>
              <w:rPr>
                <w:rFonts w:ascii="Times New Roman" w:hAnsi="Times New Roman" w:cs="Times New Roman"/>
                <w:sz w:val="20"/>
                <w:szCs w:val="20"/>
              </w:rPr>
              <w:t>LED</w:t>
            </w:r>
            <w:r>
              <w:rPr>
                <w:rFonts w:hint="eastAsia"/>
                <w:sz w:val="20"/>
                <w:szCs w:val="20"/>
              </w:rPr>
              <w:t>灯。</w:t>
            </w:r>
            <w:r>
              <w:rPr>
                <w:rFonts w:ascii="Times New Roman" w:hAnsi="Times New Roman" w:cs="Times New Roman"/>
                <w:sz w:val="20"/>
                <w:szCs w:val="20"/>
              </w:rPr>
              <w:t>LED</w:t>
            </w:r>
            <w:r>
              <w:rPr>
                <w:rFonts w:hint="eastAsia"/>
                <w:sz w:val="20"/>
                <w:szCs w:val="20"/>
              </w:rPr>
              <w:t>的光效值不低于</w:t>
            </w:r>
            <w:r>
              <w:rPr>
                <w:rFonts w:ascii="Times New Roman" w:hAnsi="Times New Roman" w:cs="Times New Roman"/>
                <w:sz w:val="20"/>
                <w:szCs w:val="20"/>
              </w:rPr>
              <w:t>90Lm/W</w:t>
            </w:r>
            <w:r>
              <w:rPr>
                <w:rFonts w:hint="eastAsia"/>
                <w:sz w:val="20"/>
                <w:szCs w:val="20"/>
              </w:rPr>
              <w:t>。显色指数</w:t>
            </w:r>
            <w:r>
              <w:rPr>
                <w:rFonts w:ascii="Times New Roman" w:hAnsi="Times New Roman" w:cs="Times New Roman"/>
                <w:sz w:val="20"/>
                <w:szCs w:val="20"/>
              </w:rPr>
              <w:t>Ra</w:t>
            </w:r>
            <w:r>
              <w:rPr>
                <w:rFonts w:hint="eastAsia"/>
                <w:sz w:val="20"/>
                <w:szCs w:val="20"/>
              </w:rPr>
              <w:t>≥</w:t>
            </w:r>
            <w:r>
              <w:rPr>
                <w:rFonts w:ascii="Times New Roman" w:hAnsi="Times New Roman" w:cs="Times New Roman"/>
                <w:sz w:val="20"/>
                <w:szCs w:val="20"/>
              </w:rPr>
              <w:t>80</w:t>
            </w:r>
            <w:r>
              <w:rPr>
                <w:rFonts w:hint="eastAsia"/>
                <w:sz w:val="20"/>
                <w:szCs w:val="20"/>
              </w:rPr>
              <w:t>；吸顶灯采用</w:t>
            </w:r>
            <w:r>
              <w:rPr>
                <w:rFonts w:ascii="Times New Roman" w:hAnsi="Times New Roman" w:cs="Times New Roman"/>
                <w:sz w:val="20"/>
                <w:szCs w:val="20"/>
              </w:rPr>
              <w:t>T5</w:t>
            </w:r>
            <w:r>
              <w:rPr>
                <w:rFonts w:hint="eastAsia"/>
                <w:sz w:val="20"/>
                <w:szCs w:val="20"/>
              </w:rPr>
              <w:t>环形</w:t>
            </w:r>
            <w:r>
              <w:rPr>
                <w:rFonts w:ascii="Times New Roman" w:hAnsi="Times New Roman" w:cs="Times New Roman"/>
                <w:sz w:val="20"/>
                <w:szCs w:val="20"/>
              </w:rPr>
              <w:t>LED</w:t>
            </w:r>
            <w:r>
              <w:rPr>
                <w:rFonts w:hint="eastAsia"/>
                <w:sz w:val="20"/>
                <w:szCs w:val="20"/>
              </w:rPr>
              <w:t>灯管。首层大堂、电梯厅等公共场所的照明采用自熄式节能开关控制，节能开关选用声光控延时开关。每个房间的灯的开关数不宜少于二个（只设置一个光源的除外），房间或场所装设有两列或多列灯具时，所控灯列宜与侧窗平行，以充分利用自然光。</w:t>
            </w:r>
          </w:p>
        </w:tc>
      </w:tr>
    </w:tbl>
    <w:p>
      <w:pPr>
        <w:pStyle w:val="11"/>
        <w:spacing w:before="0" w:beforeAutospacing="0" w:after="0" w:afterAutospacing="0" w:line="280" w:lineRule="atLeast"/>
        <w:jc w:val="both"/>
      </w:pPr>
      <w:r>
        <w:rPr>
          <w:rFonts w:hint="eastAsia"/>
          <w:sz w:val="21"/>
          <w:szCs w:val="21"/>
        </w:rPr>
        <w:t>人员长期停留的场所采用符合规定的无危险类照明产品：</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line="280" w:lineRule="atLeast"/>
        <w:jc w:val="both"/>
      </w:pPr>
      <w:r>
        <w:rPr>
          <w:rFonts w:ascii="Times New Roman" w:hAnsi="Times New Roman" w:cs="Times New Roman"/>
          <w:sz w:val="21"/>
          <w:szCs w:val="21"/>
        </w:rPr>
        <w:t>LED</w:t>
      </w:r>
      <w:r>
        <w:rPr>
          <w:rFonts w:hint="eastAsia"/>
          <w:sz w:val="21"/>
          <w:szCs w:val="21"/>
        </w:rPr>
        <w:t>照明产品的光输出波形的波动深度满足标准的规定：</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280" w:lineRule="atLeast"/>
        <w:jc w:val="both"/>
      </w:pPr>
      <w:r>
        <w:rPr>
          <w:rFonts w:hint="eastAsia"/>
          <w:sz w:val="21"/>
          <w:szCs w:val="21"/>
        </w:rPr>
        <w:t>提交材料及要求：</w:t>
      </w:r>
    </w:p>
    <w:p>
      <w:pPr>
        <w:pStyle w:val="11"/>
        <w:spacing w:before="0" w:beforeAutospacing="0" w:after="0" w:afterAutospacing="0" w:line="280" w:lineRule="atLeast"/>
        <w:jc w:val="both"/>
      </w:pPr>
      <w:r>
        <w:rPr>
          <w:rFonts w:ascii="Times New Roman" w:hAnsi="Times New Roman" w:cs="Times New Roman"/>
          <w:sz w:val="21"/>
          <w:szCs w:val="21"/>
        </w:rPr>
        <w:t>1</w:t>
      </w:r>
      <w:r>
        <w:rPr>
          <w:rFonts w:hint="eastAsia"/>
          <w:sz w:val="21"/>
          <w:szCs w:val="21"/>
        </w:rPr>
        <w:t>）与建筑照明相关的电气竣工图及说明；</w:t>
      </w:r>
    </w:p>
    <w:p>
      <w:pPr>
        <w:pStyle w:val="11"/>
        <w:spacing w:before="0" w:beforeAutospacing="0" w:after="0" w:afterAutospacing="0" w:line="280" w:lineRule="atLeast"/>
        <w:jc w:val="both"/>
      </w:pPr>
      <w:r>
        <w:rPr>
          <w:rFonts w:ascii="Times New Roman" w:hAnsi="Times New Roman" w:cs="Times New Roman"/>
          <w:sz w:val="21"/>
          <w:szCs w:val="21"/>
        </w:rPr>
        <w:t>2</w:t>
      </w:r>
      <w:r>
        <w:rPr>
          <w:rFonts w:hint="eastAsia"/>
          <w:sz w:val="21"/>
          <w:szCs w:val="21"/>
        </w:rPr>
        <w:t>）照明计算书；</w:t>
      </w:r>
    </w:p>
    <w:p>
      <w:pPr>
        <w:pStyle w:val="11"/>
        <w:spacing w:before="0" w:beforeAutospacing="0" w:after="0" w:afterAutospacing="0" w:line="280" w:lineRule="atLeast"/>
        <w:jc w:val="both"/>
      </w:pPr>
      <w:r>
        <w:rPr>
          <w:rFonts w:ascii="Times New Roman" w:hAnsi="Times New Roman" w:cs="Times New Roman"/>
          <w:sz w:val="21"/>
          <w:szCs w:val="21"/>
        </w:rPr>
        <w:t>3</w:t>
      </w:r>
      <w:r>
        <w:rPr>
          <w:rFonts w:hint="eastAsia"/>
          <w:sz w:val="21"/>
          <w:szCs w:val="21"/>
        </w:rPr>
        <w:t>）产品说明书和产品型式检验报告；</w:t>
      </w:r>
    </w:p>
    <w:p>
      <w:pPr>
        <w:pStyle w:val="11"/>
        <w:spacing w:before="0" w:beforeAutospacing="0" w:after="0" w:afterAutospacing="0" w:line="280" w:lineRule="atLeast"/>
        <w:jc w:val="both"/>
      </w:pPr>
      <w:r>
        <w:rPr>
          <w:rFonts w:ascii="Times New Roman" w:hAnsi="Times New Roman" w:cs="Times New Roman"/>
          <w:sz w:val="21"/>
          <w:szCs w:val="21"/>
        </w:rPr>
        <w:t>4</w:t>
      </w:r>
      <w:r>
        <w:rPr>
          <w:rFonts w:hint="eastAsia"/>
          <w:sz w:val="21"/>
          <w:szCs w:val="21"/>
        </w:rPr>
        <w:t>）现场检测报告。</w:t>
      </w:r>
    </w:p>
    <w:p>
      <w:pPr>
        <w:pStyle w:val="11"/>
        <w:spacing w:before="0" w:beforeAutospacing="0" w:after="0" w:afterAutospacing="0" w:line="280" w:lineRule="atLeast"/>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691"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电气专业图纸及设计说明：8电气设计/ 电气设计说明.docx</w:t>
            </w:r>
            <w:r>
              <w:rPr>
                <w:rFonts w:ascii="Times New Roman" w:hAnsi="Times New Roman" w:cs="Times New Roman"/>
                <w:sz w:val="20"/>
                <w:szCs w:val="20"/>
              </w:rPr>
              <w:br w:type="textWrapping"/>
            </w:r>
            <w:r>
              <w:rPr>
                <w:rStyle w:val="26"/>
                <w:rFonts w:ascii="Times New Roman" w:hAnsi="Times New Roman" w:cs="Times New Roman"/>
                <w:sz w:val="20"/>
                <w:szCs w:val="20"/>
              </w:rPr>
              <w:t>照明现场检测报告：10运行/ 照度计算书.docx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5.1.6 应采取措施保障室内热环境。采用集中供暖空调系统的建筑，房间内的温度、湿度、新风量等设计参数应符合现行国家标准《民用建筑供暖通风与空气调节设计规范》GB50736的有关规定；采用非集中供暖空调系统的建筑，应具有保障室内热的措施或预留条件。</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主要功能房间室内设计参数：</w:t>
      </w:r>
    </w:p>
    <w:tbl>
      <w:tblPr>
        <w:tblStyle w:val="13"/>
        <w:tblW w:w="9595" w:type="dxa"/>
        <w:jc w:val="center"/>
        <w:tblLayout w:type="autofit"/>
        <w:tblCellMar>
          <w:top w:w="0" w:type="dxa"/>
          <w:left w:w="0" w:type="dxa"/>
          <w:bottom w:w="0" w:type="dxa"/>
          <w:right w:w="0" w:type="dxa"/>
        </w:tblCellMar>
      </w:tblPr>
      <w:tblGrid>
        <w:gridCol w:w="1186"/>
        <w:gridCol w:w="1662"/>
        <w:gridCol w:w="1186"/>
        <w:gridCol w:w="1269"/>
        <w:gridCol w:w="951"/>
        <w:gridCol w:w="952"/>
        <w:gridCol w:w="1113"/>
        <w:gridCol w:w="1276"/>
      </w:tblGrid>
      <w:tr>
        <w:tblPrEx>
          <w:tblCellMar>
            <w:top w:w="0" w:type="dxa"/>
            <w:left w:w="0" w:type="dxa"/>
            <w:bottom w:w="0" w:type="dxa"/>
            <w:right w:w="0" w:type="dxa"/>
          </w:tblCellMar>
        </w:tblPrEx>
        <w:trPr>
          <w:trHeight w:val="333" w:hRule="atLeast"/>
          <w:jc w:val="center"/>
        </w:trPr>
        <w:tc>
          <w:tcPr>
            <w:tcW w:w="106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房间</w:t>
            </w:r>
          </w:p>
          <w:p>
            <w:pPr>
              <w:pStyle w:val="11"/>
              <w:spacing w:before="0" w:beforeAutospacing="0" w:after="0" w:afterAutospacing="0"/>
              <w:jc w:val="center"/>
            </w:pPr>
            <w:r>
              <w:rPr>
                <w:rFonts w:hint="eastAsia"/>
                <w:sz w:val="21"/>
                <w:szCs w:val="21"/>
              </w:rPr>
              <w:t>类型</w:t>
            </w:r>
          </w:p>
        </w:tc>
        <w:tc>
          <w:tcPr>
            <w:tcW w:w="148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人员密度</w:t>
            </w:r>
          </w:p>
          <w:p>
            <w:pPr>
              <w:pStyle w:val="11"/>
              <w:spacing w:before="0" w:beforeAutospacing="0" w:after="0" w:afterAutospacing="0"/>
              <w:jc w:val="center"/>
            </w:pPr>
            <w:r>
              <w:rPr>
                <w:rFonts w:hint="eastAsia"/>
                <w:sz w:val="21"/>
                <w:szCs w:val="21"/>
              </w:rPr>
              <w:t>（人</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hint="eastAsia"/>
                <w:sz w:val="21"/>
                <w:szCs w:val="21"/>
              </w:rPr>
              <w:t>）</w:t>
            </w:r>
          </w:p>
        </w:tc>
        <w:tc>
          <w:tcPr>
            <w:tcW w:w="219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温度（℃）</w:t>
            </w:r>
          </w:p>
        </w:tc>
        <w:tc>
          <w:tcPr>
            <w:tcW w:w="162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相对湿度（</w:t>
            </w:r>
            <w:r>
              <w:rPr>
                <w:rFonts w:ascii="Times New Roman" w:hAnsi="Times New Roman" w:cs="Times New Roman"/>
                <w:sz w:val="21"/>
                <w:szCs w:val="21"/>
              </w:rPr>
              <w:t>％</w:t>
            </w:r>
            <w:r>
              <w:rPr>
                <w:rFonts w:hint="eastAsia"/>
                <w:sz w:val="21"/>
                <w:szCs w:val="21"/>
              </w:rPr>
              <w:t>）</w:t>
            </w:r>
          </w:p>
        </w:tc>
        <w:tc>
          <w:tcPr>
            <w:tcW w:w="213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新风量</w:t>
            </w:r>
          </w:p>
        </w:tc>
      </w:tr>
      <w:tr>
        <w:tblPrEx>
          <w:tblCellMar>
            <w:top w:w="0" w:type="dxa"/>
            <w:left w:w="0" w:type="dxa"/>
            <w:bottom w:w="0" w:type="dxa"/>
            <w:right w:w="0" w:type="dxa"/>
          </w:tblCellMar>
        </w:tblPrEx>
        <w:trPr>
          <w:trHeight w:val="23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夏季空调</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冬季采暖</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夏季</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冬季</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设计值</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标准值</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活动室</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27</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18 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 </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30 </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30</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多功能厅</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2.5 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26</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18 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30</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30 </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办公室</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1.2</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26</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18 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30</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30</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1"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9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92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）暖通专业竣工图及说明文件；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）典型房间在使用空调期间的室内温湿度检测报告、室内二氧化碳浓度检测报告。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0" w:beforeAutospacing="0" w:after="0" w:afterAutospacing="0"/>
      </w:pPr>
      <w:r>
        <w:rPr>
          <w:rFonts w:hint="eastAsia" w:ascii="Times New Roman" w:hAnsi="Times New Roman" w:eastAsia="宋体" w:cs="Times New Roman"/>
          <w:i w:val="0"/>
          <w:iCs w:val="0"/>
          <w:color w:val="auto"/>
          <w:sz w:val="24"/>
          <w:szCs w:val="24"/>
          <w:lang w:eastAsia="zh-CN"/>
        </w:rPr>
        <w:t>5.1.7 围护结构热工性能应符合下列规定：1在室内设计温、湿度条件下，建筑非透光围护结构内表面不得结露；2供暖建筑的屋面、外墙内部不应产生冷凝；3屋顶和外墙隔热性能应满足现行国家标准《民用建筑热工设计规范》GB50176的要求。</w:t>
      </w:r>
    </w:p>
    <w:p>
      <w:pPr>
        <w:pStyle w:val="11"/>
        <w:spacing w:before="0" w:beforeAutospacing="0" w:after="0"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简要说明采取的防结露、防潮措施：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62"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jc w:val="both"/>
            </w:pPr>
            <w:r>
              <w:rPr>
                <w:rFonts w:hint="eastAsia"/>
                <w:sz w:val="20"/>
                <w:szCs w:val="20"/>
              </w:rPr>
              <w:t>外墙外保温：90厚挤塑聚苯板+180厚剪力墙结构/130厚岩棉板+180厚剪力墙结构</w:t>
            </w:r>
          </w:p>
          <w:p>
            <w:pPr>
              <w:pStyle w:val="11"/>
              <w:spacing w:before="0" w:beforeAutospacing="0" w:after="0" w:afterAutospacing="0"/>
              <w:ind w:firstLine="400"/>
              <w:jc w:val="both"/>
            </w:pPr>
            <w:r>
              <w:rPr>
                <w:rFonts w:hint="eastAsia"/>
                <w:sz w:val="20"/>
                <w:szCs w:val="20"/>
              </w:rPr>
              <w:t>屋顶保温：100厚挤塑聚苯板+120厚钢筋混凝土板</w:t>
            </w:r>
          </w:p>
          <w:p>
            <w:pPr>
              <w:pStyle w:val="11"/>
              <w:spacing w:before="0" w:beforeAutospacing="0" w:after="0" w:afterAutospacing="0"/>
              <w:ind w:firstLine="400"/>
              <w:jc w:val="both"/>
            </w:pPr>
            <w:r>
              <w:rPr>
                <w:rFonts w:hint="eastAsia"/>
                <w:sz w:val="20"/>
                <w:szCs w:val="20"/>
              </w:rPr>
              <w:t>外窗：65系列断桥铝三玻两腔节能门窗(5Low-E+12A+5+12A+5)</w:t>
            </w:r>
          </w:p>
        </w:tc>
      </w:tr>
    </w:tbl>
    <w:p>
      <w:pPr>
        <w:pStyle w:val="11"/>
        <w:spacing w:before="0" w:beforeAutospacing="0" w:after="0" w:afterAutospacing="0"/>
        <w:ind w:firstLine="300"/>
        <w:jc w:val="both"/>
      </w:pPr>
      <w:r>
        <w:rPr>
          <w:rFonts w:hint="eastAsia"/>
          <w:sz w:val="21"/>
          <w:szCs w:val="21"/>
        </w:rPr>
        <w:t>围护结构内表面温度</w:t>
      </w:r>
    </w:p>
    <w:tbl>
      <w:tblPr>
        <w:tblStyle w:val="13"/>
        <w:tblW w:w="9448" w:type="dxa"/>
        <w:jc w:val="center"/>
        <w:tblLayout w:type="autofit"/>
        <w:tblCellMar>
          <w:top w:w="0" w:type="dxa"/>
          <w:left w:w="0" w:type="dxa"/>
          <w:bottom w:w="0" w:type="dxa"/>
          <w:right w:w="0" w:type="dxa"/>
        </w:tblCellMar>
      </w:tblPr>
      <w:tblGrid>
        <w:gridCol w:w="1621"/>
        <w:gridCol w:w="3201"/>
        <w:gridCol w:w="2963"/>
        <w:gridCol w:w="1663"/>
      </w:tblGrid>
      <w:tr>
        <w:tblPrEx>
          <w:tblCellMar>
            <w:top w:w="0" w:type="dxa"/>
            <w:left w:w="0" w:type="dxa"/>
            <w:bottom w:w="0" w:type="dxa"/>
            <w:right w:w="0" w:type="dxa"/>
          </w:tblCellMar>
        </w:tblPrEx>
        <w:trPr>
          <w:jc w:val="center"/>
        </w:trPr>
        <w:tc>
          <w:tcPr>
            <w:tcW w:w="147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类型</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设计工况下内表面温度（℃）</w:t>
            </w:r>
          </w:p>
        </w:tc>
        <w:tc>
          <w:tcPr>
            <w:tcW w:w="26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室内空气露点温度（℃）</w:t>
            </w:r>
          </w:p>
        </w:tc>
        <w:tc>
          <w:tcPr>
            <w:tcW w:w="150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是否符合要求</w:t>
            </w:r>
          </w:p>
        </w:tc>
      </w:tr>
      <w:tr>
        <w:tblPrEx>
          <w:tblCellMar>
            <w:top w:w="0" w:type="dxa"/>
            <w:left w:w="0" w:type="dxa"/>
            <w:bottom w:w="0" w:type="dxa"/>
            <w:right w:w="0" w:type="dxa"/>
          </w:tblCellMar>
        </w:tblPrEx>
        <w:trPr>
          <w:jc w:val="center"/>
        </w:trPr>
        <w:tc>
          <w:tcPr>
            <w:tcW w:w="147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外墙</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25</w:t>
            </w:r>
          </w:p>
        </w:tc>
        <w:tc>
          <w:tcPr>
            <w:tcW w:w="26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c>
          <w:tcPr>
            <w:tcW w:w="150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 </w:t>
            </w:r>
          </w:p>
        </w:tc>
      </w:tr>
      <w:tr>
        <w:tblPrEx>
          <w:tblCellMar>
            <w:top w:w="0" w:type="dxa"/>
            <w:left w:w="0" w:type="dxa"/>
            <w:bottom w:w="0" w:type="dxa"/>
            <w:right w:w="0" w:type="dxa"/>
          </w:tblCellMar>
        </w:tblPrEx>
        <w:trPr>
          <w:jc w:val="center"/>
        </w:trPr>
        <w:tc>
          <w:tcPr>
            <w:tcW w:w="147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屋面</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25</w:t>
            </w:r>
          </w:p>
        </w:tc>
        <w:tc>
          <w:tcPr>
            <w:tcW w:w="26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10 </w:t>
            </w:r>
          </w:p>
        </w:tc>
        <w:tc>
          <w:tcPr>
            <w:tcW w:w="150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 </w:t>
            </w:r>
          </w:p>
        </w:tc>
      </w:tr>
      <w:tr>
        <w:tblPrEx>
          <w:tblCellMar>
            <w:top w:w="0" w:type="dxa"/>
            <w:left w:w="0" w:type="dxa"/>
            <w:bottom w:w="0" w:type="dxa"/>
            <w:right w:w="0" w:type="dxa"/>
          </w:tblCellMar>
        </w:tblPrEx>
        <w:trPr>
          <w:jc w:val="center"/>
        </w:trPr>
        <w:tc>
          <w:tcPr>
            <w:tcW w:w="147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外窗</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25</w:t>
            </w:r>
          </w:p>
        </w:tc>
        <w:tc>
          <w:tcPr>
            <w:tcW w:w="26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c>
          <w:tcPr>
            <w:tcW w:w="150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 </w:t>
            </w:r>
          </w:p>
        </w:tc>
      </w:tr>
      <w:tr>
        <w:tblPrEx>
          <w:tblCellMar>
            <w:top w:w="0" w:type="dxa"/>
            <w:left w:w="0" w:type="dxa"/>
            <w:bottom w:w="0" w:type="dxa"/>
            <w:right w:w="0" w:type="dxa"/>
          </w:tblCellMar>
        </w:tblPrEx>
        <w:trPr>
          <w:jc w:val="center"/>
        </w:trPr>
        <w:tc>
          <w:tcPr>
            <w:tcW w:w="147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其他</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26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50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r>
    </w:tbl>
    <w:p>
      <w:pPr>
        <w:pStyle w:val="11"/>
        <w:spacing w:before="0" w:beforeAutospacing="0" w:after="0" w:afterAutospacing="0"/>
        <w:jc w:val="both"/>
      </w:pPr>
      <w:r>
        <w:rPr>
          <w:rFonts w:ascii="Times New Roman" w:hAnsi="Times New Roman" w:cs="Times New Roman"/>
          <w:b/>
          <w:bCs/>
          <w:sz w:val="21"/>
          <w:szCs w:val="21"/>
        </w:rPr>
        <w:t> </w:t>
      </w:r>
    </w:p>
    <w:tbl>
      <w:tblPr>
        <w:tblStyle w:val="13"/>
        <w:tblW w:w="9565" w:type="dxa"/>
        <w:jc w:val="center"/>
        <w:tblLayout w:type="autofit"/>
        <w:tblCellMar>
          <w:top w:w="0" w:type="dxa"/>
          <w:left w:w="0" w:type="dxa"/>
          <w:bottom w:w="0" w:type="dxa"/>
          <w:right w:w="0" w:type="dxa"/>
        </w:tblCellMar>
      </w:tblPr>
      <w:tblGrid>
        <w:gridCol w:w="943"/>
        <w:gridCol w:w="1955"/>
        <w:gridCol w:w="2414"/>
        <w:gridCol w:w="2542"/>
        <w:gridCol w:w="1711"/>
      </w:tblGrid>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位置及类型</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内表面最高温度（℃）</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标准限值要求（℃）</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是否符合要求</w:t>
            </w:r>
          </w:p>
        </w:tc>
      </w:tr>
      <w:tr>
        <w:tblPrEx>
          <w:tblCellMar>
            <w:top w:w="0" w:type="dxa"/>
            <w:left w:w="0" w:type="dxa"/>
            <w:bottom w:w="0" w:type="dxa"/>
            <w:right w:w="0" w:type="dxa"/>
          </w:tblCellMar>
        </w:tblPrEx>
        <w:trPr>
          <w:jc w:val="center"/>
        </w:trPr>
        <w:tc>
          <w:tcPr>
            <w:tcW w:w="493"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屋顶</w:t>
            </w:r>
          </w:p>
        </w:tc>
        <w:tc>
          <w:tcPr>
            <w:tcW w:w="10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自然通风房间</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36 </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36.22 </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是</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空调房间</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34</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34.7</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是</w:t>
            </w:r>
          </w:p>
        </w:tc>
      </w:tr>
      <w:tr>
        <w:tblPrEx>
          <w:tblCellMar>
            <w:top w:w="0" w:type="dxa"/>
            <w:left w:w="0" w:type="dxa"/>
            <w:bottom w:w="0" w:type="dxa"/>
            <w:right w:w="0" w:type="dxa"/>
          </w:tblCellMar>
        </w:tblPrEx>
        <w:trPr>
          <w:jc w:val="center"/>
        </w:trPr>
        <w:tc>
          <w:tcPr>
            <w:tcW w:w="493"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东外墙</w:t>
            </w:r>
          </w:p>
        </w:tc>
        <w:tc>
          <w:tcPr>
            <w:tcW w:w="10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自然通风房间</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33</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33.1</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是</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空调房间</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32.7</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是</w:t>
            </w:r>
          </w:p>
        </w:tc>
      </w:tr>
      <w:tr>
        <w:tblPrEx>
          <w:tblCellMar>
            <w:top w:w="0" w:type="dxa"/>
            <w:left w:w="0" w:type="dxa"/>
            <w:bottom w:w="0" w:type="dxa"/>
            <w:right w:w="0" w:type="dxa"/>
          </w:tblCellMar>
        </w:tblPrEx>
        <w:trPr>
          <w:jc w:val="center"/>
        </w:trPr>
        <w:tc>
          <w:tcPr>
            <w:tcW w:w="493"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西外墙</w:t>
            </w:r>
          </w:p>
        </w:tc>
        <w:tc>
          <w:tcPr>
            <w:tcW w:w="10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自然通风房间</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33</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33.8</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是</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空调房间</w:t>
            </w:r>
          </w:p>
        </w:tc>
        <w:tc>
          <w:tcPr>
            <w:tcW w:w="126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w:t>
            </w:r>
          </w:p>
        </w:tc>
        <w:tc>
          <w:tcPr>
            <w:tcW w:w="132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32.9</w:t>
            </w:r>
          </w:p>
        </w:tc>
        <w:tc>
          <w:tcPr>
            <w:tcW w:w="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是</w:t>
            </w:r>
          </w:p>
        </w:tc>
      </w:tr>
    </w:tbl>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280" w:lineRule="atLeast"/>
        <w:jc w:val="both"/>
      </w:pPr>
      <w:r>
        <w:rPr>
          <w:rFonts w:hint="eastAsia"/>
          <w:sz w:val="21"/>
          <w:szCs w:val="21"/>
        </w:rPr>
        <w:t>提交材料及要求：</w:t>
      </w:r>
    </w:p>
    <w:p>
      <w:pPr>
        <w:pStyle w:val="11"/>
        <w:spacing w:before="0" w:beforeAutospacing="0" w:after="0" w:afterAutospacing="0" w:line="280" w:lineRule="atLeast"/>
        <w:jc w:val="both"/>
      </w:pPr>
      <w:r>
        <w:rPr>
          <w:rFonts w:ascii="Times New Roman" w:hAnsi="Times New Roman" w:cs="Times New Roman"/>
          <w:sz w:val="21"/>
          <w:szCs w:val="21"/>
        </w:rPr>
        <w:t>1</w:t>
      </w:r>
      <w:r>
        <w:rPr>
          <w:rFonts w:hint="eastAsia"/>
          <w:sz w:val="21"/>
          <w:szCs w:val="21"/>
        </w:rPr>
        <w:t>）建筑竣工图、说明及节点大样；</w:t>
      </w:r>
    </w:p>
    <w:p>
      <w:pPr>
        <w:pStyle w:val="11"/>
        <w:spacing w:before="0" w:beforeAutospacing="0" w:after="0" w:afterAutospacing="0" w:line="280" w:lineRule="atLeast"/>
        <w:jc w:val="both"/>
      </w:pPr>
      <w:r>
        <w:rPr>
          <w:rFonts w:ascii="Times New Roman" w:hAnsi="Times New Roman" w:cs="Times New Roman"/>
          <w:sz w:val="21"/>
          <w:szCs w:val="21"/>
        </w:rPr>
        <w:t>2</w:t>
      </w:r>
      <w:r>
        <w:rPr>
          <w:rFonts w:hint="eastAsia"/>
          <w:sz w:val="21"/>
          <w:szCs w:val="21"/>
        </w:rPr>
        <w:t>）节能计算书、围护结构防结露验算报告、围护结构隔热性能验算报告、围护结构内部冷凝验算报告；建筑围护结构隔热性能计算书。</w:t>
      </w:r>
    </w:p>
    <w:p>
      <w:pPr>
        <w:pStyle w:val="11"/>
        <w:spacing w:before="0" w:beforeAutospacing="0" w:after="0" w:afterAutospacing="0" w:line="280" w:lineRule="atLeast"/>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围护结构防结露验算报告：3建筑设计/ 建筑围护结构结露计算书.doc</w:t>
            </w:r>
            <w:r>
              <w:rPr>
                <w:rFonts w:ascii="Times New Roman" w:hAnsi="Times New Roman" w:cs="Times New Roman"/>
                <w:sz w:val="20"/>
                <w:szCs w:val="20"/>
              </w:rPr>
              <w:br w:type="textWrapping"/>
            </w:r>
            <w:r>
              <w:rPr>
                <w:rStyle w:val="26"/>
                <w:rFonts w:ascii="Times New Roman" w:hAnsi="Times New Roman" w:cs="Times New Roman"/>
                <w:sz w:val="20"/>
                <w:szCs w:val="20"/>
              </w:rPr>
              <w:t>围护结构隔热性能计算书：3建筑设计/ 围护结构隔热计算书.docx</w:t>
            </w:r>
            <w:r>
              <w:rPr>
                <w:rFonts w:ascii="Times New Roman" w:hAnsi="Times New Roman" w:cs="Times New Roman"/>
                <w:sz w:val="20"/>
                <w:szCs w:val="20"/>
              </w:rPr>
              <w:br w:type="textWrapping"/>
            </w:r>
            <w:r>
              <w:rPr>
                <w:rStyle w:val="26"/>
                <w:rFonts w:ascii="Times New Roman" w:hAnsi="Times New Roman" w:cs="Times New Roman"/>
                <w:sz w:val="20"/>
                <w:szCs w:val="20"/>
              </w:rPr>
              <w:t>围护结构内部冷凝验算报告：3建筑设计/ 围护结构内部冷凝演算计算书.docx</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5.1.8主要功能房间应具有现场独立控制的热环境调节装置。</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ind w:firstLine="400"/>
        <w:jc w:val="both"/>
      </w:pPr>
      <w:r>
        <w:rPr>
          <w:rFonts w:hint="eastAsia"/>
          <w:sz w:val="21"/>
          <w:szCs w:val="21"/>
        </w:rPr>
        <w:t>主要功能房间面积为</w:t>
      </w:r>
      <w:r>
        <w:rPr>
          <w:rFonts w:hint="eastAsia"/>
          <w:sz w:val="21"/>
          <w:szCs w:val="21"/>
          <w:u w:val="single"/>
        </w:rPr>
        <w:t xml:space="preserve">   3892m²</w:t>
      </w:r>
      <w:r>
        <w:rPr>
          <w:rFonts w:hint="eastAsia" w:ascii="MS Mincho" w:hAnsi="MS Mincho" w:eastAsia="MS Mincho" w:cs="MS Mincho"/>
          <w:sz w:val="21"/>
          <w:szCs w:val="21"/>
          <w:u w:val="single"/>
        </w:rPr>
        <w:t>​</w:t>
      </w:r>
      <w:r>
        <w:rPr>
          <w:rFonts w:hint="eastAsia"/>
          <w:sz w:val="21"/>
          <w:szCs w:val="21"/>
          <w:u w:val="single"/>
        </w:rPr>
        <w:t xml:space="preserve">  </w:t>
      </w:r>
      <w:r>
        <w:rPr>
          <w:rFonts w:hint="eastAsia"/>
          <w:sz w:val="21"/>
          <w:szCs w:val="21"/>
        </w:rPr>
        <w:t>，热环境可独立调节的面积为</w:t>
      </w:r>
      <w:r>
        <w:rPr>
          <w:rFonts w:hint="eastAsia"/>
          <w:sz w:val="21"/>
          <w:szCs w:val="21"/>
          <w:u w:val="single"/>
        </w:rPr>
        <w:t>   3260m²</w:t>
      </w:r>
      <w:r>
        <w:rPr>
          <w:rFonts w:hint="eastAsia" w:ascii="MS Mincho" w:hAnsi="MS Mincho" w:eastAsia="MS Mincho" w:cs="MS Mincho"/>
          <w:sz w:val="21"/>
          <w:szCs w:val="21"/>
          <w:u w:val="single"/>
        </w:rPr>
        <w:t>​</w:t>
      </w:r>
      <w:r>
        <w:rPr>
          <w:rFonts w:hint="eastAsia"/>
          <w:sz w:val="21"/>
          <w:szCs w:val="21"/>
          <w:u w:val="single"/>
        </w:rPr>
        <w:t xml:space="preserve">   </w:t>
      </w:r>
      <w:r>
        <w:rPr>
          <w:rFonts w:hint="eastAsia"/>
          <w:sz w:val="21"/>
          <w:szCs w:val="21"/>
        </w:rPr>
        <w:t>，比例为</w:t>
      </w:r>
      <w:r>
        <w:rPr>
          <w:rFonts w:hint="eastAsia"/>
          <w:sz w:val="21"/>
          <w:szCs w:val="21"/>
          <w:u w:val="single"/>
        </w:rPr>
        <w:t xml:space="preserve">   80%</w:t>
      </w:r>
      <w:r>
        <w:rPr>
          <w:rFonts w:hint="eastAsia" w:ascii="MS Mincho" w:hAnsi="MS Mincho" w:eastAsia="MS Mincho" w:cs="MS Mincho"/>
          <w:sz w:val="21"/>
          <w:szCs w:val="21"/>
          <w:u w:val="single"/>
        </w:rPr>
        <w:t>​</w:t>
      </w:r>
      <w:r>
        <w:rPr>
          <w:rFonts w:hint="eastAsia"/>
          <w:sz w:val="21"/>
          <w:szCs w:val="21"/>
          <w:u w:val="single"/>
        </w:rPr>
        <w:t xml:space="preserve">    </w:t>
      </w:r>
    </w:p>
    <w:p>
      <w:pPr>
        <w:pStyle w:val="11"/>
        <w:spacing w:before="0" w:beforeAutospacing="0" w:after="0" w:afterAutospacing="0"/>
        <w:jc w:val="both"/>
      </w:pPr>
      <w:r>
        <w:rPr>
          <w:rFonts w:hint="eastAsia"/>
          <w:sz w:val="21"/>
          <w:szCs w:val="21"/>
        </w:rPr>
        <w:t>简述所采用的热环境系统末端形式和调节方式。</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各房间风口均为电动风口（带执行器），配单独的温控器，可实现房间单独设定温度，满足所有评分项。</w:t>
            </w:r>
          </w:p>
          <w:p>
            <w:pPr>
              <w:pStyle w:val="11"/>
              <w:spacing w:before="0" w:beforeAutospacing="0" w:after="0" w:afterAutospacing="0"/>
              <w:ind w:firstLine="400"/>
            </w:pPr>
            <w:r>
              <w:rPr>
                <w:rFonts w:hint="eastAsia"/>
                <w:sz w:val="20"/>
                <w:szCs w:val="20"/>
              </w:rPr>
              <w:t>本工程建筑冬季供暖采用集中热水采暖系统，每组散热器均设自动恒温控制阀，能够分室控制和调节；多联机空调系统每个房间均能够独立控制和调节。</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）暖通空调竣工图、说明文件，应注明主要功能房间的末端形式；</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）末端产品说明书、合格证书。</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5.1.9 地下车库应设置与排风设备联动的一氧化碳浓度监测装置。</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请对地下车库</w:t>
      </w:r>
      <w:r>
        <w:rPr>
          <w:rFonts w:ascii="Times New Roman" w:hAnsi="Times New Roman" w:cs="Times New Roman"/>
          <w:sz w:val="21"/>
          <w:szCs w:val="21"/>
        </w:rPr>
        <w:t>CO</w:t>
      </w:r>
      <w:r>
        <w:rPr>
          <w:rFonts w:hint="eastAsia"/>
          <w:sz w:val="21"/>
          <w:szCs w:val="21"/>
        </w:rPr>
        <w:t>监控系统功能以及控制策略进行简要说明：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地下汽车库设置机械通风，平时排风按6次换气或CO浓度为20mg/m3计算取大值并设置机械补风系统，补风量不小于80%，地下车库设CO浓度传感器，设置原则为一个防烟分区一个测点，根据CO浓度控制风机变频调节。</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）暖通空调竣工图、说明文件；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）建筑智能化竣工图、说明文件；</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）设备运行记录。</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智能化设计图纸及设计说明：8电气设计/ 智能化服务平台方案.doc</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5.2.1 控制室内主要空气污染物的浓度。（12分）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875" w:type="pct"/>
        <w:jc w:val="center"/>
        <w:tblLayout w:type="autofit"/>
        <w:tblCellMar>
          <w:top w:w="0" w:type="dxa"/>
          <w:left w:w="0" w:type="dxa"/>
          <w:bottom w:w="0" w:type="dxa"/>
          <w:right w:w="0" w:type="dxa"/>
        </w:tblCellMar>
      </w:tblPr>
      <w:tblGrid>
        <w:gridCol w:w="728"/>
        <w:gridCol w:w="3147"/>
        <w:gridCol w:w="1211"/>
        <w:gridCol w:w="1573"/>
        <w:gridCol w:w="1636"/>
      </w:tblGrid>
      <w:tr>
        <w:tblPrEx>
          <w:tblCellMar>
            <w:top w:w="0" w:type="dxa"/>
            <w:left w:w="0" w:type="dxa"/>
            <w:bottom w:w="0" w:type="dxa"/>
            <w:right w:w="0" w:type="dxa"/>
          </w:tblCellMar>
        </w:tblPrEx>
        <w:trPr>
          <w:jc w:val="center"/>
        </w:trPr>
        <w:tc>
          <w:tcPr>
            <w:tcW w:w="43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4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98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465" w:hRule="atLeast"/>
          <w:jc w:val="center"/>
        </w:trPr>
        <w:tc>
          <w:tcPr>
            <w:tcW w:w="439"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1897"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氨、甲醛、苯、总挥发性有机物、氡等污染物浓度低于现行国家标准《室内空气质量标准》</w:t>
            </w:r>
            <w:r>
              <w:rPr>
                <w:rFonts w:ascii="Times New Roman" w:hAnsi="Times New Roman" w:cs="Times New Roman"/>
                <w:sz w:val="21"/>
                <w:szCs w:val="21"/>
              </w:rPr>
              <w:t>GB/T18883</w:t>
            </w:r>
            <w:r>
              <w:rPr>
                <w:rFonts w:hint="eastAsia"/>
                <w:sz w:val="21"/>
                <w:szCs w:val="21"/>
              </w:rPr>
              <w:t>规定限值</w:t>
            </w:r>
          </w:p>
        </w:tc>
        <w:tc>
          <w:tcPr>
            <w:tcW w:w="73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低于</w:t>
            </w:r>
            <w:r>
              <w:rPr>
                <w:rFonts w:ascii="Times New Roman" w:hAnsi="Times New Roman" w:cs="Times New Roman"/>
                <w:sz w:val="21"/>
                <w:szCs w:val="21"/>
              </w:rPr>
              <w:t>10%</w:t>
            </w:r>
          </w:p>
        </w:tc>
        <w:tc>
          <w:tcPr>
            <w:tcW w:w="94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986"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6</w:t>
            </w:r>
          </w:p>
        </w:tc>
      </w:tr>
      <w:tr>
        <w:tblPrEx>
          <w:tblCellMar>
            <w:top w:w="0" w:type="dxa"/>
            <w:left w:w="0" w:type="dxa"/>
            <w:bottom w:w="0" w:type="dxa"/>
            <w:right w:w="0" w:type="dxa"/>
          </w:tblCellMar>
        </w:tblPrEx>
        <w:trPr>
          <w:trHeight w:val="46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73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低于</w:t>
            </w:r>
            <w:r>
              <w:rPr>
                <w:rFonts w:ascii="Times New Roman" w:hAnsi="Times New Roman" w:cs="Times New Roman"/>
                <w:sz w:val="21"/>
                <w:szCs w:val="21"/>
              </w:rPr>
              <w:t>20%</w:t>
            </w:r>
          </w:p>
        </w:tc>
        <w:tc>
          <w:tcPr>
            <w:tcW w:w="94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43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室内</w:t>
            </w:r>
            <w:r>
              <w:rPr>
                <w:rFonts w:ascii="Times New Roman" w:hAnsi="Times New Roman" w:cs="Times New Roman"/>
                <w:sz w:val="21"/>
                <w:szCs w:val="21"/>
              </w:rPr>
              <w:t>PM</w:t>
            </w:r>
            <w:r>
              <w:rPr>
                <w:rFonts w:ascii="Times New Roman" w:hAnsi="Times New Roman" w:cs="Times New Roman"/>
                <w:sz w:val="21"/>
                <w:szCs w:val="21"/>
                <w:vertAlign w:val="subscript"/>
              </w:rPr>
              <w:t>2.5</w:t>
            </w:r>
            <w:r>
              <w:rPr>
                <w:rFonts w:hint="eastAsia"/>
                <w:sz w:val="21"/>
                <w:szCs w:val="21"/>
              </w:rPr>
              <w:t>年均浓度不高于</w:t>
            </w:r>
            <w:r>
              <w:rPr>
                <w:rFonts w:ascii="Times New Roman" w:hAnsi="Times New Roman" w:cs="Times New Roman"/>
                <w:sz w:val="21"/>
                <w:szCs w:val="21"/>
              </w:rPr>
              <w:t>25ug/m</w:t>
            </w:r>
            <w:r>
              <w:rPr>
                <w:rFonts w:ascii="Times New Roman" w:hAnsi="Times New Roman" w:cs="Times New Roman"/>
                <w:sz w:val="21"/>
                <w:szCs w:val="21"/>
                <w:vertAlign w:val="superscript"/>
              </w:rPr>
              <w:t>3</w:t>
            </w:r>
            <w:r>
              <w:rPr>
                <w:rFonts w:hint="eastAsia"/>
                <w:sz w:val="21"/>
                <w:szCs w:val="21"/>
              </w:rPr>
              <w:t>，且室内</w:t>
            </w:r>
            <w:r>
              <w:rPr>
                <w:rFonts w:ascii="Times New Roman" w:hAnsi="Times New Roman" w:cs="Times New Roman"/>
                <w:sz w:val="21"/>
                <w:szCs w:val="21"/>
              </w:rPr>
              <w:t>PM</w:t>
            </w:r>
            <w:r>
              <w:rPr>
                <w:rFonts w:ascii="Times New Roman" w:hAnsi="Times New Roman" w:cs="Times New Roman"/>
                <w:sz w:val="21"/>
                <w:szCs w:val="21"/>
                <w:vertAlign w:val="subscript"/>
              </w:rPr>
              <w:t>10</w:t>
            </w:r>
            <w:r>
              <w:rPr>
                <w:rFonts w:hint="eastAsia"/>
                <w:sz w:val="21"/>
                <w:szCs w:val="21"/>
              </w:rPr>
              <w:t>年均浓度不高于</w:t>
            </w:r>
            <w:r>
              <w:rPr>
                <w:rFonts w:ascii="Times New Roman" w:hAnsi="Times New Roman" w:cs="Times New Roman"/>
                <w:sz w:val="21"/>
                <w:szCs w:val="21"/>
              </w:rPr>
              <w:t>50ug/m</w:t>
            </w:r>
            <w:r>
              <w:rPr>
                <w:rFonts w:ascii="Times New Roman" w:hAnsi="Times New Roman" w:cs="Times New Roman"/>
                <w:sz w:val="21"/>
                <w:szCs w:val="21"/>
                <w:vertAlign w:val="superscript"/>
              </w:rPr>
              <w:t>3</w:t>
            </w:r>
          </w:p>
        </w:tc>
        <w:tc>
          <w:tcPr>
            <w:tcW w:w="94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98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6</w:t>
            </w:r>
          </w:p>
        </w:tc>
      </w:tr>
      <w:tr>
        <w:tblPrEx>
          <w:tblCellMar>
            <w:top w:w="0" w:type="dxa"/>
            <w:left w:w="0" w:type="dxa"/>
            <w:bottom w:w="0" w:type="dxa"/>
            <w:right w:w="0"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4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12</w:t>
            </w:r>
          </w:p>
        </w:tc>
        <w:tc>
          <w:tcPr>
            <w:tcW w:w="98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12</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本项目为</w:t>
      </w:r>
      <w:r>
        <w:rPr>
          <w:rFonts w:hint="eastAsia"/>
          <w:sz w:val="21"/>
          <w:szCs w:val="21"/>
          <w:u w:val="single"/>
        </w:rPr>
        <w:t xml:space="preserve">     </w:t>
      </w:r>
      <w:r>
        <w:rPr>
          <w:rFonts w:hint="eastAsia"/>
          <w:sz w:val="21"/>
          <w:szCs w:val="21"/>
        </w:rPr>
        <w:t>类民用建筑工程</w:t>
      </w:r>
    </w:p>
    <w:p>
      <w:pPr>
        <w:pStyle w:val="11"/>
        <w:spacing w:before="0" w:beforeAutospacing="0" w:after="0" w:afterAutospacing="0"/>
        <w:jc w:val="both"/>
      </w:pPr>
      <w:r>
        <w:rPr>
          <w:rFonts w:hint="eastAsia"/>
          <w:sz w:val="21"/>
          <w:szCs w:val="21"/>
        </w:rPr>
        <w:t>检测情况：</w:t>
      </w:r>
    </w:p>
    <w:tbl>
      <w:tblPr>
        <w:tblStyle w:val="13"/>
        <w:tblW w:w="5000" w:type="pct"/>
        <w:jc w:val="center"/>
        <w:tblLayout w:type="autofit"/>
        <w:tblCellMar>
          <w:top w:w="0" w:type="dxa"/>
          <w:left w:w="0" w:type="dxa"/>
          <w:bottom w:w="0" w:type="dxa"/>
          <w:right w:w="0" w:type="dxa"/>
        </w:tblCellMar>
      </w:tblPr>
      <w:tblGrid>
        <w:gridCol w:w="1245"/>
        <w:gridCol w:w="576"/>
        <w:gridCol w:w="753"/>
        <w:gridCol w:w="580"/>
        <w:gridCol w:w="753"/>
        <w:gridCol w:w="581"/>
        <w:gridCol w:w="753"/>
        <w:gridCol w:w="581"/>
        <w:gridCol w:w="753"/>
        <w:gridCol w:w="581"/>
        <w:gridCol w:w="753"/>
        <w:gridCol w:w="413"/>
      </w:tblGrid>
      <w:tr>
        <w:tblPrEx>
          <w:tblCellMar>
            <w:top w:w="0" w:type="dxa"/>
            <w:left w:w="0" w:type="dxa"/>
            <w:bottom w:w="0" w:type="dxa"/>
            <w:right w:w="0" w:type="dxa"/>
          </w:tblCellMar>
        </w:tblPrEx>
        <w:trPr>
          <w:trHeight w:val="664" w:hRule="atLeast"/>
          <w:jc w:val="center"/>
        </w:trPr>
        <w:tc>
          <w:tcPr>
            <w:tcW w:w="748" w:type="pct"/>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 </w:t>
            </w:r>
          </w:p>
          <w:p>
            <w:pPr>
              <w:pStyle w:val="11"/>
              <w:spacing w:before="0" w:beforeAutospacing="0" w:after="0" w:afterAutospacing="0"/>
              <w:jc w:val="center"/>
            </w:pPr>
            <w:r>
              <w:rPr>
                <w:rFonts w:hint="eastAsia"/>
                <w:sz w:val="21"/>
                <w:szCs w:val="21"/>
              </w:rPr>
              <w:t>    项目</w:t>
            </w:r>
          </w:p>
          <w:p>
            <w:pPr>
              <w:pStyle w:val="11"/>
              <w:spacing w:before="0" w:beforeAutospacing="0" w:after="0" w:afterAutospacing="0"/>
              <w:jc w:val="both"/>
            </w:pPr>
            <w:r>
              <w:rPr>
                <w:rFonts w:hint="eastAsia"/>
                <w:sz w:val="21"/>
                <w:szCs w:val="21"/>
              </w:rPr>
              <w:t> </w:t>
            </w:r>
          </w:p>
          <w:p>
            <w:pPr>
              <w:pStyle w:val="11"/>
              <w:spacing w:before="0" w:beforeAutospacing="0" w:after="0" w:afterAutospacing="0"/>
              <w:jc w:val="both"/>
            </w:pPr>
            <w:r>
              <w:rPr>
                <w:rFonts w:hint="eastAsia"/>
                <w:sz w:val="21"/>
                <w:szCs w:val="21"/>
              </w:rPr>
              <w:t> </w:t>
            </w:r>
          </w:p>
          <w:p>
            <w:pPr>
              <w:pStyle w:val="11"/>
              <w:spacing w:before="0" w:beforeAutospacing="0" w:after="0" w:afterAutospacing="0"/>
              <w:jc w:val="both"/>
            </w:pPr>
            <w:r>
              <w:rPr>
                <w:rFonts w:hint="eastAsia"/>
                <w:sz w:val="21"/>
                <w:szCs w:val="21"/>
              </w:rPr>
              <w:t>采样地点</w:t>
            </w:r>
          </w:p>
          <w:p>
            <w:pPr>
              <w:pStyle w:val="11"/>
              <w:spacing w:before="0" w:beforeAutospacing="0" w:after="0" w:afterAutospacing="0"/>
              <w:jc w:val="both"/>
            </w:pPr>
            <w:r>
              <w:rPr>
                <w:rFonts w:hint="eastAsia"/>
                <w:sz w:val="21"/>
                <w:szCs w:val="21"/>
              </w:rPr>
              <w:t> </w:t>
            </w:r>
          </w:p>
        </w:tc>
        <w:tc>
          <w:tcPr>
            <w:tcW w:w="0" w:type="auto"/>
            <w:gridSpan w:val="2"/>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甲醛</w:t>
            </w:r>
          </w:p>
          <w:p>
            <w:pPr>
              <w:pStyle w:val="11"/>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氨</w:t>
            </w:r>
          </w:p>
          <w:p>
            <w:pPr>
              <w:pStyle w:val="11"/>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苯</w:t>
            </w:r>
          </w:p>
          <w:p>
            <w:pPr>
              <w:pStyle w:val="11"/>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TVOC</w:t>
            </w:r>
          </w:p>
          <w:p>
            <w:pPr>
              <w:pStyle w:val="11"/>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氡</w:t>
            </w:r>
          </w:p>
          <w:p>
            <w:pPr>
              <w:pStyle w:val="11"/>
              <w:spacing w:before="0" w:beforeAutospacing="0" w:after="0" w:afterAutospacing="0"/>
              <w:jc w:val="center"/>
            </w:pPr>
            <w:r>
              <w:rPr>
                <w:rFonts w:hint="eastAsia"/>
                <w:sz w:val="21"/>
                <w:szCs w:val="21"/>
              </w:rPr>
              <w:t>Bq/m</w:t>
            </w:r>
            <w:r>
              <w:rPr>
                <w:rFonts w:hint="eastAsia"/>
                <w:sz w:val="21"/>
                <w:szCs w:val="21"/>
                <w:vertAlign w:val="superscript"/>
              </w:rPr>
              <w:t>3</w:t>
            </w:r>
          </w:p>
        </w:tc>
        <w:tc>
          <w:tcPr>
            <w:tcW w:w="248" w:type="pct"/>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是否符合</w:t>
            </w:r>
          </w:p>
        </w:tc>
      </w:tr>
      <w:tr>
        <w:tblPrEx>
          <w:tblCellMar>
            <w:top w:w="0" w:type="dxa"/>
            <w:left w:w="0" w:type="dxa"/>
            <w:bottom w:w="0" w:type="dxa"/>
            <w:right w:w="0" w:type="dxa"/>
          </w:tblCellMar>
        </w:tblPrEx>
        <w:trPr>
          <w:trHeight w:val="66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检测值</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规定值90%/80%</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检测值</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规定值90%/80%</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检测值</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规定值90%/80%</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检测值</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规定值90%/80%</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检测值</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规定值90%/80%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566" w:hRule="atLeast"/>
          <w:jc w:val="center"/>
        </w:trPr>
        <w:tc>
          <w:tcPr>
            <w:tcW w:w="7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活动室 </w:t>
            </w: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spacing w:before="100" w:beforeAutospacing="1" w:after="100" w:afterAutospacing="1"/>
            </w:pPr>
            <w:r>
              <w:rPr>
                <w:rFonts w:ascii="Times New Roman" w:hAnsi="Times New Roman" w:cs="Times New Roman"/>
              </w:rPr>
              <w:t>0.05</w:t>
            </w:r>
          </w:p>
          <w:p>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0.15</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0.08</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0.45</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200 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2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hint="eastAsia"/>
                <w:sz w:val="21"/>
                <w:szCs w:val="21"/>
              </w:rPr>
              <w:t>是</w:t>
            </w:r>
          </w:p>
        </w:tc>
      </w:tr>
      <w:tr>
        <w:tblPrEx>
          <w:tblCellMar>
            <w:top w:w="0" w:type="dxa"/>
            <w:left w:w="0" w:type="dxa"/>
            <w:bottom w:w="0" w:type="dxa"/>
            <w:right w:w="0" w:type="dxa"/>
          </w:tblCellMar>
        </w:tblPrEx>
        <w:trPr>
          <w:trHeight w:val="555" w:hRule="atLeast"/>
          <w:jc w:val="center"/>
        </w:trPr>
        <w:tc>
          <w:tcPr>
            <w:tcW w:w="7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2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hint="eastAsia"/>
                <w:sz w:val="21"/>
                <w:szCs w:val="21"/>
              </w:rPr>
              <w:t>是</w:t>
            </w:r>
          </w:p>
        </w:tc>
      </w:tr>
      <w:tr>
        <w:tblPrEx>
          <w:tblCellMar>
            <w:top w:w="0" w:type="dxa"/>
            <w:left w:w="0" w:type="dxa"/>
            <w:bottom w:w="0" w:type="dxa"/>
            <w:right w:w="0" w:type="dxa"/>
          </w:tblCellMar>
        </w:tblPrEx>
        <w:trPr>
          <w:trHeight w:val="518" w:hRule="atLeast"/>
          <w:jc w:val="center"/>
        </w:trPr>
        <w:tc>
          <w:tcPr>
            <w:tcW w:w="7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2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hint="eastAsia"/>
                <w:sz w:val="21"/>
                <w:szCs w:val="21"/>
              </w:rPr>
              <w:t>是</w:t>
            </w:r>
          </w:p>
        </w:tc>
      </w:tr>
      <w:tr>
        <w:tblPrEx>
          <w:tblCellMar>
            <w:top w:w="0" w:type="dxa"/>
            <w:left w:w="0" w:type="dxa"/>
            <w:bottom w:w="0" w:type="dxa"/>
            <w:right w:w="0" w:type="dxa"/>
          </w:tblCellMar>
        </w:tblPrEx>
        <w:trPr>
          <w:trHeight w:val="494" w:hRule="atLeast"/>
          <w:jc w:val="center"/>
        </w:trPr>
        <w:tc>
          <w:tcPr>
            <w:tcW w:w="7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2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hint="eastAsia"/>
                <w:sz w:val="21"/>
                <w:szCs w:val="21"/>
              </w:rPr>
              <w:t>是</w:t>
            </w:r>
          </w:p>
        </w:tc>
      </w:tr>
      <w:tr>
        <w:tblPrEx>
          <w:tblCellMar>
            <w:top w:w="0" w:type="dxa"/>
            <w:left w:w="0" w:type="dxa"/>
            <w:bottom w:w="0" w:type="dxa"/>
            <w:right w:w="0" w:type="dxa"/>
          </w:tblCellMar>
        </w:tblPrEx>
        <w:trPr>
          <w:trHeight w:val="469" w:hRule="atLeast"/>
          <w:jc w:val="center"/>
        </w:trPr>
        <w:tc>
          <w:tcPr>
            <w:tcW w:w="7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2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hint="eastAsia"/>
                <w:sz w:val="21"/>
                <w:szCs w:val="21"/>
              </w:rPr>
              <w:t>是</w:t>
            </w:r>
          </w:p>
        </w:tc>
      </w:tr>
      <w:tr>
        <w:tblPrEx>
          <w:tblCellMar>
            <w:top w:w="0" w:type="dxa"/>
            <w:left w:w="0" w:type="dxa"/>
            <w:bottom w:w="0" w:type="dxa"/>
            <w:right w:w="0" w:type="dxa"/>
          </w:tblCellMar>
        </w:tblPrEx>
        <w:trPr>
          <w:trHeight w:val="587" w:hRule="atLeast"/>
          <w:jc w:val="center"/>
        </w:trPr>
        <w:tc>
          <w:tcPr>
            <w:tcW w:w="7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6"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349"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452"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ascii="Times New Roman" w:hAnsi="Times New Roman" w:cs="Times New Roman"/>
                <w:sz w:val="21"/>
                <w:szCs w:val="21"/>
              </w:rPr>
              <w:t> </w:t>
            </w:r>
          </w:p>
        </w:tc>
        <w:tc>
          <w:tcPr>
            <w:tcW w:w="248"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Autospacing="0" w:afterAutospacing="0"/>
              <w:jc w:val="center"/>
            </w:pPr>
            <w:r>
              <w:rPr>
                <w:rFonts w:hint="eastAsia"/>
                <w:sz w:val="21"/>
                <w:szCs w:val="21"/>
              </w:rPr>
              <w:t>是</w:t>
            </w:r>
          </w:p>
        </w:tc>
      </w:tr>
    </w:tbl>
    <w:p>
      <w:pPr>
        <w:pStyle w:val="11"/>
        <w:spacing w:before="0" w:beforeAutospacing="0" w:after="0" w:afterAutospacing="0" w:line="288" w:lineRule="auto"/>
        <w:jc w:val="both"/>
      </w:pPr>
      <w:r>
        <w:rPr>
          <w:rFonts w:ascii="Times New Roman" w:hAnsi="Times New Roman" w:cs="Times New Roman"/>
          <w:b/>
          <w:bCs/>
        </w:rPr>
        <w:t> </w:t>
      </w:r>
    </w:p>
    <w:tbl>
      <w:tblPr>
        <w:tblStyle w:val="13"/>
        <w:tblW w:w="4696" w:type="pct"/>
        <w:jc w:val="center"/>
        <w:tblLayout w:type="autofit"/>
        <w:tblCellMar>
          <w:top w:w="0" w:type="dxa"/>
          <w:left w:w="0" w:type="dxa"/>
          <w:bottom w:w="0" w:type="dxa"/>
          <w:right w:w="0" w:type="dxa"/>
        </w:tblCellMar>
      </w:tblPr>
      <w:tblGrid>
        <w:gridCol w:w="3874"/>
        <w:gridCol w:w="4117"/>
      </w:tblGrid>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室内</w:t>
            </w:r>
            <w:r>
              <w:rPr>
                <w:rFonts w:ascii="Times New Roman" w:hAnsi="Times New Roman" w:cs="Times New Roman"/>
                <w:sz w:val="21"/>
                <w:szCs w:val="21"/>
              </w:rPr>
              <w:t>PM</w:t>
            </w:r>
            <w:r>
              <w:rPr>
                <w:rFonts w:ascii="Times New Roman" w:hAnsi="Times New Roman" w:cs="Times New Roman"/>
                <w:sz w:val="21"/>
                <w:szCs w:val="21"/>
                <w:vertAlign w:val="subscript"/>
              </w:rPr>
              <w:t>2.5</w:t>
            </w:r>
            <w:r>
              <w:rPr>
                <w:rFonts w:hint="eastAsia"/>
                <w:sz w:val="21"/>
                <w:szCs w:val="21"/>
              </w:rPr>
              <w:t>年均浓度</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20</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室内</w:t>
            </w:r>
            <w:r>
              <w:rPr>
                <w:rFonts w:ascii="Times New Roman" w:hAnsi="Times New Roman" w:cs="Times New Roman"/>
                <w:sz w:val="21"/>
                <w:szCs w:val="21"/>
              </w:rPr>
              <w:t>PM</w:t>
            </w:r>
            <w:r>
              <w:rPr>
                <w:rFonts w:ascii="Times New Roman" w:hAnsi="Times New Roman" w:cs="Times New Roman"/>
                <w:sz w:val="21"/>
                <w:szCs w:val="21"/>
                <w:vertAlign w:val="subscript"/>
              </w:rPr>
              <w:t>10</w:t>
            </w:r>
            <w:r>
              <w:rPr>
                <w:rFonts w:hint="eastAsia"/>
                <w:sz w:val="21"/>
                <w:szCs w:val="21"/>
              </w:rPr>
              <w:t>年均浓度</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20</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pPr>
      <w:r>
        <w:br w:type="page"/>
      </w:r>
    </w:p>
    <w:p>
      <w:pPr>
        <w:pStyle w:val="11"/>
        <w:spacing w:before="0" w:beforeAutospacing="0" w:after="0" w:afterAutospacing="0"/>
        <w:jc w:val="both"/>
      </w:pPr>
      <w:r>
        <w:rPr>
          <w:rFonts w:hint="eastAsia"/>
          <w:sz w:val="21"/>
          <w:szCs w:val="21"/>
        </w:rPr>
        <w:t>请对室内空气污染物浓度情况进行简要说明：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室内游离甲醛、苯、氨、氡和TVOC等空气污染物浓度符合现行国家标准《民用建筑工程室内环境污染控制规范》GB 50325中的有关规定。​</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）建筑、装修竣工图及说明文件，装修材料使用说明（选择与用量）；</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）室内空气污染物浓度预评估分析报告或检测报告；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w:t>
      </w:r>
      <w:r>
        <w:rPr>
          <w:rFonts w:ascii="Times New Roman" w:hAnsi="Times New Roman" w:cs="Times New Roman"/>
          <w:sz w:val="21"/>
          <w:szCs w:val="21"/>
        </w:rPr>
        <w:t>PM</w:t>
      </w:r>
      <w:r>
        <w:rPr>
          <w:rFonts w:ascii="Times New Roman" w:hAnsi="Times New Roman" w:cs="Times New Roman"/>
          <w:sz w:val="21"/>
          <w:szCs w:val="21"/>
          <w:vertAlign w:val="subscript"/>
        </w:rPr>
        <w:t>2.5</w:t>
      </w:r>
      <w:r>
        <w:rPr>
          <w:rFonts w:hint="eastAsia"/>
          <w:sz w:val="21"/>
          <w:szCs w:val="21"/>
        </w:rPr>
        <w:t>、</w:t>
      </w:r>
      <w:r>
        <w:rPr>
          <w:rFonts w:ascii="Times New Roman" w:hAnsi="Times New Roman" w:cs="Times New Roman"/>
          <w:sz w:val="21"/>
          <w:szCs w:val="21"/>
        </w:rPr>
        <w:t>PM</w:t>
      </w:r>
      <w:r>
        <w:rPr>
          <w:rFonts w:ascii="Times New Roman" w:hAnsi="Times New Roman" w:cs="Times New Roman"/>
          <w:sz w:val="21"/>
          <w:szCs w:val="21"/>
          <w:vertAlign w:val="subscript"/>
        </w:rPr>
        <w:t>10</w:t>
      </w:r>
      <w:r>
        <w:rPr>
          <w:rFonts w:hint="eastAsia"/>
          <w:sz w:val="21"/>
          <w:szCs w:val="21"/>
        </w:rPr>
        <w:t>浓度计算报告（原始监测数据）。</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装修竣工图及设计说明：3建筑设计/ 装修竣工图及设计说明/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室内空气污染物浓度预评估分析报告：5暖通设计/ 污染物浓度预评估分析报告.doc</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室内空气污染物浓度检测报告：10运行/ 污染物浓度预评估分析报告.doc</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5.2.2 选用的装饰装修材料满足国家现行绿色产品评价标准中对有害物质限量的要求。（8分）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30"/>
        <w:gridCol w:w="4357"/>
        <w:gridCol w:w="1573"/>
        <w:gridCol w:w="1331"/>
      </w:tblGrid>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选用满足要求的装饰装修材料达到</w:t>
            </w:r>
            <w:r>
              <w:rPr>
                <w:rFonts w:ascii="Times New Roman" w:hAnsi="Times New Roman" w:cs="Times New Roman"/>
                <w:sz w:val="21"/>
                <w:szCs w:val="21"/>
              </w:rPr>
              <w:t>3</w:t>
            </w:r>
            <w:r>
              <w:rPr>
                <w:rFonts w:hint="eastAsia"/>
                <w:sz w:val="21"/>
                <w:szCs w:val="21"/>
              </w:rPr>
              <w:t>类及以上</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w:t>
            </w:r>
          </w:p>
        </w:tc>
        <w:tc>
          <w:tcPr>
            <w:tcW w:w="833"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8 </w:t>
            </w:r>
          </w:p>
        </w:tc>
      </w:tr>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2</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选用满足要求的装饰装修材料达到</w:t>
            </w:r>
            <w:r>
              <w:rPr>
                <w:rFonts w:ascii="Times New Roman" w:hAnsi="Times New Roman" w:cs="Times New Roman"/>
                <w:sz w:val="21"/>
                <w:szCs w:val="21"/>
              </w:rPr>
              <w:t>5</w:t>
            </w:r>
            <w:r>
              <w:rPr>
                <w:rFonts w:hint="eastAsia"/>
                <w:sz w:val="21"/>
                <w:szCs w:val="21"/>
              </w:rPr>
              <w:t>类及以上</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874"/>
        <w:gridCol w:w="4117"/>
      </w:tblGrid>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装饰装修材料</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有害物限量</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人造板</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甲醛不超标</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胶粘剂</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甲醛不超标</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内墙涂料</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甲醛不超标</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地砖</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甲醛不超标</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242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c>
          <w:tcPr>
            <w:tcW w:w="25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ascii="Times New Roman" w:hAnsi="Times New Roman" w:cs="Times New Roman"/>
                <w:sz w:val="21"/>
                <w:szCs w:val="21"/>
              </w:rPr>
              <w:t> </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请对装饰装修材料有害物质达标情况进行简要说明：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48"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ascii="Times New Roman" w:hAnsi="Times New Roman" w:cs="Times New Roman"/>
                <w:sz w:val="20"/>
                <w:szCs w:val="20"/>
              </w:rPr>
              <w:t> </w:t>
            </w:r>
            <w:r>
              <w:rPr>
                <w:rFonts w:hint="eastAsia" w:ascii="微软雅黑" w:hAnsi="微软雅黑" w:eastAsia="微软雅黑" w:cs="Times New Roman"/>
                <w:color w:val="121212"/>
                <w:sz w:val="27"/>
                <w:szCs w:val="27"/>
                <w:shd w:val="clear" w:color="auto" w:fill="FFFFFF"/>
              </w:rPr>
              <w:t>源头控制是通过防止或减少污染物释放,实现控制污染水平的目的,是控制室内空气污染,尤其是解决建筑、装饰装修材料引发的室内空气污染的最根本的方法，针对建筑和装饰装修活动是诱发严重室内空气污染的最主要因素这一状况, 2001年国家标准化管理委员会和国家质量监督检验检疫总局组织卫生、建材、环保、林业、化工、轻工等行业的专家,在分析查明建筑和装饰装修材料所使用的原料和辅料、加工工艺、使用过程等各个环节中可能对人体健康造成危害的有害物质的基础上,参照国外有关标准,并结合对国内企业生产的产品进行的试验验证, 制定了10项室内饰装修材料有害物质限量标准,并于2002年1月1日开始实施。该套标准对室内装饰装修材料中甲醛、挥发性有机化合物、苯、甲苯和二甲 苯、氨、游离甲苯二异氰酸酯(TDI)、氯乙烯单体、苯乙烯单体、可溶性铅、镉、 铬、汞和砷等有害物质,以及建筑材料放射性核素的限量值都做了明确的规定。</w:t>
            </w:r>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）装修竣工图及说明文件；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）工程决算材料清单、产品检验报告；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）绿色产品认证证书、施工记录。实际提交材料：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86"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装修设计图及相关设计说明：3建筑设计/ 装修设计图及相关设计说明/</w:t>
            </w:r>
            <w:r>
              <w:rPr>
                <w:rFonts w:ascii="Times New Roman" w:hAnsi="Times New Roman" w:cs="Times New Roman"/>
                <w:sz w:val="20"/>
                <w:szCs w:val="20"/>
              </w:rPr>
              <w:br w:type="textWrapping"/>
            </w:r>
            <w:r>
              <w:rPr>
                <w:rStyle w:val="26"/>
                <w:rFonts w:ascii="Times New Roman" w:hAnsi="Times New Roman" w:cs="Times New Roman"/>
                <w:sz w:val="20"/>
                <w:szCs w:val="20"/>
              </w:rPr>
              <w:t>工程材料决算清单：7结构建材/ 【预算表】幼儿园装饰工程报价预算表.xlsx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5.2.3 直饮水、集中生活热水、游泳池水、采暖空调系统用水、景观水体等的水质满足国家现行有关标准的要求。（8分）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30"/>
        <w:gridCol w:w="4357"/>
        <w:gridCol w:w="1573"/>
        <w:gridCol w:w="1331"/>
      </w:tblGrid>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水质满足国家现行有关标准的要求</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8</w:t>
            </w:r>
          </w:p>
        </w:tc>
      </w:tr>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除生活饮用水供水系统，未设置其他供水系统时，直接得分</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8</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4696" w:type="pct"/>
        <w:jc w:val="center"/>
        <w:tblLayout w:type="autofit"/>
        <w:tblCellMar>
          <w:top w:w="0" w:type="dxa"/>
          <w:left w:w="0" w:type="dxa"/>
          <w:bottom w:w="0" w:type="dxa"/>
          <w:right w:w="0" w:type="dxa"/>
        </w:tblCellMar>
      </w:tblPr>
      <w:tblGrid>
        <w:gridCol w:w="3027"/>
        <w:gridCol w:w="4964"/>
      </w:tblGrid>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b/>
                <w:bCs/>
                <w:sz w:val="21"/>
                <w:szCs w:val="21"/>
              </w:rPr>
              <w:t>用水类型</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b/>
                <w:bCs/>
                <w:sz w:val="21"/>
                <w:szCs w:val="21"/>
              </w:rPr>
              <w:t>水质</w:t>
            </w:r>
          </w:p>
        </w:tc>
      </w:tr>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直饮水</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符合《饮用净水水质标准》</w:t>
            </w:r>
            <w:r>
              <w:rPr>
                <w:rFonts w:ascii="Times New Roman" w:hAnsi="Times New Roman" w:cs="Times New Roman"/>
                <w:sz w:val="21"/>
                <w:szCs w:val="21"/>
              </w:rPr>
              <w:t>CJ 94</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符合《全自动连续微</w:t>
            </w:r>
            <w:r>
              <w:rPr>
                <w:rFonts w:ascii="Times New Roman" w:hAnsi="Times New Roman" w:cs="Times New Roman"/>
                <w:sz w:val="21"/>
                <w:szCs w:val="21"/>
              </w:rPr>
              <w:t>/</w:t>
            </w:r>
            <w:r>
              <w:rPr>
                <w:rFonts w:hint="eastAsia"/>
                <w:sz w:val="21"/>
                <w:szCs w:val="21"/>
              </w:rPr>
              <w:t>超滤净水装置》</w:t>
            </w:r>
            <w:r>
              <w:rPr>
                <w:rFonts w:ascii="Times New Roman" w:hAnsi="Times New Roman" w:cs="Times New Roman"/>
                <w:sz w:val="21"/>
                <w:szCs w:val="21"/>
              </w:rPr>
              <w:t>HG/T 4111</w:t>
            </w:r>
          </w:p>
        </w:tc>
      </w:tr>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集中生活热水</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符合《生活热水水质标准》</w:t>
            </w:r>
            <w:r>
              <w:rPr>
                <w:rFonts w:ascii="Times New Roman" w:hAnsi="Times New Roman" w:cs="Times New Roman"/>
                <w:sz w:val="21"/>
                <w:szCs w:val="21"/>
              </w:rPr>
              <w:t>CJ/T 521</w:t>
            </w:r>
          </w:p>
        </w:tc>
      </w:tr>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游泳池水</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符合《游泳池水质标准》</w:t>
            </w:r>
            <w:r>
              <w:rPr>
                <w:rFonts w:ascii="Times New Roman" w:hAnsi="Times New Roman" w:cs="Times New Roman"/>
                <w:sz w:val="21"/>
                <w:szCs w:val="21"/>
              </w:rPr>
              <w:t>CJ 244</w:t>
            </w:r>
          </w:p>
        </w:tc>
      </w:tr>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采暖空调系统用水</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符合《采暖空调系统水质》</w:t>
            </w:r>
            <w:r>
              <w:rPr>
                <w:rFonts w:ascii="Times New Roman" w:hAnsi="Times New Roman" w:cs="Times New Roman"/>
                <w:sz w:val="21"/>
                <w:szCs w:val="21"/>
              </w:rPr>
              <w:t>GB/T 29044</w:t>
            </w:r>
          </w:p>
        </w:tc>
      </w:tr>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景观水体</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符合《城市污水再生利用 景观环境用水》</w:t>
            </w:r>
            <w:r>
              <w:rPr>
                <w:rFonts w:ascii="Times New Roman" w:hAnsi="Times New Roman" w:cs="Times New Roman"/>
                <w:sz w:val="21"/>
                <w:szCs w:val="21"/>
              </w:rPr>
              <w:t>GB/T 18921</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符合《生活饮用水卫生标准》</w:t>
            </w:r>
            <w:r>
              <w:rPr>
                <w:rFonts w:ascii="Times New Roman" w:hAnsi="Times New Roman" w:cs="Times New Roman"/>
                <w:sz w:val="21"/>
                <w:szCs w:val="21"/>
              </w:rPr>
              <w:t>GB 5749</w:t>
            </w:r>
          </w:p>
        </w:tc>
      </w:tr>
      <w:tr>
        <w:tblPrEx>
          <w:tblCellMar>
            <w:top w:w="0" w:type="dxa"/>
            <w:left w:w="0" w:type="dxa"/>
            <w:bottom w:w="0" w:type="dxa"/>
            <w:right w:w="0" w:type="dxa"/>
          </w:tblCellMar>
        </w:tblPrEx>
        <w:trPr>
          <w:jc w:val="center"/>
        </w:trPr>
        <w:tc>
          <w:tcPr>
            <w:tcW w:w="189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其他</w:t>
            </w:r>
          </w:p>
        </w:tc>
        <w:tc>
          <w:tcPr>
            <w:tcW w:w="310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符合《模块化户内中水集成系统技术规程》</w:t>
            </w:r>
            <w:r>
              <w:rPr>
                <w:rFonts w:ascii="Times New Roman" w:hAnsi="Times New Roman" w:cs="Times New Roman"/>
                <w:sz w:val="21"/>
                <w:szCs w:val="21"/>
              </w:rPr>
              <w:t>JGJ/T 409</w:t>
            </w:r>
          </w:p>
        </w:tc>
      </w:tr>
    </w:tbl>
    <w:p>
      <w:pPr>
        <w:pStyle w:val="11"/>
        <w:spacing w:before="0" w:beforeAutospacing="0" w:after="0" w:afterAutospacing="0"/>
        <w:jc w:val="both"/>
      </w:pPr>
      <w:r>
        <w:rPr>
          <w:rFonts w:hint="eastAsia"/>
          <w:sz w:val="21"/>
          <w:szCs w:val="21"/>
        </w:rPr>
        <w:t>请对项目用水符合国家现行有关标准要求的情况进行简要说明：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08"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w:t>
            </w:r>
            <w:r>
              <w:rPr>
                <w:rFonts w:hint="eastAsia" w:ascii="微软雅黑" w:hAnsi="微软雅黑" w:eastAsia="微软雅黑" w:cs="Times New Roman"/>
                <w:b/>
                <w:bCs/>
                <w:color w:val="121212"/>
                <w:sz w:val="27"/>
                <w:szCs w:val="27"/>
                <w:shd w:val="clear" w:color="auto" w:fill="FFFFFF"/>
              </w:rPr>
              <w:t>直饮水、集中生活热水、游泳池水、采暖空调系统用水、景观水体等的水质符合国家现行相关标准；</w:t>
            </w:r>
            <w:r>
              <w:rPr>
                <w:rFonts w:ascii="Times New Roman" w:hAnsi="Times New Roman" w:cs="Times New Roman"/>
                <w:sz w:val="20"/>
                <w:szCs w:val="20"/>
              </w:rPr>
              <w:br w:type="textWrapping"/>
            </w:r>
            <w:r>
              <w:rPr>
                <w:rFonts w:ascii="Times New Roman" w:hAnsi="Times New Roman" w:cs="Times New Roman"/>
                <w:sz w:val="20"/>
                <w:szCs w:val="20"/>
              </w:rPr>
              <w:t>​</w:t>
            </w:r>
            <w:r>
              <w:rPr>
                <w:rFonts w:hint="eastAsia" w:ascii="微软雅黑" w:hAnsi="微软雅黑" w:eastAsia="微软雅黑" w:cs="Times New Roman"/>
                <w:b/>
                <w:bCs/>
                <w:color w:val="121212"/>
                <w:sz w:val="27"/>
                <w:szCs w:val="27"/>
                <w:shd w:val="clear" w:color="auto" w:fill="FFFFFF"/>
              </w:rPr>
              <w:t>给水排水系统的设置应符合下列规定：-2 应制定水池、水箱等出水设施定期清洗消毒计划并实施，且生活饮用水储水设施每半年清洗消毒不应少于1 次</w:t>
            </w:r>
            <w:r>
              <w:rPr>
                <w:rFonts w:hint="eastAsia" w:ascii="微软雅黑" w:hAnsi="微软雅黑" w:eastAsia="微软雅黑" w:cs="Times New Roman"/>
                <w:color w:val="121212"/>
                <w:sz w:val="27"/>
                <w:szCs w:val="27"/>
                <w:shd w:val="clear" w:color="auto" w:fill="FFFFFF"/>
              </w:rPr>
              <w:t>；</w:t>
            </w:r>
            <w:r>
              <w:rPr>
                <w:rFonts w:ascii="Times New Roman" w:hAnsi="Times New Roman" w:cs="Times New Roman"/>
                <w:sz w:val="20"/>
                <w:szCs w:val="20"/>
              </w:rPr>
              <w:br w:type="textWrapping"/>
            </w:r>
            <w:r>
              <w:rPr>
                <w:rFonts w:ascii="Times New Roman" w:hAnsi="Times New Roman" w:cs="Times New Roman"/>
                <w:sz w:val="20"/>
                <w:szCs w:val="20"/>
              </w:rPr>
              <w:t>​</w:t>
            </w:r>
          </w:p>
          <w:p>
            <w:pPr>
              <w:pStyle w:val="11"/>
              <w:shd w:val="clear" w:color="auto" w:fill="FFFFFF"/>
              <w:spacing w:before="336" w:beforeAutospacing="0" w:after="336" w:afterAutospacing="0"/>
              <w:rPr>
                <w:rFonts w:ascii="微软雅黑" w:hAnsi="微软雅黑" w:eastAsia="微软雅黑" w:cs="Times New Roman"/>
                <w:color w:val="121212"/>
                <w:sz w:val="27"/>
                <w:szCs w:val="27"/>
              </w:rPr>
            </w:pPr>
            <w:r>
              <w:rPr>
                <w:rFonts w:hint="eastAsia" w:ascii="微软雅黑" w:hAnsi="微软雅黑" w:eastAsia="微软雅黑" w:cs="Times New Roman"/>
                <w:b/>
                <w:bCs/>
                <w:color w:val="121212"/>
                <w:sz w:val="27"/>
                <w:szCs w:val="27"/>
              </w:rPr>
              <w:t>1 使用符合国家现行有关标准要求的成品水箱；</w:t>
            </w:r>
          </w:p>
          <w:p>
            <w:pPr>
              <w:pStyle w:val="11"/>
              <w:shd w:val="clear" w:color="auto" w:fill="FFFFFF"/>
              <w:spacing w:before="336" w:beforeAutospacing="0" w:after="336" w:afterAutospacing="0"/>
              <w:rPr>
                <w:rFonts w:hint="eastAsia" w:ascii="微软雅黑" w:hAnsi="微软雅黑" w:eastAsia="微软雅黑" w:cs="Times New Roman"/>
                <w:color w:val="121212"/>
                <w:sz w:val="27"/>
                <w:szCs w:val="27"/>
              </w:rPr>
            </w:pPr>
            <w:r>
              <w:rPr>
                <w:rFonts w:hint="eastAsia" w:ascii="微软雅黑" w:hAnsi="微软雅黑" w:eastAsia="微软雅黑" w:cs="Times New Roman"/>
                <w:b/>
                <w:bCs/>
                <w:color w:val="121212"/>
                <w:sz w:val="27"/>
                <w:szCs w:val="27"/>
              </w:rPr>
              <w:t>2 采取保证储水不变质的措施；</w:t>
            </w:r>
          </w:p>
          <w:p>
            <w:r>
              <w:rPr>
                <w:rFonts w:ascii="Times New Roman" w:hAnsi="Times New Roman" w:cs="Times New Roman"/>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）给排水竣工图纸及说明文件；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）水处理设备竣工图及运营使用情况；</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）各类用水水质检测报告。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75"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给排水设计图及设计说明：6给排水设计/ 建筑施工图.dwg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5.2.4 生活饮用水水池、水箱等储水设施采取措施满足卫生要求。（9分）</w:t>
      </w:r>
    </w:p>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tbl>
      <w:tblPr>
        <w:tblStyle w:val="13"/>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4364"/>
        <w:gridCol w:w="1575"/>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noWrap w:val="0"/>
            <w:vAlign w:val="top"/>
          </w:tcPr>
          <w:p>
            <w:pPr>
              <w:jc w:val="center"/>
              <w:rPr>
                <w:rFonts w:ascii="Times New Roman" w:hAnsi="Times New Roman" w:cs="Times New Roman"/>
                <w:szCs w:val="21"/>
              </w:rPr>
            </w:pPr>
            <w:r>
              <w:rPr>
                <w:rFonts w:ascii="Times New Roman" w:hAnsi="Times New Roman" w:cs="Times New Roman"/>
                <w:szCs w:val="21"/>
              </w:rPr>
              <w:t>序号</w:t>
            </w:r>
          </w:p>
        </w:tc>
        <w:tc>
          <w:tcPr>
            <w:tcW w:w="2626" w:type="pct"/>
            <w:noWrap w:val="0"/>
            <w:vAlign w:val="top"/>
          </w:tcPr>
          <w:p>
            <w:pPr>
              <w:jc w:val="center"/>
              <w:rPr>
                <w:rFonts w:ascii="Times New Roman" w:hAnsi="Times New Roman" w:cs="Times New Roman"/>
                <w:szCs w:val="21"/>
              </w:rPr>
            </w:pPr>
            <w:r>
              <w:rPr>
                <w:rFonts w:ascii="Times New Roman" w:hAnsi="Times New Roman" w:cs="Times New Roman"/>
                <w:szCs w:val="21"/>
              </w:rPr>
              <w:t>评价内容</w:t>
            </w:r>
          </w:p>
        </w:tc>
        <w:tc>
          <w:tcPr>
            <w:tcW w:w="948" w:type="pct"/>
            <w:noWrap w:val="0"/>
            <w:vAlign w:val="top"/>
          </w:tcPr>
          <w:p>
            <w:pPr>
              <w:jc w:val="center"/>
              <w:rPr>
                <w:rFonts w:ascii="Times New Roman" w:hAnsi="Times New Roman" w:cs="Times New Roman"/>
                <w:szCs w:val="21"/>
              </w:rPr>
            </w:pPr>
            <w:r>
              <w:rPr>
                <w:rFonts w:ascii="Times New Roman" w:hAnsi="Times New Roman" w:cs="Times New Roman"/>
                <w:szCs w:val="21"/>
              </w:rPr>
              <w:t>评价分值</w:t>
            </w:r>
          </w:p>
        </w:tc>
        <w:tc>
          <w:tcPr>
            <w:tcW w:w="987" w:type="pct"/>
            <w:noWrap w:val="0"/>
            <w:vAlign w:val="top"/>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noWrap w:val="0"/>
            <w:vAlign w:val="top"/>
          </w:tcPr>
          <w:p>
            <w:pPr>
              <w:jc w:val="center"/>
              <w:rPr>
                <w:rFonts w:ascii="Times New Roman" w:hAnsi="Times New Roman" w:cs="Times New Roman"/>
                <w:szCs w:val="21"/>
              </w:rPr>
            </w:pPr>
            <w:r>
              <w:rPr>
                <w:rFonts w:ascii="Times New Roman" w:hAnsi="Times New Roman" w:cs="Times New Roman"/>
                <w:szCs w:val="21"/>
              </w:rPr>
              <w:t>1</w:t>
            </w:r>
          </w:p>
        </w:tc>
        <w:tc>
          <w:tcPr>
            <w:tcW w:w="2626" w:type="pct"/>
            <w:noWrap w:val="0"/>
            <w:vAlign w:val="top"/>
          </w:tcPr>
          <w:p>
            <w:pPr>
              <w:rPr>
                <w:rFonts w:ascii="Times New Roman" w:hAnsi="Times New Roman" w:cs="Times New Roman"/>
                <w:szCs w:val="21"/>
              </w:rPr>
            </w:pPr>
            <w:r>
              <w:rPr>
                <w:rFonts w:hint="eastAsia" w:ascii="Times New Roman" w:hAnsi="Times New Roman" w:cs="Times New Roman"/>
                <w:szCs w:val="21"/>
              </w:rPr>
              <w:t>使用</w:t>
            </w:r>
            <w:r>
              <w:rPr>
                <w:rFonts w:ascii="Times New Roman" w:hAnsi="Times New Roman" w:cs="Times New Roman"/>
                <w:szCs w:val="21"/>
              </w:rPr>
              <w:t>符合国家现行标准要求的成品</w:t>
            </w:r>
            <w:r>
              <w:rPr>
                <w:rFonts w:hint="eastAsia" w:ascii="Times New Roman" w:hAnsi="Times New Roman" w:cs="Times New Roman"/>
                <w:szCs w:val="21"/>
              </w:rPr>
              <w:t>水箱</w:t>
            </w:r>
          </w:p>
        </w:tc>
        <w:tc>
          <w:tcPr>
            <w:tcW w:w="948"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4</w:t>
            </w:r>
          </w:p>
        </w:tc>
        <w:tc>
          <w:tcPr>
            <w:tcW w:w="987"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noWrap w:val="0"/>
            <w:vAlign w:val="top"/>
          </w:tcPr>
          <w:p>
            <w:pPr>
              <w:jc w:val="center"/>
              <w:rPr>
                <w:rFonts w:ascii="Times New Roman" w:hAnsi="Times New Roman" w:cs="Times New Roman"/>
                <w:szCs w:val="21"/>
              </w:rPr>
            </w:pPr>
            <w:r>
              <w:rPr>
                <w:rFonts w:ascii="Times New Roman" w:hAnsi="Times New Roman" w:cs="Times New Roman"/>
                <w:szCs w:val="21"/>
              </w:rPr>
              <w:t>2</w:t>
            </w:r>
          </w:p>
        </w:tc>
        <w:tc>
          <w:tcPr>
            <w:tcW w:w="2626" w:type="pct"/>
            <w:noWrap w:val="0"/>
            <w:vAlign w:val="top"/>
          </w:tcPr>
          <w:p>
            <w:pPr>
              <w:rPr>
                <w:rFonts w:ascii="Times New Roman" w:hAnsi="Times New Roman" w:cs="Times New Roman"/>
                <w:szCs w:val="21"/>
              </w:rPr>
            </w:pPr>
            <w:r>
              <w:rPr>
                <w:rFonts w:hint="eastAsia" w:ascii="Times New Roman" w:hAnsi="Times New Roman" w:cs="Times New Roman"/>
                <w:szCs w:val="21"/>
              </w:rPr>
              <w:t>采取保证储水</w:t>
            </w:r>
            <w:r>
              <w:rPr>
                <w:rFonts w:ascii="Times New Roman" w:hAnsi="Times New Roman" w:cs="Times New Roman"/>
                <w:szCs w:val="21"/>
              </w:rPr>
              <w:t>不变质</w:t>
            </w:r>
            <w:r>
              <w:rPr>
                <w:rFonts w:hint="eastAsia" w:ascii="Times New Roman" w:hAnsi="Times New Roman" w:cs="Times New Roman"/>
                <w:szCs w:val="21"/>
              </w:rPr>
              <w:t>的</w:t>
            </w:r>
            <w:r>
              <w:rPr>
                <w:rFonts w:ascii="Times New Roman" w:hAnsi="Times New Roman" w:cs="Times New Roman"/>
                <w:szCs w:val="21"/>
              </w:rPr>
              <w:t>措施</w:t>
            </w:r>
          </w:p>
        </w:tc>
        <w:tc>
          <w:tcPr>
            <w:tcW w:w="948"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5</w:t>
            </w:r>
          </w:p>
        </w:tc>
        <w:tc>
          <w:tcPr>
            <w:tcW w:w="987"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3</w:t>
            </w:r>
          </w:p>
        </w:tc>
        <w:tc>
          <w:tcPr>
            <w:tcW w:w="2626" w:type="pct"/>
            <w:noWrap w:val="0"/>
            <w:vAlign w:val="top"/>
          </w:tcPr>
          <w:p>
            <w:pPr>
              <w:rPr>
                <w:rFonts w:ascii="Times New Roman" w:hAnsi="Times New Roman" w:cs="Times New Roman"/>
                <w:szCs w:val="21"/>
              </w:rPr>
            </w:pPr>
            <w:r>
              <w:rPr>
                <w:rFonts w:hint="eastAsia" w:ascii="Times New Roman" w:hAnsi="Times New Roman" w:cs="Times New Roman"/>
                <w:szCs w:val="21"/>
              </w:rPr>
              <w:t>未设置生活饮用水储水设施直接得分</w:t>
            </w:r>
          </w:p>
        </w:tc>
        <w:tc>
          <w:tcPr>
            <w:tcW w:w="948"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9</w:t>
            </w:r>
          </w:p>
        </w:tc>
        <w:tc>
          <w:tcPr>
            <w:tcW w:w="987"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5" w:type="pct"/>
            <w:gridSpan w:val="2"/>
            <w:noWrap w:val="0"/>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948" w:type="pct"/>
            <w:noWrap w:val="0"/>
            <w:vAlign w:val="top"/>
          </w:tcPr>
          <w:p>
            <w:pPr>
              <w:jc w:val="center"/>
              <w:rPr>
                <w:rFonts w:ascii="Times New Roman" w:hAnsi="Times New Roman" w:cs="Times New Roman"/>
                <w:szCs w:val="21"/>
              </w:rPr>
            </w:pPr>
            <w:r>
              <w:rPr>
                <w:rFonts w:hint="eastAsia" w:ascii="Times New Roman" w:hAnsi="Times New Roman" w:cs="Times New Roman"/>
                <w:szCs w:val="21"/>
              </w:rPr>
              <w:t>9</w:t>
            </w:r>
          </w:p>
        </w:tc>
        <w:tc>
          <w:tcPr>
            <w:tcW w:w="987" w:type="pct"/>
            <w:noWrap w:val="0"/>
            <w:vAlign w:val="center"/>
          </w:tcPr>
          <w:p>
            <w:pPr>
              <w:jc w:val="center"/>
              <w:rPr>
                <w:rFonts w:ascii="Times New Roman" w:hAnsi="Times New Roman" w:cs="Times New Roman"/>
                <w:szCs w:val="21"/>
              </w:rPr>
            </w:pPr>
            <w:r>
              <w:rPr>
                <w:rFonts w:hint="eastAsia" w:ascii="Times New Roman" w:hAnsi="Times New Roman" w:cs="Times New Roman"/>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2 评价要点</w:t>
      </w:r>
    </w:p>
    <w:tbl>
      <w:tblPr>
        <w:tblStyle w:val="13"/>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noWrap w:val="0"/>
            <w:vAlign w:val="top"/>
          </w:tcPr>
          <w:p>
            <w:pPr>
              <w:jc w:val="center"/>
              <w:rPr>
                <w:rFonts w:ascii="Times New Roman" w:hAnsi="Times New Roman" w:cs="Times New Roman"/>
                <w:bCs/>
                <w:szCs w:val="21"/>
              </w:rPr>
            </w:pPr>
            <w:r>
              <w:rPr>
                <w:rFonts w:ascii="Times New Roman" w:hAnsi="Times New Roman" w:cs="Times New Roman"/>
                <w:bCs/>
                <w:szCs w:val="21"/>
              </w:rPr>
              <w:t>类型</w:t>
            </w:r>
          </w:p>
        </w:tc>
        <w:tc>
          <w:tcPr>
            <w:tcW w:w="2576" w:type="pct"/>
            <w:noWrap w:val="0"/>
            <w:vAlign w:val="top"/>
          </w:tcPr>
          <w:p>
            <w:pPr>
              <w:jc w:val="center"/>
              <w:rPr>
                <w:rFonts w:ascii="Times New Roman" w:hAnsi="Times New Roman" w:cs="Times New Roman"/>
                <w:bCs/>
                <w:szCs w:val="21"/>
              </w:rPr>
            </w:pPr>
            <w:r>
              <w:rPr>
                <w:rFonts w:ascii="Times New Roman" w:hAnsi="Times New Roman" w:cs="Times New Roman"/>
                <w:bCs/>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noWrap w:val="0"/>
            <w:vAlign w:val="top"/>
          </w:tcPr>
          <w:p>
            <w:pPr>
              <w:rPr>
                <w:rFonts w:ascii="Times New Roman" w:hAnsi="Times New Roman" w:cs="Times New Roman"/>
                <w:szCs w:val="21"/>
              </w:rPr>
            </w:pPr>
            <w:r>
              <w:rPr>
                <w:rFonts w:hint="eastAsia" w:ascii="Times New Roman" w:hAnsi="Times New Roman" w:cs="Times New Roman"/>
                <w:szCs w:val="21"/>
              </w:rPr>
              <w:t>是否</w:t>
            </w:r>
            <w:r>
              <w:rPr>
                <w:rFonts w:ascii="Times New Roman" w:hAnsi="Times New Roman" w:cs="Times New Roman"/>
                <w:szCs w:val="21"/>
              </w:rPr>
              <w:t>使用成品水箱</w:t>
            </w:r>
          </w:p>
        </w:tc>
        <w:tc>
          <w:tcPr>
            <w:tcW w:w="2576" w:type="pct"/>
            <w:noWrap w:val="0"/>
            <w:vAlign w:val="top"/>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noWrap w:val="0"/>
            <w:vAlign w:val="top"/>
          </w:tcPr>
          <w:p>
            <w:pPr>
              <w:rPr>
                <w:rFonts w:ascii="Times New Roman" w:hAnsi="Times New Roman" w:cs="Times New Roman"/>
                <w:szCs w:val="21"/>
              </w:rPr>
            </w:pPr>
            <w:r>
              <w:rPr>
                <w:rFonts w:hint="eastAsia" w:ascii="Times New Roman" w:hAnsi="Times New Roman" w:cs="Times New Roman"/>
                <w:szCs w:val="21"/>
              </w:rPr>
              <w:t>成品水箱</w:t>
            </w:r>
            <w:r>
              <w:rPr>
                <w:rFonts w:ascii="Times New Roman" w:hAnsi="Times New Roman" w:cs="Times New Roman"/>
                <w:szCs w:val="21"/>
              </w:rPr>
              <w:t>的技术参数</w:t>
            </w:r>
          </w:p>
        </w:tc>
        <w:tc>
          <w:tcPr>
            <w:tcW w:w="2576" w:type="pct"/>
            <w:noWrap w:val="0"/>
            <w:vAlign w:val="top"/>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noWrap w:val="0"/>
            <w:vAlign w:val="top"/>
          </w:tcPr>
          <w:p>
            <w:pPr>
              <w:rPr>
                <w:rFonts w:ascii="Times New Roman" w:hAnsi="Times New Roman" w:cs="Times New Roman"/>
                <w:szCs w:val="21"/>
              </w:rPr>
            </w:pPr>
            <w:r>
              <w:rPr>
                <w:rFonts w:hint="eastAsia" w:ascii="Times New Roman" w:hAnsi="Times New Roman" w:cs="Times New Roman"/>
                <w:szCs w:val="21"/>
              </w:rPr>
              <w:t>成品水箱</w:t>
            </w:r>
            <w:r>
              <w:rPr>
                <w:rFonts w:ascii="Times New Roman" w:hAnsi="Times New Roman" w:cs="Times New Roman"/>
                <w:szCs w:val="21"/>
              </w:rPr>
              <w:t>是否符合标准</w:t>
            </w:r>
          </w:p>
        </w:tc>
        <w:tc>
          <w:tcPr>
            <w:tcW w:w="2576" w:type="pct"/>
            <w:noWrap w:val="0"/>
            <w:vAlign w:val="top"/>
          </w:tcPr>
          <w:p>
            <w:pP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请对保证储水不变质的措施进行</w:t>
      </w:r>
      <w:r>
        <w:rPr>
          <w:rFonts w:ascii="Times New Roman" w:hAnsi="Times New Roman" w:cs="Times New Roman"/>
          <w:szCs w:val="21"/>
        </w:rPr>
        <w:t>简要说明</w:t>
      </w:r>
      <w:r>
        <w:rPr>
          <w:rFonts w:hint="eastAsia" w:ascii="Times New Roman" w:hAnsi="Times New Roman"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pP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）给排水</w:t>
      </w:r>
      <w:r>
        <w:rPr>
          <w:rFonts w:ascii="Times New Roman" w:hAnsi="Times New Roman" w:cs="Times New Roman"/>
          <w:szCs w:val="21"/>
        </w:rPr>
        <w:t>竣工图纸，</w:t>
      </w:r>
      <w:r>
        <w:rPr>
          <w:rFonts w:hint="eastAsia" w:ascii="Times New Roman" w:hAnsi="Times New Roman" w:cs="Times New Roman"/>
          <w:szCs w:val="21"/>
        </w:rPr>
        <w:t>含</w:t>
      </w:r>
      <w:r>
        <w:rPr>
          <w:rFonts w:ascii="Times New Roman" w:hAnsi="Times New Roman" w:cs="Times New Roman"/>
          <w:szCs w:val="21"/>
        </w:rPr>
        <w:t>设计说明、储水设施详图、设备材料表</w:t>
      </w:r>
      <w:r>
        <w:rPr>
          <w:rFonts w:hint="eastAsia"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）生活饮用水储水设施设备材料采购清单、成品水箱产品说明书；</w:t>
      </w:r>
    </w:p>
    <w:p>
      <w:pPr>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）生活饮用水储水设施清洗消毒后的水质检测报告及清洗消毒记录。</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5.2.5 所有给排水管道、设备、设施设置明确、清晰的永久性标识。（8分）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30"/>
        <w:gridCol w:w="4357"/>
        <w:gridCol w:w="1573"/>
        <w:gridCol w:w="1331"/>
      </w:tblGrid>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5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272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设置明确、清晰的永久性标识</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8</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8</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请对永久性标识的设置情况进行简要说明：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b/>
                <w:bCs/>
                <w:color w:val="121212"/>
                <w:sz w:val="27"/>
                <w:szCs w:val="27"/>
                <w:shd w:val="clear" w:color="auto" w:fill="FFFFFF"/>
              </w:rPr>
              <w:t>非传统水源管道和设备应设置明确、清洗的永久性标识</w:t>
            </w:r>
            <w:r>
              <w:rPr>
                <w:rFonts w:hint="eastAsia"/>
                <w:sz w:val="20"/>
                <w:szCs w:val="20"/>
              </w:rPr>
              <w:br w:type="textWrapping"/>
            </w:r>
            <w:r>
              <w:rPr>
                <w:rFonts w:hint="eastAsia" w:ascii="MS Mincho" w:hAnsi="MS Mincho" w:eastAsia="MS Mincho" w:cs="MS Mincho"/>
                <w:sz w:val="20"/>
                <w:szCs w:val="20"/>
              </w:rPr>
              <w:t>​</w:t>
            </w:r>
            <w:r>
              <w:rPr>
                <w:rFonts w:hint="eastAsia" w:ascii="微软雅黑" w:hAnsi="微软雅黑" w:eastAsia="微软雅黑"/>
                <w:b/>
                <w:bCs/>
                <w:color w:val="121212"/>
                <w:sz w:val="27"/>
                <w:szCs w:val="27"/>
                <w:shd w:val="clear" w:color="auto" w:fill="FFFFFF"/>
              </w:rPr>
              <w:t>所有给排水管道、设备、设施设置明确、清晰的永久性标识</w:t>
            </w:r>
            <w:r>
              <w:rPr>
                <w:rFonts w:hint="eastAsia"/>
                <w:sz w:val="20"/>
                <w:szCs w:val="20"/>
              </w:rPr>
              <w:br w:type="textWrapping"/>
            </w:r>
            <w:r>
              <w:rPr>
                <w:rFonts w:hint="eastAsia" w:ascii="MS Mincho" w:hAnsi="MS Mincho" w:eastAsia="MS Mincho" w:cs="MS Mincho"/>
                <w:sz w:val="20"/>
                <w:szCs w:val="20"/>
              </w:rPr>
              <w:t>​</w:t>
            </w:r>
            <w:r>
              <w:rPr>
                <w:rFonts w:hint="eastAsia" w:ascii="微软雅黑" w:hAnsi="微软雅黑" w:eastAsia="微软雅黑"/>
                <w:color w:val="121212"/>
                <w:sz w:val="27"/>
                <w:szCs w:val="27"/>
                <w:shd w:val="clear" w:color="auto" w:fill="FFFFFF"/>
              </w:rPr>
              <w:t>管道刷漆、色环、标识文字、大小、颜色、间距</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）给排水竣工图、管道标识设置说明；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）设备、设施相关标识设置说明；</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）现场照片。</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给排水给排水专业图纸及设计说明：6给排水设计/ 建筑施工图.dwg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5.2.6 采取措施优化主要功能房间的室内声环境。（8分）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734" w:type="pct"/>
        <w:jc w:val="center"/>
        <w:tblLayout w:type="autofit"/>
        <w:tblCellMar>
          <w:top w:w="0" w:type="dxa"/>
          <w:left w:w="0" w:type="dxa"/>
          <w:bottom w:w="0" w:type="dxa"/>
          <w:right w:w="0" w:type="dxa"/>
        </w:tblCellMar>
      </w:tblPr>
      <w:tblGrid>
        <w:gridCol w:w="713"/>
        <w:gridCol w:w="1331"/>
        <w:gridCol w:w="3079"/>
        <w:gridCol w:w="1572"/>
        <w:gridCol w:w="1360"/>
      </w:tblGrid>
      <w:tr>
        <w:tblPrEx>
          <w:tblCellMar>
            <w:top w:w="0" w:type="dxa"/>
            <w:left w:w="0" w:type="dxa"/>
            <w:bottom w:w="0" w:type="dxa"/>
            <w:right w:w="0" w:type="dxa"/>
          </w:tblCellMar>
        </w:tblPrEx>
        <w:trPr>
          <w:jc w:val="center"/>
        </w:trPr>
        <w:tc>
          <w:tcPr>
            <w:tcW w:w="44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4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44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826"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室内噪声级</w:t>
            </w:r>
          </w:p>
        </w:tc>
        <w:tc>
          <w:tcPr>
            <w:tcW w:w="19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达到低限标准限值和高要求标准限值的平均值</w:t>
            </w: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84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8</w:t>
            </w:r>
          </w:p>
        </w:tc>
      </w:tr>
      <w:tr>
        <w:tblPrEx>
          <w:tblCellMar>
            <w:top w:w="0" w:type="dxa"/>
            <w:left w:w="0" w:type="dxa"/>
            <w:bottom w:w="0" w:type="dxa"/>
            <w:right w:w="0" w:type="dxa"/>
          </w:tblCellMar>
        </w:tblPrEx>
        <w:trPr>
          <w:jc w:val="center"/>
        </w:trPr>
        <w:tc>
          <w:tcPr>
            <w:tcW w:w="44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9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达到高要求标准限值</w:t>
            </w: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请简要说明建筑室内、外主要噪声源类型，传播途径以及采取的降噪措施：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01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本项目主要噪声室内噪声来源：为室内空调设备、卫生器具、管道等，可通过给设备添加减震措施避免噪声传播。</w:t>
            </w:r>
          </w:p>
          <w:p>
            <w:pPr>
              <w:pStyle w:val="11"/>
              <w:spacing w:before="0" w:beforeAutospacing="0" w:after="0" w:afterAutospacing="0"/>
              <w:ind w:firstLine="400"/>
            </w:pPr>
            <w:r>
              <w:rPr>
                <w:rFonts w:hint="eastAsia"/>
                <w:sz w:val="20"/>
                <w:szCs w:val="20"/>
              </w:rPr>
              <w:t> 室外噪声源主要为公路的交通噪声。室内噪声源主要为生活噪声。传播途径：空气传播、楼板共振。降噪措施：经过距离和绿化、围护结构衰减，达到规范要求。</w:t>
            </w:r>
          </w:p>
          <w:p>
            <w:pPr>
              <w:pStyle w:val="11"/>
              <w:spacing w:before="0" w:beforeAutospacing="0" w:after="0" w:afterAutospacing="0"/>
              <w:ind w:firstLine="400"/>
            </w:pPr>
            <w:r>
              <w:rPr>
                <w:rFonts w:hint="eastAsia"/>
                <w:sz w:val="20"/>
                <w:szCs w:val="20"/>
              </w:rPr>
              <w:t>围护结构降噪措施：内墙为</w:t>
            </w:r>
            <w:r>
              <w:rPr>
                <w:rFonts w:ascii="Times New Roman" w:hAnsi="Times New Roman" w:cs="Times New Roman"/>
                <w:sz w:val="20"/>
                <w:szCs w:val="20"/>
              </w:rPr>
              <w:t>200</w:t>
            </w:r>
            <w:r>
              <w:rPr>
                <w:rFonts w:hint="eastAsia"/>
                <w:sz w:val="20"/>
                <w:szCs w:val="20"/>
              </w:rPr>
              <w:t>厚钢筋混凝土墙。楼板为</w:t>
            </w:r>
            <w:r>
              <w:rPr>
                <w:rFonts w:ascii="Times New Roman" w:hAnsi="Times New Roman" w:cs="Times New Roman"/>
                <w:sz w:val="20"/>
                <w:szCs w:val="20"/>
              </w:rPr>
              <w:t>100</w:t>
            </w:r>
            <w:r>
              <w:rPr>
                <w:rFonts w:hint="eastAsia"/>
                <w:sz w:val="20"/>
                <w:szCs w:val="20"/>
              </w:rPr>
              <w:t>厚钢筋混凝土板、豆石混凝土、面层。室外噪声的降噪措施主要依靠外墙和外门窗的隔断。外墙采用</w:t>
            </w:r>
            <w:r>
              <w:rPr>
                <w:rFonts w:ascii="Times New Roman" w:hAnsi="Times New Roman" w:cs="Times New Roman"/>
                <w:sz w:val="20"/>
                <w:szCs w:val="20"/>
              </w:rPr>
              <w:t>200</w:t>
            </w:r>
            <w:r>
              <w:rPr>
                <w:rFonts w:hint="eastAsia"/>
                <w:sz w:val="20"/>
                <w:szCs w:val="20"/>
              </w:rPr>
              <w:t>厚钢筋混凝土墙，外门窗为断桥铝框，玻璃采用</w:t>
            </w:r>
            <w:r>
              <w:rPr>
                <w:rFonts w:ascii="Times New Roman" w:hAnsi="Times New Roman" w:cs="Times New Roman"/>
                <w:sz w:val="20"/>
                <w:szCs w:val="20"/>
              </w:rPr>
              <w:t>5+12A+5 +12A+5</w:t>
            </w:r>
            <w:r>
              <w:rPr>
                <w:rFonts w:hint="eastAsia"/>
                <w:sz w:val="20"/>
                <w:szCs w:val="20"/>
              </w:rPr>
              <w:t>，很好的阻断室外噪声的传播。车辆进出禁止鸣笛、减速慢行。为提高楼板撞击声隔声性能楼板增加挤塑聚苯板。</w:t>
            </w:r>
          </w:p>
        </w:tc>
      </w:tr>
    </w:tbl>
    <w:p>
      <w:pPr>
        <w:pStyle w:val="11"/>
        <w:spacing w:before="0" w:beforeAutospacing="0" w:after="0" w:afterAutospacing="0"/>
        <w:jc w:val="both"/>
      </w:pPr>
      <w:r>
        <w:rPr>
          <w:rFonts w:hint="eastAsia"/>
          <w:sz w:val="21"/>
          <w:szCs w:val="21"/>
        </w:rPr>
        <w:t>主要功能房间室内噪声值列表：</w:t>
      </w:r>
    </w:p>
    <w:tbl>
      <w:tblPr>
        <w:tblStyle w:val="13"/>
        <w:tblW w:w="9415" w:type="dxa"/>
        <w:jc w:val="center"/>
        <w:tblLayout w:type="autofit"/>
        <w:tblCellMar>
          <w:top w:w="0" w:type="dxa"/>
          <w:left w:w="0" w:type="dxa"/>
          <w:bottom w:w="0" w:type="dxa"/>
          <w:right w:w="0" w:type="dxa"/>
        </w:tblCellMar>
      </w:tblPr>
      <w:tblGrid>
        <w:gridCol w:w="1854"/>
        <w:gridCol w:w="2107"/>
        <w:gridCol w:w="2882"/>
        <w:gridCol w:w="2572"/>
      </w:tblGrid>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主要功能房间</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室内噪声值</w:t>
            </w:r>
            <w:r>
              <w:rPr>
                <w:rFonts w:ascii="Calibri" w:hAnsi="Calibri"/>
                <w:sz w:val="21"/>
                <w:szCs w:val="21"/>
              </w:rPr>
              <w:t>[dB(A)]</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高、低限值平均值</w:t>
            </w:r>
            <w:r>
              <w:rPr>
                <w:rFonts w:ascii="Calibri" w:hAnsi="Calibri"/>
                <w:sz w:val="21"/>
                <w:szCs w:val="21"/>
              </w:rPr>
              <w:t>[dB(A)]</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高要求标准限值</w:t>
            </w:r>
            <w:r>
              <w:rPr>
                <w:rFonts w:ascii="Calibri" w:hAnsi="Calibri"/>
                <w:sz w:val="21"/>
                <w:szCs w:val="21"/>
              </w:rPr>
              <w:t>[dB(A)]</w:t>
            </w:r>
          </w:p>
        </w:tc>
      </w:tr>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活动室</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40</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55 </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45 </w:t>
            </w:r>
          </w:p>
        </w:tc>
      </w:tr>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多功能厅</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40 </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55 </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45</w:t>
            </w:r>
          </w:p>
        </w:tc>
      </w:tr>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办公室</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40</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55</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45 </w:t>
            </w:r>
          </w:p>
        </w:tc>
      </w:tr>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6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3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300" w:lineRule="atLeast"/>
        <w:jc w:val="both"/>
      </w:pPr>
      <w:r>
        <w:rPr>
          <w:rFonts w:hint="eastAsia"/>
          <w:sz w:val="21"/>
          <w:szCs w:val="21"/>
        </w:rPr>
        <w:t>提交材料及要求：</w:t>
      </w:r>
    </w:p>
    <w:p>
      <w:pPr>
        <w:pStyle w:val="11"/>
        <w:spacing w:before="0" w:beforeAutospacing="0" w:after="0" w:afterAutospacing="0" w:line="300" w:lineRule="atLeast"/>
        <w:jc w:val="both"/>
      </w:pPr>
      <w:r>
        <w:rPr>
          <w:rFonts w:ascii="Times New Roman" w:hAnsi="Times New Roman" w:cs="Times New Roman"/>
          <w:sz w:val="21"/>
          <w:szCs w:val="21"/>
        </w:rPr>
        <w:t>1</w:t>
      </w:r>
      <w:r>
        <w:rPr>
          <w:rFonts w:hint="eastAsia"/>
          <w:sz w:val="21"/>
          <w:szCs w:val="21"/>
        </w:rPr>
        <w:t>）建筑竣工图、建筑围护结构的构造说明、施工大样；</w:t>
      </w:r>
    </w:p>
    <w:p>
      <w:pPr>
        <w:pStyle w:val="11"/>
        <w:spacing w:before="0" w:beforeAutospacing="0" w:after="0" w:afterAutospacing="0" w:line="300" w:lineRule="atLeast"/>
        <w:jc w:val="both"/>
      </w:pPr>
      <w:r>
        <w:rPr>
          <w:rFonts w:ascii="Times New Roman" w:hAnsi="Times New Roman" w:cs="Times New Roman"/>
          <w:sz w:val="21"/>
          <w:szCs w:val="21"/>
        </w:rPr>
        <w:t>2</w:t>
      </w:r>
      <w:r>
        <w:rPr>
          <w:rFonts w:hint="eastAsia"/>
          <w:sz w:val="21"/>
          <w:szCs w:val="21"/>
        </w:rPr>
        <w:t>）构件隔声性能检测报告；</w:t>
      </w:r>
    </w:p>
    <w:p>
      <w:pPr>
        <w:pStyle w:val="11"/>
        <w:spacing w:before="0" w:beforeAutospacing="0" w:after="0" w:afterAutospacing="0" w:line="300" w:lineRule="atLeast"/>
        <w:jc w:val="both"/>
      </w:pPr>
      <w:r>
        <w:rPr>
          <w:rFonts w:ascii="Times New Roman" w:hAnsi="Times New Roman" w:cs="Times New Roman"/>
          <w:sz w:val="21"/>
          <w:szCs w:val="21"/>
        </w:rPr>
        <w:t>3</w:t>
      </w:r>
      <w:r>
        <w:rPr>
          <w:rFonts w:hint="eastAsia"/>
          <w:sz w:val="21"/>
          <w:szCs w:val="21"/>
        </w:rPr>
        <w:t>）噪声分析报告，（室外噪声源类型、场地环境噪声测试结果以及防护降噪措施等）；</w:t>
      </w:r>
    </w:p>
    <w:p>
      <w:pPr>
        <w:pStyle w:val="11"/>
        <w:spacing w:before="0" w:beforeAutospacing="0" w:after="0" w:afterAutospacing="0" w:line="300" w:lineRule="atLeast"/>
        <w:jc w:val="both"/>
      </w:pPr>
      <w:r>
        <w:rPr>
          <w:rFonts w:ascii="Calibri" w:hAnsi="Calibri"/>
          <w:sz w:val="21"/>
          <w:szCs w:val="21"/>
        </w:rPr>
        <w:t>4</w:t>
      </w:r>
      <w:r>
        <w:rPr>
          <w:rFonts w:hint="eastAsia"/>
          <w:sz w:val="21"/>
          <w:szCs w:val="21"/>
        </w:rPr>
        <w:t>）室内噪声级检测报告（典型时间、主要功能房间）。</w:t>
      </w:r>
    </w:p>
    <w:p>
      <w:pPr>
        <w:pStyle w:val="11"/>
        <w:spacing w:before="0" w:beforeAutospacing="0" w:after="0" w:afterAutospacing="0" w:line="300" w:lineRule="atLeast"/>
        <w:jc w:val="both"/>
      </w:pPr>
      <w:r>
        <w:rPr>
          <w:rFonts w:ascii="Times New Roman" w:hAnsi="Times New Roman" w:cs="Times New Roman"/>
          <w:sz w:val="21"/>
          <w:szCs w:val="21"/>
        </w:rPr>
        <w:t> </w:t>
      </w:r>
    </w:p>
    <w:p>
      <w:pPr>
        <w:pStyle w:val="11"/>
        <w:spacing w:before="0" w:beforeAutospacing="0" w:after="0" w:afterAutospacing="0" w:line="300" w:lineRule="atLeast"/>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079"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5.2.7 主要功能房间的隔声性能良好。（10分）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415" w:type="dxa"/>
        <w:jc w:val="center"/>
        <w:tblLayout w:type="autofit"/>
        <w:tblCellMar>
          <w:top w:w="0" w:type="dxa"/>
          <w:left w:w="0" w:type="dxa"/>
          <w:bottom w:w="0" w:type="dxa"/>
          <w:right w:w="0" w:type="dxa"/>
        </w:tblCellMar>
      </w:tblPr>
      <w:tblGrid>
        <w:gridCol w:w="730"/>
        <w:gridCol w:w="1753"/>
        <w:gridCol w:w="3736"/>
        <w:gridCol w:w="1749"/>
        <w:gridCol w:w="1447"/>
      </w:tblGrid>
      <w:tr>
        <w:tblPrEx>
          <w:tblCellMar>
            <w:top w:w="0" w:type="dxa"/>
            <w:left w:w="0" w:type="dxa"/>
            <w:bottom w:w="0" w:type="dxa"/>
            <w:right w:w="0" w:type="dxa"/>
          </w:tblCellMar>
        </w:tblPrEx>
        <w:trPr>
          <w:trHeight w:val="197" w:hRule="atLeast"/>
          <w:jc w:val="center"/>
        </w:trPr>
        <w:tc>
          <w:tcPr>
            <w:tcW w:w="67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97" w:lineRule="atLeast"/>
              <w:jc w:val="center"/>
            </w:pPr>
            <w:r>
              <w:rPr>
                <w:rFonts w:hint="eastAsia"/>
                <w:sz w:val="21"/>
                <w:szCs w:val="21"/>
              </w:rPr>
              <w:t>序号</w:t>
            </w:r>
          </w:p>
        </w:tc>
        <w:tc>
          <w:tcPr>
            <w:tcW w:w="488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97" w:lineRule="atLeast"/>
              <w:jc w:val="center"/>
            </w:pPr>
            <w:r>
              <w:rPr>
                <w:rFonts w:hint="eastAsia"/>
                <w:sz w:val="21"/>
                <w:szCs w:val="21"/>
              </w:rPr>
              <w:t>评价内容</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97" w:lineRule="atLeast"/>
              <w:jc w:val="center"/>
            </w:pPr>
            <w:r>
              <w:rPr>
                <w:rFonts w:hint="eastAsia"/>
                <w:sz w:val="21"/>
                <w:szCs w:val="21"/>
              </w:rPr>
              <w:t>评价分值</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97" w:lineRule="atLeast"/>
              <w:jc w:val="center"/>
            </w:pPr>
            <w:r>
              <w:rPr>
                <w:rFonts w:hint="eastAsia"/>
                <w:sz w:val="21"/>
                <w:szCs w:val="21"/>
              </w:rPr>
              <w:t>自评得分</w:t>
            </w:r>
          </w:p>
        </w:tc>
      </w:tr>
      <w:tr>
        <w:tblPrEx>
          <w:tblCellMar>
            <w:top w:w="0" w:type="dxa"/>
            <w:left w:w="0" w:type="dxa"/>
            <w:bottom w:w="0" w:type="dxa"/>
            <w:right w:w="0" w:type="dxa"/>
          </w:tblCellMar>
        </w:tblPrEx>
        <w:trPr>
          <w:jc w:val="center"/>
        </w:trPr>
        <w:tc>
          <w:tcPr>
            <w:tcW w:w="67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163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构件及相邻房间之间的空气声隔声性能</w:t>
            </w:r>
          </w:p>
        </w:tc>
        <w:tc>
          <w:tcPr>
            <w:tcW w:w="30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高于低限标准限值和高要求标准限值的平均值</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4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0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高要求标准限值</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67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63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楼板的撞击声隔声性能</w:t>
            </w:r>
          </w:p>
        </w:tc>
        <w:tc>
          <w:tcPr>
            <w:tcW w:w="30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低限标准限值和高要求标准限值的平均值</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4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0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高要求标准限值</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67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88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商业建筑无噪声敏感房间</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不参评</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5782"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6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请简要说明建筑围护结构的构造做法和隔声效果。</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ascii="Arial" w:hAnsi="Arial" w:cs="Arial"/>
                <w:color w:val="222222"/>
                <w:sz w:val="27"/>
                <w:szCs w:val="27"/>
                <w:shd w:val="clear" w:color="auto" w:fill="FFFFFF"/>
              </w:rPr>
              <w:t>空气声隔声和撞击声隔声。墙、板、门、窗和屏障等构件及其组成材料常称为建筑隔声材料，对于入射声波具有较强的反射，使透射声波大大减小，从而起到隔声作用。</w:t>
            </w:r>
            <w:r>
              <w:rPr>
                <w:rFonts w:hint="eastAsia"/>
                <w:sz w:val="20"/>
                <w:szCs w:val="20"/>
              </w:rPr>
              <w:br w:type="textWrapping"/>
            </w:r>
            <w:r>
              <w:rPr>
                <w:rFonts w:hint="eastAsia" w:ascii="MS Mincho" w:hAnsi="MS Mincho" w:eastAsia="MS Mincho" w:cs="MS Mincho"/>
                <w:sz w:val="20"/>
                <w:szCs w:val="20"/>
              </w:rPr>
              <w:t>​</w:t>
            </w:r>
            <w:r>
              <w:rPr>
                <w:rFonts w:ascii="Arial" w:hAnsi="Arial" w:cs="Arial"/>
                <w:color w:val="222222"/>
                <w:sz w:val="27"/>
                <w:szCs w:val="27"/>
                <w:shd w:val="clear" w:color="auto" w:fill="FFFFFF"/>
              </w:rPr>
              <w:t>构件的透射系数越大，则隔声量越小，隔声性能越差；反之，透射系数越小，则隔声量越大，隔声性能越好。对于高声阻、刚性、匀质密实的围护结构，通常越密实的材料对应结构的隔声性能越好。</w:t>
            </w:r>
            <w:r>
              <w:rPr>
                <w:rFonts w:hint="eastAsia" w:ascii="MS Mincho" w:hAnsi="MS Mincho" w:eastAsia="MS Mincho" w:cs="MS Mincho"/>
                <w:sz w:val="20"/>
                <w:szCs w:val="20"/>
              </w:rPr>
              <w:t>​​</w:t>
            </w:r>
          </w:p>
        </w:tc>
      </w:tr>
    </w:tbl>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主要功能房间外墙、隔墙、楼板以及门窗隔声性能列表</w:t>
      </w:r>
    </w:p>
    <w:tbl>
      <w:tblPr>
        <w:tblStyle w:val="13"/>
        <w:tblW w:w="9448" w:type="dxa"/>
        <w:jc w:val="center"/>
        <w:tblLayout w:type="autofit"/>
        <w:tblCellMar>
          <w:top w:w="0" w:type="dxa"/>
          <w:left w:w="0" w:type="dxa"/>
          <w:bottom w:w="0" w:type="dxa"/>
          <w:right w:w="0" w:type="dxa"/>
        </w:tblCellMar>
      </w:tblPr>
      <w:tblGrid>
        <w:gridCol w:w="839"/>
        <w:gridCol w:w="1844"/>
        <w:gridCol w:w="1846"/>
        <w:gridCol w:w="1735"/>
        <w:gridCol w:w="1532"/>
        <w:gridCol w:w="1652"/>
      </w:tblGrid>
      <w:tr>
        <w:tblPrEx>
          <w:tblCellMar>
            <w:top w:w="0" w:type="dxa"/>
            <w:left w:w="0" w:type="dxa"/>
            <w:bottom w:w="0" w:type="dxa"/>
            <w:right w:w="0" w:type="dxa"/>
          </w:tblCellMar>
        </w:tblPrEx>
        <w:trPr>
          <w:trHeight w:val="284" w:hRule="atLeast"/>
          <w:jc w:val="center"/>
        </w:trPr>
        <w:tc>
          <w:tcPr>
            <w:tcW w:w="44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空气声隔声性能</w:t>
            </w: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主要功能房间</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构件类型</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隔声值</w:t>
            </w:r>
          </w:p>
          <w:p>
            <w:pPr>
              <w:pStyle w:val="11"/>
              <w:spacing w:before="0" w:beforeAutospacing="0" w:after="0" w:afterAutospacing="0"/>
              <w:jc w:val="center"/>
            </w:pPr>
            <w:r>
              <w:rPr>
                <w:rFonts w:ascii="Calibri" w:hAnsi="Calibri"/>
                <w:sz w:val="21"/>
                <w:szCs w:val="21"/>
              </w:rPr>
              <w:t>[dB(A)]</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高、低限值平均值</w:t>
            </w:r>
            <w:r>
              <w:rPr>
                <w:rFonts w:ascii="Calibri" w:hAnsi="Calibri"/>
                <w:sz w:val="21"/>
                <w:szCs w:val="21"/>
              </w:rPr>
              <w:t>[dB(A)]</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高要求标准限值</w:t>
            </w:r>
            <w:r>
              <w:rPr>
                <w:rFonts w:ascii="Calibri" w:hAnsi="Calibri"/>
                <w:sz w:val="21"/>
                <w:szCs w:val="21"/>
              </w:rPr>
              <w:t>[dB(A)]</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44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楼板撞击声性能</w:t>
            </w: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主要功能房间</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楼板部位</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撞击声隔声值</w:t>
            </w:r>
          </w:p>
          <w:p>
            <w:pPr>
              <w:pStyle w:val="11"/>
              <w:spacing w:before="0" w:beforeAutospacing="0" w:after="0" w:afterAutospacing="0"/>
              <w:jc w:val="center"/>
            </w:pPr>
            <w:r>
              <w:rPr>
                <w:rFonts w:hint="eastAsia"/>
                <w:sz w:val="21"/>
                <w:szCs w:val="21"/>
              </w:rPr>
              <w:t>（</w:t>
            </w:r>
            <w:r>
              <w:rPr>
                <w:rFonts w:ascii="Calibri" w:hAnsi="Calibri"/>
                <w:sz w:val="21"/>
                <w:szCs w:val="21"/>
              </w:rPr>
              <w:t>dB</w:t>
            </w:r>
            <w:r>
              <w:rPr>
                <w:rFonts w:hint="eastAsia"/>
                <w:sz w:val="21"/>
                <w:szCs w:val="21"/>
              </w:rPr>
              <w:t>）</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高、低限值平均值（</w:t>
            </w:r>
            <w:r>
              <w:rPr>
                <w:rFonts w:ascii="Calibri" w:hAnsi="Calibri"/>
                <w:sz w:val="21"/>
                <w:szCs w:val="21"/>
              </w:rPr>
              <w:t>dB</w:t>
            </w:r>
            <w:r>
              <w:rPr>
                <w:rFonts w:hint="eastAsia"/>
                <w:sz w:val="21"/>
                <w:szCs w:val="21"/>
              </w:rPr>
              <w:t>）</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高要求标准限值（</w:t>
            </w:r>
            <w:r>
              <w:rPr>
                <w:rFonts w:ascii="Calibri" w:hAnsi="Calibri"/>
                <w:sz w:val="21"/>
                <w:szCs w:val="21"/>
              </w:rPr>
              <w:t>dB</w:t>
            </w:r>
            <w:r>
              <w:rPr>
                <w:rFonts w:hint="eastAsia"/>
                <w:sz w:val="21"/>
                <w:szCs w:val="21"/>
              </w:rPr>
              <w:t>）</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9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）建筑设计说明：应说明建筑围护结构类型，包括外墙构造形式、楼板构造形式，门窗类型</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）围护结构隔声性能检测和分析报告：其中门、窗应提供所选门窗隔声性能型式检验报告；外墙、隔墙以及楼板应提供隔声性能计算分析报告或者现场检验报告。</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主要构件隔声性能分析报告：3建筑设计/ 围护结构构造说明.docx</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5.2.8 充分利用天然光。（12分）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7806" w:type="dxa"/>
        <w:jc w:val="center"/>
        <w:tblLayout w:type="autofit"/>
        <w:tblCellMar>
          <w:top w:w="0" w:type="dxa"/>
          <w:left w:w="0" w:type="dxa"/>
          <w:bottom w:w="0" w:type="dxa"/>
          <w:right w:w="0" w:type="dxa"/>
        </w:tblCellMar>
      </w:tblPr>
      <w:tblGrid>
        <w:gridCol w:w="555"/>
        <w:gridCol w:w="954"/>
        <w:gridCol w:w="3592"/>
        <w:gridCol w:w="1484"/>
        <w:gridCol w:w="1221"/>
      </w:tblGrid>
      <w:tr>
        <w:tblPrEx>
          <w:tblCellMar>
            <w:top w:w="0" w:type="dxa"/>
            <w:left w:w="0" w:type="dxa"/>
            <w:bottom w:w="0" w:type="dxa"/>
            <w:right w:w="0" w:type="dxa"/>
          </w:tblCellMar>
        </w:tblPrEx>
        <w:trPr>
          <w:jc w:val="center"/>
        </w:trPr>
        <w:tc>
          <w:tcPr>
            <w:tcW w:w="4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03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3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0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749" w:hRule="atLeast"/>
          <w:jc w:val="center"/>
        </w:trPr>
        <w:tc>
          <w:tcPr>
            <w:tcW w:w="4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03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住宅建筑：主要功能空间至少</w:t>
            </w:r>
            <w:r>
              <w:rPr>
                <w:rFonts w:ascii="Times New Roman" w:hAnsi="Times New Roman" w:cs="Times New Roman"/>
                <w:sz w:val="21"/>
                <w:szCs w:val="21"/>
              </w:rPr>
              <w:t>60%</w:t>
            </w:r>
            <w:r>
              <w:rPr>
                <w:rFonts w:hint="eastAsia"/>
                <w:sz w:val="21"/>
                <w:szCs w:val="21"/>
              </w:rPr>
              <w:t>面积比例区域采光照度值不低于</w:t>
            </w:r>
            <w:r>
              <w:rPr>
                <w:rFonts w:ascii="Times New Roman" w:hAnsi="Times New Roman" w:cs="Times New Roman"/>
                <w:sz w:val="21"/>
                <w:szCs w:val="21"/>
              </w:rPr>
              <w:t>300lx</w:t>
            </w:r>
            <w:r>
              <w:rPr>
                <w:rFonts w:hint="eastAsia"/>
                <w:sz w:val="21"/>
                <w:szCs w:val="21"/>
              </w:rPr>
              <w:t>的小时数平均不少于</w:t>
            </w:r>
            <w:r>
              <w:rPr>
                <w:rFonts w:ascii="Times New Roman" w:hAnsi="Times New Roman" w:cs="Times New Roman"/>
                <w:sz w:val="21"/>
                <w:szCs w:val="21"/>
              </w:rPr>
              <w:t>8h/d</w:t>
            </w:r>
          </w:p>
        </w:tc>
        <w:tc>
          <w:tcPr>
            <w:tcW w:w="13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9</w:t>
            </w:r>
          </w:p>
        </w:tc>
        <w:tc>
          <w:tcPr>
            <w:tcW w:w="10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05" w:hRule="atLeast"/>
          <w:jc w:val="center"/>
        </w:trPr>
        <w:tc>
          <w:tcPr>
            <w:tcW w:w="49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jc w:val="center"/>
            </w:pPr>
            <w:r>
              <w:rPr>
                <w:rFonts w:ascii="Times New Roman" w:hAnsi="Times New Roman" w:cs="Times New Roman"/>
                <w:sz w:val="21"/>
                <w:szCs w:val="21"/>
              </w:rPr>
              <w:t>2</w:t>
            </w:r>
          </w:p>
        </w:tc>
        <w:tc>
          <w:tcPr>
            <w:tcW w:w="847"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pPr>
            <w:r>
              <w:rPr>
                <w:rFonts w:hint="eastAsia"/>
                <w:sz w:val="21"/>
                <w:szCs w:val="21"/>
              </w:rPr>
              <w:t>公共建筑</w:t>
            </w:r>
          </w:p>
        </w:tc>
        <w:tc>
          <w:tcPr>
            <w:tcW w:w="2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pPr>
            <w:r>
              <w:rPr>
                <w:rFonts w:hint="eastAsia"/>
                <w:sz w:val="21"/>
                <w:szCs w:val="21"/>
              </w:rPr>
              <w:t>内区采光系数满足采光要求的面积比例达到</w:t>
            </w:r>
            <w:r>
              <w:rPr>
                <w:rFonts w:ascii="Times New Roman" w:hAnsi="Times New Roman" w:cs="Times New Roman"/>
                <w:sz w:val="21"/>
                <w:szCs w:val="21"/>
              </w:rPr>
              <w:t>60%</w:t>
            </w:r>
          </w:p>
        </w:tc>
        <w:tc>
          <w:tcPr>
            <w:tcW w:w="13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jc w:val="center"/>
            </w:pPr>
            <w:r>
              <w:rPr>
                <w:rFonts w:ascii="Times New Roman" w:hAnsi="Times New Roman" w:cs="Times New Roman"/>
                <w:sz w:val="21"/>
                <w:szCs w:val="21"/>
              </w:rPr>
              <w:t>3</w:t>
            </w:r>
          </w:p>
        </w:tc>
        <w:tc>
          <w:tcPr>
            <w:tcW w:w="108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jc w:val="center"/>
            </w:pPr>
            <w:r>
              <w:rPr>
                <w:rFonts w:ascii="Times New Roman" w:hAnsi="Times New Roman" w:cs="Times New Roman"/>
                <w:sz w:val="21"/>
                <w:szCs w:val="21"/>
              </w:rPr>
              <w:t> 6</w:t>
            </w:r>
          </w:p>
        </w:tc>
      </w:tr>
      <w:tr>
        <w:tblPrEx>
          <w:tblCellMar>
            <w:top w:w="0" w:type="dxa"/>
            <w:left w:w="0" w:type="dxa"/>
            <w:bottom w:w="0" w:type="dxa"/>
            <w:right w:w="0" w:type="dxa"/>
          </w:tblCellMar>
        </w:tblPrEx>
        <w:trPr>
          <w:trHeight w:val="10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2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pPr>
            <w:r>
              <w:rPr>
                <w:rFonts w:hint="eastAsia"/>
                <w:sz w:val="21"/>
                <w:szCs w:val="21"/>
              </w:rPr>
              <w:t>地下空间平均采光系数</w:t>
            </w:r>
            <w:r>
              <w:rPr>
                <w:rFonts w:ascii="Times New Roman" w:hAnsi="Times New Roman" w:cs="Times New Roman"/>
                <w:sz w:val="21"/>
                <w:szCs w:val="21"/>
              </w:rPr>
              <w:t>≥0.5%</w:t>
            </w:r>
            <w:r>
              <w:rPr>
                <w:rFonts w:hint="eastAsia"/>
                <w:sz w:val="21"/>
                <w:szCs w:val="21"/>
              </w:rPr>
              <w:t>的面积与首层地下室面积的比例达到</w:t>
            </w:r>
            <w:r>
              <w:rPr>
                <w:rFonts w:ascii="Times New Roman" w:hAnsi="Times New Roman" w:cs="Times New Roman"/>
                <w:sz w:val="21"/>
                <w:szCs w:val="21"/>
              </w:rPr>
              <w:t>10%</w:t>
            </w:r>
            <w:r>
              <w:rPr>
                <w:rFonts w:hint="eastAsia"/>
                <w:sz w:val="21"/>
                <w:szCs w:val="21"/>
              </w:rPr>
              <w:t>以上</w:t>
            </w:r>
          </w:p>
        </w:tc>
        <w:tc>
          <w:tcPr>
            <w:tcW w:w="13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jc w:val="center"/>
            </w:pPr>
            <w:r>
              <w:rPr>
                <w:rFonts w:ascii="Times New Roman" w:hAnsi="Times New Roman" w:cs="Times New Roman"/>
                <w:sz w:val="21"/>
                <w:szCs w:val="21"/>
              </w:rPr>
              <w:t>3</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10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2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pPr>
            <w:r>
              <w:rPr>
                <w:rFonts w:hint="eastAsia"/>
                <w:sz w:val="21"/>
                <w:szCs w:val="21"/>
              </w:rPr>
              <w:t>主要功能空间至少</w:t>
            </w:r>
            <w:r>
              <w:rPr>
                <w:rFonts w:ascii="Times New Roman" w:hAnsi="Times New Roman" w:cs="Times New Roman"/>
                <w:sz w:val="21"/>
                <w:szCs w:val="21"/>
              </w:rPr>
              <w:t>60%</w:t>
            </w:r>
            <w:r>
              <w:rPr>
                <w:rFonts w:hint="eastAsia"/>
                <w:sz w:val="21"/>
                <w:szCs w:val="21"/>
              </w:rPr>
              <w:t>面积比例区域采光照度值不低于采光要求的小时数平均不少于</w:t>
            </w:r>
            <w:r>
              <w:rPr>
                <w:rFonts w:ascii="Times New Roman" w:hAnsi="Times New Roman" w:cs="Times New Roman"/>
                <w:sz w:val="21"/>
                <w:szCs w:val="21"/>
              </w:rPr>
              <w:t>4h/d</w:t>
            </w:r>
          </w:p>
        </w:tc>
        <w:tc>
          <w:tcPr>
            <w:tcW w:w="108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05" w:lineRule="atLeast"/>
              <w:jc w:val="center"/>
            </w:pPr>
            <w:r>
              <w:rPr>
                <w:rFonts w:ascii="Times New Roman" w:hAnsi="Times New Roman" w:cs="Times New Roman"/>
                <w:sz w:val="21"/>
                <w:szCs w:val="21"/>
              </w:rPr>
              <w:t>3</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4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03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主要功能房间有眩光控制措施</w:t>
            </w:r>
          </w:p>
        </w:tc>
        <w:tc>
          <w:tcPr>
            <w:tcW w:w="13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08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jc w:val="center"/>
        </w:trPr>
        <w:tc>
          <w:tcPr>
            <w:tcW w:w="493"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3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12</w:t>
            </w:r>
          </w:p>
        </w:tc>
        <w:tc>
          <w:tcPr>
            <w:tcW w:w="10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9</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概述改善室内防眩光采用的措施。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本项目主要功能房间采用下列措施控制不舒适眩光：</w:t>
            </w:r>
          </w:p>
          <w:p>
            <w:pPr>
              <w:pStyle w:val="11"/>
              <w:spacing w:before="0" w:beforeAutospacing="0" w:after="0" w:afterAutospacing="0"/>
              <w:ind w:firstLine="400"/>
            </w:pPr>
            <w:r>
              <w:rPr>
                <w:rFonts w:ascii="Times New Roman" w:hAnsi="Times New Roman" w:cs="Times New Roman"/>
                <w:sz w:val="20"/>
                <w:szCs w:val="20"/>
              </w:rPr>
              <w:t>1</w:t>
            </w:r>
            <w:r>
              <w:rPr>
                <w:rFonts w:hint="eastAsia"/>
                <w:sz w:val="20"/>
                <w:szCs w:val="20"/>
              </w:rPr>
              <w:t>、作业区域避免直射阳光。</w:t>
            </w:r>
          </w:p>
          <w:p>
            <w:pPr>
              <w:pStyle w:val="11"/>
              <w:spacing w:before="0" w:beforeAutospacing="0" w:after="0" w:afterAutospacing="0"/>
              <w:ind w:firstLine="400"/>
            </w:pPr>
            <w:r>
              <w:rPr>
                <w:rFonts w:ascii="Times New Roman" w:hAnsi="Times New Roman" w:cs="Times New Roman"/>
                <w:sz w:val="20"/>
                <w:szCs w:val="20"/>
              </w:rPr>
              <w:t>2</w:t>
            </w:r>
            <w:r>
              <w:rPr>
                <w:rFonts w:hint="eastAsia"/>
                <w:sz w:val="20"/>
                <w:szCs w:val="20"/>
              </w:rPr>
              <w:t>、室内人员的视觉背景不为窗口。</w:t>
            </w:r>
          </w:p>
          <w:p>
            <w:pPr>
              <w:pStyle w:val="11"/>
              <w:spacing w:before="0" w:beforeAutospacing="0" w:after="0" w:afterAutospacing="0"/>
              <w:ind w:firstLine="400"/>
            </w:pPr>
            <w:r>
              <w:rPr>
                <w:rFonts w:ascii="Times New Roman" w:hAnsi="Times New Roman" w:cs="Times New Roman"/>
                <w:sz w:val="20"/>
                <w:szCs w:val="20"/>
              </w:rPr>
              <w:t>3</w:t>
            </w:r>
            <w:r>
              <w:rPr>
                <w:rFonts w:hint="eastAsia"/>
                <w:sz w:val="20"/>
                <w:szCs w:val="20"/>
              </w:rPr>
              <w:t>、采用室内遮挡措施。</w:t>
            </w:r>
          </w:p>
          <w:p>
            <w:pPr>
              <w:pStyle w:val="11"/>
              <w:spacing w:before="0" w:beforeAutospacing="0" w:after="0" w:afterAutospacing="0"/>
              <w:ind w:firstLine="400"/>
            </w:pPr>
            <w:r>
              <w:rPr>
                <w:rFonts w:ascii="Times New Roman" w:hAnsi="Times New Roman" w:cs="Times New Roman"/>
                <w:sz w:val="20"/>
                <w:szCs w:val="20"/>
              </w:rPr>
              <w:t>4</w:t>
            </w:r>
            <w:r>
              <w:rPr>
                <w:rFonts w:hint="eastAsia"/>
                <w:sz w:val="20"/>
                <w:szCs w:val="20"/>
              </w:rPr>
              <w:t>、窗结构的内表面或窗周围的内墙面采用浅色饰面。</w:t>
            </w:r>
          </w:p>
        </w:tc>
      </w:tr>
    </w:tbl>
    <w:p>
      <w:pPr>
        <w:pStyle w:val="11"/>
        <w:spacing w:before="0" w:beforeAutospacing="0" w:after="0" w:afterAutospacing="0"/>
        <w:jc w:val="both"/>
      </w:pPr>
      <w:r>
        <w:rPr>
          <w:rFonts w:hint="eastAsia"/>
          <w:sz w:val="21"/>
          <w:szCs w:val="21"/>
        </w:rPr>
        <w:t>采光达标统计</w:t>
      </w:r>
    </w:p>
    <w:tbl>
      <w:tblPr>
        <w:tblStyle w:val="13"/>
        <w:tblW w:w="9464" w:type="dxa"/>
        <w:jc w:val="center"/>
        <w:tblLayout w:type="autofit"/>
        <w:tblCellMar>
          <w:top w:w="0" w:type="dxa"/>
          <w:left w:w="0" w:type="dxa"/>
          <w:bottom w:w="0" w:type="dxa"/>
          <w:right w:w="0" w:type="dxa"/>
        </w:tblCellMar>
      </w:tblPr>
      <w:tblGrid>
        <w:gridCol w:w="580"/>
        <w:gridCol w:w="1214"/>
        <w:gridCol w:w="2382"/>
        <w:gridCol w:w="1908"/>
        <w:gridCol w:w="2055"/>
        <w:gridCol w:w="1325"/>
      </w:tblGrid>
      <w:tr>
        <w:tblPrEx>
          <w:tblCellMar>
            <w:top w:w="0" w:type="dxa"/>
            <w:left w:w="0" w:type="dxa"/>
            <w:bottom w:w="0" w:type="dxa"/>
            <w:right w:w="0" w:type="dxa"/>
          </w:tblCellMar>
        </w:tblPrEx>
        <w:trPr>
          <w:trHeight w:val="234" w:hRule="atLeast"/>
          <w:jc w:val="center"/>
        </w:trPr>
        <w:tc>
          <w:tcPr>
            <w:tcW w:w="50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内区</w:t>
            </w: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分析区域</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主要功能空间面积</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6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内区面积</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采光达标面积</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达标比例</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tblPrEx>
          <w:tblCellMar>
            <w:top w:w="0" w:type="dxa"/>
            <w:left w:w="0" w:type="dxa"/>
            <w:bottom w:w="0" w:type="dxa"/>
            <w:right w:w="0" w:type="dxa"/>
          </w:tblCellMar>
        </w:tblPrEx>
        <w:trPr>
          <w:trHeight w:val="26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6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6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6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50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住宅主要功能空间</w:t>
            </w: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分析区域</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采光照度值不低于</w:t>
            </w:r>
            <w:r>
              <w:rPr>
                <w:rFonts w:ascii="Times New Roman" w:hAnsi="Times New Roman" w:cs="Times New Roman"/>
                <w:sz w:val="21"/>
                <w:szCs w:val="21"/>
              </w:rPr>
              <w:t>300lx</w:t>
            </w:r>
            <w:r>
              <w:rPr>
                <w:rFonts w:hint="eastAsia"/>
                <w:sz w:val="21"/>
                <w:szCs w:val="21"/>
              </w:rPr>
              <w:t>的小时数平均不少于</w:t>
            </w:r>
            <w:r>
              <w:rPr>
                <w:rFonts w:ascii="Times New Roman" w:hAnsi="Times New Roman" w:cs="Times New Roman"/>
                <w:sz w:val="21"/>
                <w:szCs w:val="21"/>
              </w:rPr>
              <w:t>8h/d</w:t>
            </w:r>
            <w:r>
              <w:rPr>
                <w:rFonts w:hint="eastAsia"/>
                <w:sz w:val="21"/>
                <w:szCs w:val="21"/>
              </w:rPr>
              <w:t>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主要功能空间面积（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达标比例</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50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公建主要功能空间</w:t>
            </w: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分析区域</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采光照度值不低于采光要求的小时数平均不少于</w:t>
            </w:r>
            <w:r>
              <w:rPr>
                <w:rFonts w:ascii="Times New Roman" w:hAnsi="Times New Roman" w:cs="Times New Roman"/>
                <w:sz w:val="21"/>
                <w:szCs w:val="21"/>
              </w:rPr>
              <w:t>4h/d</w:t>
            </w:r>
            <w:r>
              <w:rPr>
                <w:rFonts w:hint="eastAsia"/>
                <w:sz w:val="21"/>
                <w:szCs w:val="21"/>
              </w:rPr>
              <w:t>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主要功能空间面积（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达标比例</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tblPrEx>
          <w:tblCellMar>
            <w:top w:w="0" w:type="dxa"/>
            <w:left w:w="0" w:type="dxa"/>
            <w:bottom w:w="0" w:type="dxa"/>
            <w:right w:w="0" w:type="dxa"/>
          </w:tblCellMar>
        </w:tblPrEx>
        <w:trPr>
          <w:trHeight w:val="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pPr>
            <w:r>
              <w:rPr>
                <w:rFonts w:ascii="Times New Roman" w:hAnsi="Times New Roman" w:cs="Times New Roman"/>
                <w:sz w:val="21"/>
                <w:szCs w:val="21"/>
              </w:rPr>
              <w:t> 活动室</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pPr>
            <w:r>
              <w:rPr>
                <w:rFonts w:ascii="Times New Roman" w:hAnsi="Times New Roman" w:cs="Times New Roman"/>
                <w:sz w:val="21"/>
                <w:szCs w:val="21"/>
              </w:rPr>
              <w:t> 满足</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pPr>
            <w:r>
              <w:rPr>
                <w:rFonts w:ascii="Times New Roman" w:hAnsi="Times New Roman" w:cs="Times New Roman"/>
                <w:sz w:val="21"/>
                <w:szCs w:val="21"/>
              </w:rPr>
              <w:t> 100</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pPr>
            <w:r>
              <w:rPr>
                <w:rFonts w:ascii="Times New Roman" w:hAnsi="Times New Roman" w:cs="Times New Roman"/>
                <w:sz w:val="21"/>
                <w:szCs w:val="21"/>
              </w:rPr>
              <w:t> 100</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7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11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）建筑竣工图及说明文件，应体现室内防眩光设计措施；</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）动态采光计算书、采光系数及面积比例计算书；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）公共建筑内区及地下空间采光系数计算书或检测报告。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公共建筑内区采光系数计算书：3建筑设计/ 采光系数.xlsx</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5.2.9 具有良好的室内热湿环境。（8分）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731" w:type="pct"/>
        <w:jc w:val="center"/>
        <w:tblLayout w:type="autofit"/>
        <w:tblCellMar>
          <w:top w:w="0" w:type="dxa"/>
          <w:left w:w="0" w:type="dxa"/>
          <w:bottom w:w="0" w:type="dxa"/>
          <w:right w:w="0" w:type="dxa"/>
        </w:tblCellMar>
      </w:tblPr>
      <w:tblGrid>
        <w:gridCol w:w="789"/>
        <w:gridCol w:w="3206"/>
        <w:gridCol w:w="1075"/>
        <w:gridCol w:w="1573"/>
        <w:gridCol w:w="1407"/>
      </w:tblGrid>
      <w:tr>
        <w:tblPrEx>
          <w:tblCellMar>
            <w:top w:w="0" w:type="dxa"/>
            <w:left w:w="0" w:type="dxa"/>
            <w:bottom w:w="0" w:type="dxa"/>
            <w:right w:w="0" w:type="dxa"/>
          </w:tblCellMar>
        </w:tblPrEx>
        <w:trPr>
          <w:jc w:val="center"/>
        </w:trPr>
        <w:tc>
          <w:tcPr>
            <w:tcW w:w="49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138" w:hRule="atLeast"/>
          <w:jc w:val="center"/>
        </w:trPr>
        <w:tc>
          <w:tcPr>
            <w:tcW w:w="490"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8" w:lineRule="atLeast"/>
              <w:jc w:val="center"/>
            </w:pPr>
            <w:r>
              <w:rPr>
                <w:rFonts w:ascii="Times New Roman" w:hAnsi="Times New Roman" w:cs="Times New Roman"/>
                <w:sz w:val="21"/>
                <w:szCs w:val="21"/>
              </w:rPr>
              <w:t>1</w:t>
            </w:r>
          </w:p>
        </w:tc>
        <w:tc>
          <w:tcPr>
            <w:tcW w:w="1991"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Mincho" w:hAnsi="MS Mincho" w:eastAsia="MS Mincho" w:cs="MS Mincho"/>
                <w:sz w:val="21"/>
                <w:szCs w:val="21"/>
              </w:rPr>
              <w:t>☑</w:t>
            </w:r>
            <w:r>
              <w:rPr>
                <w:rFonts w:hint="eastAsia"/>
                <w:sz w:val="21"/>
                <w:szCs w:val="21"/>
              </w:rPr>
              <w:t>自然通风、复合通风：</w:t>
            </w:r>
          </w:p>
          <w:p>
            <w:pPr>
              <w:pStyle w:val="11"/>
              <w:spacing w:before="0" w:beforeAutospacing="0" w:after="0" w:afterAutospacing="0" w:line="138" w:lineRule="atLeast"/>
            </w:pPr>
            <w:r>
              <w:rPr>
                <w:rFonts w:hint="eastAsia"/>
                <w:sz w:val="21"/>
                <w:szCs w:val="21"/>
              </w:rPr>
              <w:t>主要功能房间室内热环境参数在适应性热舒适区域的时间比例</w:t>
            </w: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8" w:lineRule="atLeast"/>
              <w:jc w:val="center"/>
            </w:pPr>
            <w:r>
              <w:rPr>
                <w:rFonts w:ascii="Times New Roman" w:hAnsi="Times New Roman" w:cs="Times New Roman"/>
                <w:sz w:val="21"/>
                <w:szCs w:val="21"/>
              </w:rPr>
              <w:t>30%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8" w:lineRule="atLeast"/>
              <w:jc w:val="center"/>
            </w:pPr>
            <w:r>
              <w:rPr>
                <w:rFonts w:ascii="Times New Roman" w:hAnsi="Times New Roman" w:cs="Times New Roman"/>
                <w:sz w:val="21"/>
                <w:szCs w:val="21"/>
              </w:rPr>
              <w:t>2</w:t>
            </w:r>
          </w:p>
        </w:tc>
        <w:tc>
          <w:tcPr>
            <w:tcW w:w="87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8" w:lineRule="atLeast"/>
              <w:jc w:val="center"/>
            </w:pPr>
            <w:r>
              <w:rPr>
                <w:rFonts w:ascii="Times New Roman" w:hAnsi="Times New Roman" w:cs="Times New Roman"/>
                <w:sz w:val="21"/>
                <w:szCs w:val="21"/>
              </w:rPr>
              <w:t>8 </w:t>
            </w:r>
          </w:p>
        </w:tc>
      </w:tr>
      <w:tr>
        <w:tblPrEx>
          <w:tblCellMar>
            <w:top w:w="0" w:type="dxa"/>
            <w:left w:w="0" w:type="dxa"/>
            <w:bottom w:w="0" w:type="dxa"/>
            <w:right w:w="0" w:type="dxa"/>
          </w:tblCellMar>
        </w:tblPrEx>
        <w:trPr>
          <w:trHeight w:val="1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40%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3</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1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50%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4</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1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60%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1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70%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1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80%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7</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1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90%</w:t>
            </w:r>
            <w:r>
              <w:rPr>
                <w:rFonts w:hint="eastAsia"/>
                <w:sz w:val="21"/>
                <w:szCs w:val="21"/>
              </w:rPr>
              <w:t>及以上</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32" w:lineRule="atLeast"/>
              <w:jc w:val="center"/>
            </w:pP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2" w:hRule="atLeast"/>
          <w:jc w:val="center"/>
        </w:trPr>
        <w:tc>
          <w:tcPr>
            <w:tcW w:w="490"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991"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Mincho" w:hAnsi="MS Mincho" w:eastAsia="MS Mincho" w:cs="MS Mincho"/>
                <w:sz w:val="21"/>
                <w:szCs w:val="21"/>
              </w:rPr>
              <w:t>☐</w:t>
            </w:r>
            <w:r>
              <w:rPr>
                <w:rFonts w:hint="eastAsia"/>
                <w:sz w:val="21"/>
                <w:szCs w:val="21"/>
              </w:rPr>
              <w:t>人工冷热源：</w:t>
            </w:r>
          </w:p>
          <w:p>
            <w:pPr>
              <w:pStyle w:val="11"/>
              <w:spacing w:before="0" w:beforeAutospacing="0" w:after="0" w:afterAutospacing="0"/>
            </w:pPr>
            <w:r>
              <w:rPr>
                <w:rFonts w:hint="eastAsia"/>
                <w:sz w:val="21"/>
                <w:szCs w:val="21"/>
              </w:rPr>
              <w:t>主要功能房间达到现行国家标准《民用建筑室内热湿环境评价标准》规定的室内人工冷热源热湿环境整体评价</w:t>
            </w:r>
            <w:r>
              <w:rPr>
                <w:rFonts w:ascii="Times New Roman" w:hAnsi="Times New Roman" w:cs="Times New Roman"/>
                <w:sz w:val="21"/>
                <w:szCs w:val="21"/>
              </w:rPr>
              <w:t>II</w:t>
            </w:r>
            <w:r>
              <w:rPr>
                <w:rFonts w:hint="eastAsia"/>
                <w:sz w:val="21"/>
                <w:szCs w:val="21"/>
              </w:rPr>
              <w:t>级面积比例</w:t>
            </w: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90%</w:t>
            </w:r>
          </w:p>
        </w:tc>
        <w:tc>
          <w:tcPr>
            <w:tcW w:w="97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769" w:type="dxa"/>
            <w:tcBorders>
              <w:top w:val="nil"/>
              <w:left w:val="nil"/>
              <w:bottom w:val="nil"/>
              <w:right w:val="nil"/>
            </w:tcBorders>
            <w:noWrap w:val="0"/>
            <w:vAlign w:val="center"/>
          </w:tcPr>
          <w:p>
            <w:pPr>
              <w:rPr>
                <w:sz w:val="1"/>
              </w:rPr>
            </w:pPr>
          </w:p>
        </w:tc>
        <w:tc>
          <w:tcPr>
            <w:tcW w:w="3126" w:type="dxa"/>
            <w:tcBorders>
              <w:top w:val="nil"/>
              <w:left w:val="nil"/>
              <w:bottom w:val="nil"/>
              <w:right w:val="nil"/>
            </w:tcBorders>
            <w:noWrap w:val="0"/>
            <w:vAlign w:val="center"/>
          </w:tcPr>
          <w:p>
            <w:pPr>
              <w:rPr>
                <w:sz w:val="1"/>
              </w:rPr>
            </w:pPr>
          </w:p>
        </w:tc>
        <w:tc>
          <w:tcPr>
            <w:tcW w:w="1049" w:type="dxa"/>
            <w:tcBorders>
              <w:top w:val="nil"/>
              <w:left w:val="nil"/>
              <w:bottom w:val="nil"/>
              <w:right w:val="nil"/>
            </w:tcBorders>
            <w:noWrap w:val="0"/>
            <w:vAlign w:val="center"/>
          </w:tcPr>
          <w:p>
            <w:pPr>
              <w:rPr>
                <w:sz w:val="1"/>
              </w:rPr>
            </w:pPr>
          </w:p>
        </w:tc>
        <w:tc>
          <w:tcPr>
            <w:tcW w:w="1534" w:type="dxa"/>
            <w:tcBorders>
              <w:top w:val="nil"/>
              <w:left w:val="nil"/>
              <w:bottom w:val="nil"/>
              <w:right w:val="nil"/>
            </w:tcBorders>
            <w:noWrap w:val="0"/>
            <w:vAlign w:val="center"/>
          </w:tcPr>
          <w:p>
            <w:pPr>
              <w:rPr>
                <w:sz w:val="1"/>
              </w:rPr>
            </w:pPr>
          </w:p>
        </w:tc>
        <w:tc>
          <w:tcPr>
            <w:tcW w:w="1372"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请对室内热湿环境及热舒适保持时间进行简要说明：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282"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121212"/>
                <w:sz w:val="27"/>
                <w:szCs w:val="27"/>
                <w:shd w:val="clear" w:color="auto" w:fill="FFFFFF"/>
              </w:rPr>
              <w:t>空气温度的高低、空气流速的大小、人体穿着衣物情况等是影响对流散热的主要因素。相同的空气温度和穿衣情况下，空气流速越大则导致的人体对流散热水平越高；而相同空气流速下，空气温度越低则对流散热水平越高。</w:t>
            </w:r>
            <w:r>
              <w:rPr>
                <w:rFonts w:hint="eastAsia"/>
                <w:sz w:val="20"/>
                <w:szCs w:val="20"/>
              </w:rPr>
              <w:br w:type="textWrapping"/>
            </w:r>
            <w:r>
              <w:rPr>
                <w:rFonts w:hint="eastAsia" w:ascii="MS Mincho" w:hAnsi="MS Mincho" w:eastAsia="MS Mincho" w:cs="MS Mincho"/>
                <w:sz w:val="20"/>
                <w:szCs w:val="20"/>
              </w:rPr>
              <w:t>​</w:t>
            </w:r>
            <w:r>
              <w:rPr>
                <w:rFonts w:hint="eastAsia" w:ascii="微软雅黑" w:hAnsi="微软雅黑" w:eastAsia="微软雅黑"/>
                <w:b/>
                <w:bCs/>
                <w:color w:val="121212"/>
                <w:sz w:val="27"/>
                <w:szCs w:val="27"/>
                <w:shd w:val="clear" w:color="auto" w:fill="FFFFFF"/>
              </w:rPr>
              <w:t>建筑室内环境合适的空气温度、空气流速、空气湿度，以及环境辐射温度将会带来一个舒适的人体感受</w:t>
            </w:r>
            <w:r>
              <w:rPr>
                <w:rFonts w:hint="eastAsia" w:ascii="微软雅黑" w:hAnsi="微软雅黑" w:eastAsia="微软雅黑"/>
                <w:color w:val="121212"/>
                <w:sz w:val="27"/>
                <w:szCs w:val="27"/>
                <w:shd w:val="clear" w:color="auto" w:fill="FFFFFF"/>
              </w:rPr>
              <w:t>。</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）暖通竣工图及设计说明、室内温度模拟分析报告和舒适温度预计达标比例分析报告；</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）预计达标比例计算报告或室内热湿环境实测值及</w:t>
      </w:r>
      <w:r>
        <w:rPr>
          <w:rFonts w:ascii="Times New Roman" w:hAnsi="Times New Roman" w:cs="Times New Roman"/>
          <w:sz w:val="21"/>
          <w:szCs w:val="21"/>
        </w:rPr>
        <w:t>PMV</w:t>
      </w:r>
      <w:r>
        <w:rPr>
          <w:rFonts w:hint="eastAsia"/>
          <w:sz w:val="21"/>
          <w:szCs w:val="21"/>
        </w:rPr>
        <w:t>和</w:t>
      </w:r>
      <w:r>
        <w:rPr>
          <w:rFonts w:ascii="Times New Roman" w:hAnsi="Times New Roman" w:cs="Times New Roman"/>
          <w:sz w:val="21"/>
          <w:szCs w:val="21"/>
        </w:rPr>
        <w:t>PPD</w:t>
      </w:r>
      <w:r>
        <w:rPr>
          <w:rFonts w:hint="eastAsia"/>
          <w:sz w:val="21"/>
          <w:szCs w:val="21"/>
        </w:rPr>
        <w:t>达标比例计算报告；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）室内温度模拟分析报告；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）舒适温度预计达标比例分析报告。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17"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室内温度模拟分析报告：5暖通设计/ 室内热环境模拟分析报告.doc</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5.2.10 优化建筑空间和平面布局，改善自然通风效果。（8分）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79" w:type="pct"/>
        <w:jc w:val="center"/>
        <w:tblLayout w:type="autofit"/>
        <w:tblCellMar>
          <w:top w:w="0" w:type="dxa"/>
          <w:left w:w="0" w:type="dxa"/>
          <w:bottom w:w="0" w:type="dxa"/>
          <w:right w:w="0" w:type="dxa"/>
        </w:tblCellMar>
      </w:tblPr>
      <w:tblGrid>
        <w:gridCol w:w="819"/>
        <w:gridCol w:w="2263"/>
        <w:gridCol w:w="1975"/>
        <w:gridCol w:w="1575"/>
        <w:gridCol w:w="1330"/>
      </w:tblGrid>
      <w:tr>
        <w:tblPrEx>
          <w:tblCellMar>
            <w:top w:w="0" w:type="dxa"/>
            <w:left w:w="0" w:type="dxa"/>
            <w:bottom w:w="0" w:type="dxa"/>
            <w:right w:w="0" w:type="dxa"/>
          </w:tblCellMar>
        </w:tblPrEx>
        <w:trPr>
          <w:trHeight w:val="313" w:hRule="atLeast"/>
          <w:jc w:val="center"/>
        </w:trPr>
        <w:tc>
          <w:tcPr>
            <w:tcW w:w="51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类型</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3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05" w:hRule="atLeast"/>
          <w:jc w:val="center"/>
        </w:trPr>
        <w:tc>
          <w:tcPr>
            <w:tcW w:w="515"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1"/>
                <w:szCs w:val="21"/>
              </w:rPr>
              <w:t>☐</w:t>
            </w:r>
            <w:r>
              <w:rPr>
                <w:rFonts w:hint="eastAsia"/>
                <w:sz w:val="21"/>
                <w:szCs w:val="21"/>
              </w:rPr>
              <w:t>居住建筑</w:t>
            </w:r>
          </w:p>
        </w:tc>
        <w:tc>
          <w:tcPr>
            <w:tcW w:w="1421"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通风开口面积与房间地板面积的比例</w:t>
            </w: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夏热冬暖地区达到</w:t>
            </w:r>
            <w:r>
              <w:rPr>
                <w:rFonts w:ascii="Times New Roman" w:hAnsi="Times New Roman" w:cs="Times New Roman"/>
                <w:sz w:val="21"/>
                <w:szCs w:val="21"/>
              </w:rPr>
              <w:t>12%</w:t>
            </w:r>
          </w:p>
        </w:tc>
        <w:tc>
          <w:tcPr>
            <w:tcW w:w="989"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5"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8 </w:t>
            </w: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夏热冬冷地区达到</w:t>
            </w: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其他地区达到</w:t>
            </w: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增加</w:t>
            </w:r>
            <w:r>
              <w:rPr>
                <w:rFonts w:ascii="Times New Roman" w:hAnsi="Times New Roman" w:cs="Times New Roman"/>
                <w:sz w:val="21"/>
                <w:szCs w:val="21"/>
              </w:rPr>
              <w:t>2%</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增加</w:t>
            </w:r>
            <w:r>
              <w:rPr>
                <w:rFonts w:ascii="Times New Roman" w:hAnsi="Times New Roman" w:cs="Times New Roman"/>
                <w:sz w:val="21"/>
                <w:szCs w:val="21"/>
              </w:rPr>
              <w:t>4%</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增加</w:t>
            </w:r>
            <w:r>
              <w:rPr>
                <w:rFonts w:ascii="Times New Roman" w:hAnsi="Times New Roman" w:cs="Times New Roman"/>
                <w:sz w:val="21"/>
                <w:szCs w:val="21"/>
              </w:rPr>
              <w:t>6%</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05" w:hRule="atLeast"/>
          <w:jc w:val="center"/>
        </w:trPr>
        <w:tc>
          <w:tcPr>
            <w:tcW w:w="515"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1"/>
                <w:szCs w:val="21"/>
              </w:rPr>
              <w:t>☑</w:t>
            </w:r>
            <w:r>
              <w:rPr>
                <w:rFonts w:hint="eastAsia"/>
                <w:sz w:val="21"/>
                <w:szCs w:val="21"/>
              </w:rPr>
              <w:t>公共建筑</w:t>
            </w:r>
          </w:p>
        </w:tc>
        <w:tc>
          <w:tcPr>
            <w:tcW w:w="1421"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过渡季典型工况下主要功能房间的平均自然通风换气次数不小于</w:t>
            </w:r>
            <w:r>
              <w:rPr>
                <w:rFonts w:ascii="Times New Roman" w:hAnsi="Times New Roman" w:cs="Times New Roman"/>
                <w:sz w:val="21"/>
                <w:szCs w:val="21"/>
              </w:rPr>
              <w:t>2</w:t>
            </w:r>
            <w:r>
              <w:rPr>
                <w:rFonts w:hint="eastAsia"/>
                <w:sz w:val="21"/>
                <w:szCs w:val="21"/>
              </w:rPr>
              <w:t>次</w:t>
            </w:r>
            <w:r>
              <w:rPr>
                <w:rFonts w:ascii="Times New Roman" w:hAnsi="Times New Roman" w:cs="Times New Roman"/>
                <w:sz w:val="21"/>
                <w:szCs w:val="21"/>
              </w:rPr>
              <w:t>/h</w:t>
            </w:r>
            <w:r>
              <w:rPr>
                <w:rFonts w:hint="eastAsia"/>
                <w:sz w:val="21"/>
                <w:szCs w:val="21"/>
              </w:rPr>
              <w:t>的面积比例</w:t>
            </w:r>
            <w:r>
              <w:rPr>
                <w:rFonts w:ascii="Times New Roman" w:hAnsi="Times New Roman" w:cs="Times New Roman"/>
                <w:sz w:val="21"/>
                <w:szCs w:val="21"/>
              </w:rPr>
              <w:t>RR</w:t>
            </w: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70%≤</w:t>
            </w:r>
            <w:r>
              <w:rPr>
                <w:rFonts w:ascii="Times New Roman" w:hAnsi="Times New Roman" w:cs="Times New Roman"/>
                <w:i/>
                <w:iCs/>
                <w:sz w:val="21"/>
                <w:szCs w:val="21"/>
              </w:rPr>
              <w:t>R</w:t>
            </w:r>
            <w:r>
              <w:rPr>
                <w:rFonts w:ascii="Times New Roman" w:hAnsi="Times New Roman" w:cs="Times New Roman"/>
                <w:sz w:val="14"/>
                <w:szCs w:val="14"/>
                <w:vertAlign w:val="subscript"/>
              </w:rPr>
              <w:t>R</w:t>
            </w:r>
            <w:r>
              <w:rPr>
                <w:rFonts w:hint="eastAsia"/>
                <w:sz w:val="21"/>
                <w:szCs w:val="21"/>
              </w:rPr>
              <w:t>＜</w:t>
            </w:r>
            <w:r>
              <w:rPr>
                <w:rFonts w:ascii="Times New Roman" w:hAnsi="Times New Roman" w:cs="Times New Roman"/>
                <w:sz w:val="21"/>
                <w:szCs w:val="21"/>
              </w:rPr>
              <w:t>80%</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80%≤</w:t>
            </w:r>
            <w:r>
              <w:rPr>
                <w:rFonts w:ascii="Times New Roman" w:hAnsi="Times New Roman" w:cs="Times New Roman"/>
                <w:i/>
                <w:iCs/>
                <w:sz w:val="21"/>
                <w:szCs w:val="21"/>
              </w:rPr>
              <w:t>R</w:t>
            </w:r>
            <w:r>
              <w:rPr>
                <w:rFonts w:ascii="Times New Roman" w:hAnsi="Times New Roman" w:cs="Times New Roman"/>
                <w:sz w:val="14"/>
                <w:szCs w:val="14"/>
                <w:vertAlign w:val="subscript"/>
              </w:rPr>
              <w:t>R</w:t>
            </w:r>
            <w:r>
              <w:rPr>
                <w:rFonts w:hint="eastAsia"/>
                <w:sz w:val="21"/>
                <w:szCs w:val="21"/>
              </w:rPr>
              <w:t>＜</w:t>
            </w:r>
            <w:r>
              <w:rPr>
                <w:rFonts w:ascii="Times New Roman" w:hAnsi="Times New Roman" w:cs="Times New Roman"/>
                <w:sz w:val="21"/>
                <w:szCs w:val="21"/>
              </w:rPr>
              <w:t>90%</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90%≤</w:t>
            </w:r>
            <w:r>
              <w:rPr>
                <w:rFonts w:ascii="Times New Roman" w:hAnsi="Times New Roman" w:cs="Times New Roman"/>
                <w:i/>
                <w:iCs/>
                <w:sz w:val="21"/>
                <w:szCs w:val="21"/>
              </w:rPr>
              <w:t>R</w:t>
            </w:r>
            <w:r>
              <w:rPr>
                <w:rFonts w:ascii="Times New Roman" w:hAnsi="Times New Roman" w:cs="Times New Roman"/>
                <w:sz w:val="14"/>
                <w:szCs w:val="14"/>
                <w:vertAlign w:val="subscript"/>
              </w:rPr>
              <w:t>R</w:t>
            </w:r>
            <w:r>
              <w:rPr>
                <w:rFonts w:hint="eastAsia"/>
                <w:sz w:val="21"/>
                <w:szCs w:val="21"/>
              </w:rPr>
              <w:t>＜</w:t>
            </w:r>
            <w:r>
              <w:rPr>
                <w:rFonts w:ascii="Times New Roman" w:hAnsi="Times New Roman" w:cs="Times New Roman"/>
                <w:sz w:val="21"/>
                <w:szCs w:val="21"/>
              </w:rPr>
              <w:t>100%</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2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24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100%</w:t>
            </w:r>
          </w:p>
        </w:tc>
        <w:tc>
          <w:tcPr>
            <w:tcW w:w="98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800" w:type="dxa"/>
            <w:tcBorders>
              <w:top w:val="nil"/>
              <w:left w:val="nil"/>
              <w:bottom w:val="nil"/>
              <w:right w:val="nil"/>
            </w:tcBorders>
            <w:noWrap w:val="0"/>
            <w:vAlign w:val="center"/>
          </w:tcPr>
          <w:p>
            <w:pPr>
              <w:rPr>
                <w:sz w:val="1"/>
              </w:rPr>
            </w:pPr>
          </w:p>
        </w:tc>
        <w:tc>
          <w:tcPr>
            <w:tcW w:w="2206" w:type="dxa"/>
            <w:tcBorders>
              <w:top w:val="nil"/>
              <w:left w:val="nil"/>
              <w:bottom w:val="nil"/>
              <w:right w:val="nil"/>
            </w:tcBorders>
            <w:noWrap w:val="0"/>
            <w:vAlign w:val="center"/>
          </w:tcPr>
          <w:p>
            <w:pPr>
              <w:rPr>
                <w:sz w:val="1"/>
              </w:rPr>
            </w:pPr>
          </w:p>
        </w:tc>
        <w:tc>
          <w:tcPr>
            <w:tcW w:w="1925" w:type="dxa"/>
            <w:tcBorders>
              <w:top w:val="nil"/>
              <w:left w:val="nil"/>
              <w:bottom w:val="nil"/>
              <w:right w:val="nil"/>
            </w:tcBorders>
            <w:noWrap w:val="0"/>
            <w:vAlign w:val="center"/>
          </w:tcPr>
          <w:p>
            <w:pPr>
              <w:rPr>
                <w:sz w:val="1"/>
              </w:rPr>
            </w:pPr>
          </w:p>
        </w:tc>
        <w:tc>
          <w:tcPr>
            <w:tcW w:w="1536" w:type="dxa"/>
            <w:tcBorders>
              <w:top w:val="nil"/>
              <w:left w:val="nil"/>
              <w:bottom w:val="nil"/>
              <w:right w:val="nil"/>
            </w:tcBorders>
            <w:noWrap w:val="0"/>
            <w:vAlign w:val="center"/>
          </w:tcPr>
          <w:p>
            <w:pPr>
              <w:rPr>
                <w:sz w:val="1"/>
              </w:rPr>
            </w:pPr>
          </w:p>
        </w:tc>
        <w:tc>
          <w:tcPr>
            <w:tcW w:w="1296"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项目所处城市的建筑热工气候分区：</w:t>
      </w:r>
      <w:r>
        <w:rPr>
          <w:rStyle w:val="25"/>
          <w:rFonts w:hint="eastAsia" w:ascii="MS Mincho" w:hAnsi="MS Mincho" w:eastAsia="MS Mincho" w:cs="MS Mincho"/>
          <w:sz w:val="21"/>
          <w:szCs w:val="21"/>
        </w:rPr>
        <w:t>☐</w:t>
      </w:r>
      <w:r>
        <w:rPr>
          <w:rFonts w:hint="eastAsia"/>
          <w:sz w:val="21"/>
          <w:szCs w:val="21"/>
        </w:rPr>
        <w:t xml:space="preserve">严寒 </w:t>
      </w:r>
      <w:r>
        <w:rPr>
          <w:rStyle w:val="25"/>
          <w:rFonts w:hint="eastAsia" w:ascii="MS Mincho" w:hAnsi="MS Mincho" w:eastAsia="MS Mincho" w:cs="MS Mincho"/>
          <w:sz w:val="21"/>
          <w:szCs w:val="21"/>
        </w:rPr>
        <w:t>☐</w:t>
      </w:r>
      <w:r>
        <w:rPr>
          <w:rFonts w:hint="eastAsia"/>
          <w:sz w:val="21"/>
          <w:szCs w:val="21"/>
        </w:rPr>
        <w:t xml:space="preserve">寒冷 </w:t>
      </w:r>
      <w:r>
        <w:rPr>
          <w:rStyle w:val="25"/>
          <w:rFonts w:hint="eastAsia" w:ascii="MS Mincho" w:hAnsi="MS Mincho" w:eastAsia="MS Mincho" w:cs="MS Mincho"/>
          <w:sz w:val="21"/>
          <w:szCs w:val="21"/>
        </w:rPr>
        <w:t>☑</w:t>
      </w:r>
      <w:r>
        <w:rPr>
          <w:rFonts w:hint="eastAsia"/>
          <w:sz w:val="21"/>
          <w:szCs w:val="21"/>
        </w:rPr>
        <w:t xml:space="preserve">夏热冬冷 </w:t>
      </w:r>
      <w:r>
        <w:rPr>
          <w:rStyle w:val="25"/>
          <w:rFonts w:hint="eastAsia" w:ascii="MS Mincho" w:hAnsi="MS Mincho" w:eastAsia="MS Mincho" w:cs="MS Mincho"/>
          <w:sz w:val="21"/>
          <w:szCs w:val="21"/>
        </w:rPr>
        <w:t>☐</w:t>
      </w:r>
      <w:r>
        <w:rPr>
          <w:rFonts w:hint="eastAsia"/>
          <w:sz w:val="21"/>
          <w:szCs w:val="21"/>
        </w:rPr>
        <w:t xml:space="preserve">夏热冬暖 </w:t>
      </w:r>
      <w:r>
        <w:rPr>
          <w:rStyle w:val="25"/>
          <w:rFonts w:hint="eastAsia" w:ascii="MS Mincho" w:hAnsi="MS Mincho" w:eastAsia="MS Mincho" w:cs="MS Mincho"/>
          <w:sz w:val="21"/>
          <w:szCs w:val="21"/>
        </w:rPr>
        <w:t>☐</w:t>
      </w:r>
      <w:r>
        <w:rPr>
          <w:rFonts w:hint="eastAsia"/>
          <w:sz w:val="21"/>
          <w:szCs w:val="21"/>
        </w:rPr>
        <w:t>温和</w:t>
      </w:r>
    </w:p>
    <w:p>
      <w:pPr>
        <w:pStyle w:val="11"/>
        <w:spacing w:before="0" w:beforeAutospacing="0" w:after="0" w:afterAutospacing="0"/>
        <w:jc w:val="both"/>
      </w:pPr>
      <w:r>
        <w:rPr>
          <w:rFonts w:hint="eastAsia"/>
          <w:sz w:val="21"/>
          <w:szCs w:val="21"/>
        </w:rPr>
        <w:t> </w:t>
      </w:r>
    </w:p>
    <w:p>
      <w:pPr>
        <w:pStyle w:val="11"/>
        <w:spacing w:before="0" w:beforeAutospacing="0" w:after="0" w:afterAutospacing="0"/>
        <w:jc w:val="both"/>
      </w:pPr>
      <w:r>
        <w:rPr>
          <w:rStyle w:val="25"/>
          <w:rFonts w:hint="eastAsia" w:ascii="MS Mincho" w:hAnsi="MS Mincho" w:eastAsia="MS Mincho" w:cs="MS Mincho"/>
          <w:sz w:val="21"/>
          <w:szCs w:val="21"/>
        </w:rPr>
        <w:t>☐</w:t>
      </w:r>
      <w:r>
        <w:rPr>
          <w:rFonts w:hint="eastAsia"/>
          <w:sz w:val="21"/>
          <w:szCs w:val="21"/>
        </w:rPr>
        <w:t>居住建筑</w:t>
      </w:r>
    </w:p>
    <w:p>
      <w:pPr>
        <w:pStyle w:val="11"/>
        <w:spacing w:before="0" w:beforeAutospacing="0" w:after="0" w:afterAutospacing="0"/>
        <w:jc w:val="both"/>
      </w:pPr>
      <w:r>
        <w:rPr>
          <w:rFonts w:hint="eastAsia"/>
          <w:sz w:val="21"/>
          <w:szCs w:val="21"/>
        </w:rPr>
        <w:t>主要功能房间通风开口面积与房间地板面积比例表：</w:t>
      </w:r>
    </w:p>
    <w:tbl>
      <w:tblPr>
        <w:tblStyle w:val="13"/>
        <w:tblW w:w="9353" w:type="dxa"/>
        <w:jc w:val="center"/>
        <w:tblLayout w:type="autofit"/>
        <w:tblCellMar>
          <w:top w:w="0" w:type="dxa"/>
          <w:left w:w="0" w:type="dxa"/>
          <w:bottom w:w="0" w:type="dxa"/>
          <w:right w:w="0" w:type="dxa"/>
        </w:tblCellMar>
      </w:tblPr>
      <w:tblGrid>
        <w:gridCol w:w="1502"/>
        <w:gridCol w:w="1155"/>
        <w:gridCol w:w="1631"/>
        <w:gridCol w:w="3534"/>
        <w:gridCol w:w="1531"/>
      </w:tblGrid>
      <w:tr>
        <w:tblPrEx>
          <w:tblCellMar>
            <w:top w:w="0" w:type="dxa"/>
            <w:left w:w="0" w:type="dxa"/>
            <w:bottom w:w="0" w:type="dxa"/>
            <w:right w:w="0" w:type="dxa"/>
          </w:tblCellMar>
        </w:tblPrEx>
        <w:trPr>
          <w:trHeight w:val="284" w:hRule="atLeast"/>
          <w:jc w:val="center"/>
        </w:trPr>
        <w:tc>
          <w:tcPr>
            <w:tcW w:w="13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功能房间类型</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房间面积</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通风开口面积</w:t>
            </w:r>
          </w:p>
        </w:tc>
        <w:tc>
          <w:tcPr>
            <w:tcW w:w="31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通风开口面积与房间地板面积比</w:t>
            </w: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是否符合要求</w:t>
            </w:r>
          </w:p>
        </w:tc>
      </w:tr>
      <w:tr>
        <w:tblPrEx>
          <w:tblCellMar>
            <w:top w:w="0" w:type="dxa"/>
            <w:left w:w="0" w:type="dxa"/>
            <w:bottom w:w="0" w:type="dxa"/>
            <w:right w:w="0" w:type="dxa"/>
          </w:tblCellMar>
        </w:tblPrEx>
        <w:trPr>
          <w:trHeight w:val="284" w:hRule="atLeast"/>
          <w:jc w:val="center"/>
        </w:trPr>
        <w:tc>
          <w:tcPr>
            <w:tcW w:w="13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1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13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1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13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1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13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1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132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1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Style w:val="25"/>
          <w:rFonts w:hint="eastAsia" w:ascii="MS Mincho" w:hAnsi="MS Mincho" w:eastAsia="MS Mincho" w:cs="MS Mincho"/>
          <w:sz w:val="21"/>
          <w:szCs w:val="21"/>
        </w:rPr>
        <w:t>☑</w:t>
      </w:r>
      <w:r>
        <w:rPr>
          <w:rFonts w:hint="eastAsia"/>
          <w:sz w:val="21"/>
          <w:szCs w:val="21"/>
        </w:rPr>
        <w:t>公共建筑</w:t>
      </w:r>
    </w:p>
    <w:p>
      <w:pPr>
        <w:pStyle w:val="11"/>
        <w:spacing w:before="0" w:beforeAutospacing="0" w:after="0" w:afterAutospacing="0"/>
        <w:jc w:val="both"/>
      </w:pPr>
      <w:r>
        <w:rPr>
          <w:rFonts w:hint="eastAsia"/>
          <w:sz w:val="21"/>
          <w:szCs w:val="21"/>
        </w:rPr>
        <w:t>进行了优化设计的部分：</w:t>
      </w:r>
      <w:r>
        <w:rPr>
          <w:rStyle w:val="25"/>
          <w:rFonts w:hint="eastAsia" w:ascii="MS Mincho" w:hAnsi="MS Mincho" w:eastAsia="MS Mincho" w:cs="MS Mincho"/>
          <w:sz w:val="21"/>
          <w:szCs w:val="21"/>
        </w:rPr>
        <w:t>☑</w:t>
      </w:r>
      <w:r>
        <w:rPr>
          <w:rFonts w:hint="eastAsia"/>
          <w:sz w:val="21"/>
          <w:szCs w:val="21"/>
        </w:rPr>
        <w:t xml:space="preserve">建筑空间 </w:t>
      </w:r>
      <w:r>
        <w:rPr>
          <w:rStyle w:val="25"/>
          <w:rFonts w:hint="eastAsia" w:ascii="MS Mincho" w:hAnsi="MS Mincho" w:eastAsia="MS Mincho" w:cs="MS Mincho"/>
          <w:sz w:val="21"/>
          <w:szCs w:val="21"/>
        </w:rPr>
        <w:t>☐</w:t>
      </w:r>
      <w:r>
        <w:rPr>
          <w:rFonts w:hint="eastAsia"/>
          <w:sz w:val="21"/>
          <w:szCs w:val="21"/>
        </w:rPr>
        <w:t xml:space="preserve">平面布局 </w:t>
      </w:r>
      <w:r>
        <w:rPr>
          <w:rStyle w:val="25"/>
          <w:rFonts w:hint="eastAsia" w:ascii="MS Mincho" w:hAnsi="MS Mincho" w:eastAsia="MS Mincho" w:cs="MS Mincho"/>
          <w:sz w:val="21"/>
          <w:szCs w:val="21"/>
        </w:rPr>
        <w:t>☐</w:t>
      </w:r>
      <w:r>
        <w:rPr>
          <w:rFonts w:hint="eastAsia"/>
          <w:sz w:val="21"/>
          <w:szCs w:val="21"/>
        </w:rPr>
        <w:t>构造设计</w:t>
      </w:r>
    </w:p>
    <w:p>
      <w:pPr>
        <w:pStyle w:val="11"/>
        <w:spacing w:before="0" w:beforeAutospacing="0" w:after="0" w:afterAutospacing="0"/>
        <w:jc w:val="both"/>
      </w:pPr>
      <w:r>
        <w:rPr>
          <w:rFonts w:hint="eastAsia"/>
          <w:sz w:val="21"/>
          <w:szCs w:val="21"/>
        </w:rPr>
        <w:t>过渡季典型工况下主要功能房间平均自然通风换气次数不小于</w:t>
      </w:r>
      <w:r>
        <w:rPr>
          <w:rFonts w:ascii="Times New Roman" w:hAnsi="Times New Roman" w:cs="Times New Roman"/>
          <w:sz w:val="21"/>
          <w:szCs w:val="21"/>
        </w:rPr>
        <w:t>2</w:t>
      </w:r>
      <w:r>
        <w:rPr>
          <w:rFonts w:hint="eastAsia"/>
          <w:sz w:val="21"/>
          <w:szCs w:val="21"/>
        </w:rPr>
        <w:t>次</w:t>
      </w:r>
      <w:r>
        <w:rPr>
          <w:rFonts w:ascii="Times New Roman" w:hAnsi="Times New Roman" w:cs="Times New Roman"/>
          <w:sz w:val="21"/>
          <w:szCs w:val="21"/>
        </w:rPr>
        <w:t>/h</w:t>
      </w:r>
      <w:r>
        <w:rPr>
          <w:rFonts w:hint="eastAsia"/>
          <w:sz w:val="21"/>
          <w:szCs w:val="21"/>
        </w:rPr>
        <w:t>的面积统计</w:t>
      </w:r>
    </w:p>
    <w:tbl>
      <w:tblPr>
        <w:tblStyle w:val="13"/>
        <w:tblW w:w="9423" w:type="dxa"/>
        <w:jc w:val="center"/>
        <w:tblLayout w:type="autofit"/>
        <w:tblCellMar>
          <w:top w:w="0" w:type="dxa"/>
          <w:left w:w="0" w:type="dxa"/>
          <w:bottom w:w="0" w:type="dxa"/>
          <w:right w:w="0" w:type="dxa"/>
        </w:tblCellMar>
      </w:tblPr>
      <w:tblGrid>
        <w:gridCol w:w="1658"/>
        <w:gridCol w:w="3211"/>
        <w:gridCol w:w="2410"/>
        <w:gridCol w:w="2144"/>
      </w:tblGrid>
      <w:tr>
        <w:tblPrEx>
          <w:tblCellMar>
            <w:top w:w="0" w:type="dxa"/>
            <w:left w:w="0" w:type="dxa"/>
            <w:bottom w:w="0" w:type="dxa"/>
            <w:right w:w="0" w:type="dxa"/>
          </w:tblCellMar>
        </w:tblPrEx>
        <w:trPr>
          <w:jc w:val="center"/>
        </w:trPr>
        <w:tc>
          <w:tcPr>
            <w:tcW w:w="88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分析区域</w:t>
            </w:r>
          </w:p>
        </w:tc>
        <w:tc>
          <w:tcPr>
            <w:tcW w:w="170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主要功能空间面积（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2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达标面积（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3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通风达标比例</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tblPrEx>
          <w:tblCellMar>
            <w:top w:w="0" w:type="dxa"/>
            <w:left w:w="0" w:type="dxa"/>
            <w:bottom w:w="0" w:type="dxa"/>
            <w:right w:w="0" w:type="dxa"/>
          </w:tblCellMar>
        </w:tblPrEx>
        <w:trPr>
          <w:jc w:val="center"/>
        </w:trPr>
        <w:tc>
          <w:tcPr>
            <w:tcW w:w="88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活动室</w:t>
            </w:r>
          </w:p>
        </w:tc>
        <w:tc>
          <w:tcPr>
            <w:tcW w:w="170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100 </w:t>
            </w:r>
          </w:p>
        </w:tc>
        <w:tc>
          <w:tcPr>
            <w:tcW w:w="12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100 </w:t>
            </w:r>
          </w:p>
        </w:tc>
        <w:tc>
          <w:tcPr>
            <w:tcW w:w="113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90</w:t>
            </w:r>
          </w:p>
        </w:tc>
      </w:tr>
      <w:tr>
        <w:tblPrEx>
          <w:tblCellMar>
            <w:top w:w="0" w:type="dxa"/>
            <w:left w:w="0" w:type="dxa"/>
            <w:bottom w:w="0" w:type="dxa"/>
            <w:right w:w="0" w:type="dxa"/>
          </w:tblCellMar>
        </w:tblPrEx>
        <w:trPr>
          <w:jc w:val="center"/>
        </w:trPr>
        <w:tc>
          <w:tcPr>
            <w:tcW w:w="88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70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88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70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88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70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88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70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pPr>
      <w:r>
        <w:br w:type="page"/>
      </w:r>
    </w:p>
    <w:p>
      <w:pPr>
        <w:pStyle w:val="11"/>
        <w:spacing w:before="0" w:beforeAutospacing="0" w:after="0" w:afterAutospacing="0"/>
        <w:jc w:val="both"/>
      </w:pPr>
      <w:r>
        <w:rPr>
          <w:rFonts w:hint="eastAsia"/>
          <w:sz w:val="21"/>
          <w:szCs w:val="21"/>
        </w:rPr>
        <w:t>请简要描述项目改善室内自然通风的技术措施，尤其是对建筑空间、平面布局和构造等的优化设计措施，并说明改善效果。（</w:t>
      </w:r>
      <w:r>
        <w:rPr>
          <w:rFonts w:ascii="Times New Roman" w:hAnsi="Times New Roman" w:cs="Times New Roman"/>
          <w:sz w:val="21"/>
          <w:szCs w:val="21"/>
        </w:rPr>
        <w:t>200</w:t>
      </w:r>
      <w:r>
        <w:rPr>
          <w:rFonts w:hint="eastAsia"/>
          <w:sz w:val="21"/>
          <w:szCs w:val="21"/>
        </w:rPr>
        <w:t>字内）</w:t>
      </w:r>
    </w:p>
    <w:tbl>
      <w:tblPr>
        <w:tblStyle w:val="13"/>
        <w:tblW w:w="0" w:type="auto"/>
        <w:jc w:val="center"/>
        <w:tblLayout w:type="autofit"/>
        <w:tblCellMar>
          <w:top w:w="0" w:type="dxa"/>
          <w:left w:w="0" w:type="dxa"/>
          <w:bottom w:w="0" w:type="dxa"/>
          <w:right w:w="0" w:type="dxa"/>
        </w:tblCellMar>
      </w:tblPr>
      <w:tblGrid>
        <w:gridCol w:w="7830"/>
      </w:tblGrid>
      <w:tr>
        <w:tblPrEx>
          <w:tblCellMar>
            <w:top w:w="0" w:type="dxa"/>
            <w:left w:w="0" w:type="dxa"/>
            <w:bottom w:w="0" w:type="dxa"/>
            <w:right w:w="0" w:type="dxa"/>
          </w:tblCellMar>
        </w:tblPrEx>
        <w:trPr>
          <w:trHeight w:val="2634" w:hRule="atLeast"/>
          <w:jc w:val="center"/>
        </w:trPr>
        <w:tc>
          <w:tcPr>
            <w:tcW w:w="783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本项目建筑朝向为东西向，布局合理，满足国家节能标准。建筑窗墙比均满足国家节能标准。建筑布局充分考虑了风环境的要求，避开了主导风向，夏季利于自然通风。</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）建筑竣工图及设计说明，应包含平面图、立面图、门窗表；</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）住宅建筑外窗可开启面积比例计算书、公共建筑室内自然通风模拟分析报告；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）室内自然通风优化模拟分析报告：应体现优化前后的通风效果对比。</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住宅建筑外窗可开启面积比例计算书：3建筑设计/ 居住建筑外窗可开启面积比例计算书.xls</w:t>
            </w:r>
            <w:r>
              <w:rPr>
                <w:rFonts w:ascii="Times New Roman" w:hAnsi="Times New Roman" w:cs="Times New Roman"/>
                <w:sz w:val="20"/>
                <w:szCs w:val="20"/>
              </w:rPr>
              <w:br w:type="textWrapping"/>
            </w:r>
            <w:r>
              <w:rPr>
                <w:rStyle w:val="26"/>
                <w:rFonts w:ascii="Times New Roman" w:hAnsi="Times New Roman" w:cs="Times New Roman"/>
                <w:sz w:val="20"/>
                <w:szCs w:val="20"/>
              </w:rPr>
              <w:t>公共建筑室内自然通风模拟分析报告：5暖通设计/ 室内自然通风模拟分析报告报告材料.doc</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Pr>
        <w:pStyle w:val="11"/>
        <w:spacing w:before="0" w:beforeAutospacing="0" w:after="0" w:afterAutospacing="0"/>
        <w:jc w:val="both"/>
      </w:pPr>
      <w:r>
        <w:rPr>
          <w:rFonts w:ascii="Times New Roman" w:hAnsi="Times New Roman" w:cs="Times New Roman"/>
          <w:sz w:val="21"/>
          <w:szCs w:val="21"/>
        </w:rPr>
        <w:t> </w:t>
      </w:r>
    </w:p>
    <w:p>
      <w:pPr>
        <w:rPr>
          <w:rFonts w:ascii="Times New Roman" w:hAnsi="Times New Roman" w:cs="Times New Roman"/>
          <w:b/>
          <w:bCs/>
        </w:rPr>
      </w:pPr>
      <w:r>
        <w:rPr>
          <w:rFonts w:ascii="Times New Roman" w:hAnsi="Times New Roman" w:cs="Times New Roman"/>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5.2.11 设置可调节遮阳设施，改善室内热舒适。（9分）</w:t>
      </w:r>
    </w:p>
    <w:p>
      <w:pPr>
        <w:pStyle w:val="11"/>
        <w:spacing w:before="0" w:beforeAutospacing="0" w:after="0"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9"/>
        <w:gridCol w:w="1935"/>
        <w:gridCol w:w="2423"/>
        <w:gridCol w:w="1573"/>
        <w:gridCol w:w="1331"/>
      </w:tblGrid>
      <w:tr>
        <w:tblPrEx>
          <w:tblCellMar>
            <w:top w:w="0" w:type="dxa"/>
            <w:left w:w="0" w:type="dxa"/>
            <w:bottom w:w="0" w:type="dxa"/>
            <w:right w:w="0" w:type="dxa"/>
          </w:tblCellMar>
        </w:tblPrEx>
        <w:trPr>
          <w:jc w:val="center"/>
        </w:trPr>
        <w:tc>
          <w:tcPr>
            <w:tcW w:w="45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81" w:hRule="atLeast"/>
          <w:jc w:val="center"/>
        </w:trPr>
        <w:tc>
          <w:tcPr>
            <w:tcW w:w="456"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1" w:lineRule="atLeast"/>
              <w:jc w:val="center"/>
            </w:pPr>
            <w:r>
              <w:rPr>
                <w:rFonts w:ascii="Times New Roman" w:hAnsi="Times New Roman" w:cs="Times New Roman"/>
                <w:sz w:val="21"/>
                <w:szCs w:val="21"/>
              </w:rPr>
              <w:t>1</w:t>
            </w:r>
          </w:p>
        </w:tc>
        <w:tc>
          <w:tcPr>
            <w:tcW w:w="1211"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1" w:lineRule="atLeast"/>
            </w:pPr>
            <w:r>
              <w:rPr>
                <w:rFonts w:hint="eastAsia"/>
                <w:sz w:val="21"/>
                <w:szCs w:val="21"/>
              </w:rPr>
              <w:t>可调节遮阳设施面积占外窗透明部分比例</w:t>
            </w:r>
            <w:r>
              <w:rPr>
                <w:rFonts w:ascii="Times New Roman" w:hAnsi="Times New Roman" w:cs="Times New Roman"/>
                <w:sz w:val="21"/>
                <w:szCs w:val="21"/>
              </w:rPr>
              <w:t>SZ</w:t>
            </w:r>
          </w:p>
        </w:tc>
        <w:tc>
          <w:tcPr>
            <w:tcW w:w="151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1" w:lineRule="atLeast"/>
              <w:jc w:val="center"/>
            </w:pPr>
            <w:r>
              <w:rPr>
                <w:rFonts w:ascii="Times New Roman" w:hAnsi="Times New Roman" w:cs="Times New Roman"/>
                <w:sz w:val="21"/>
                <w:szCs w:val="21"/>
              </w:rPr>
              <w:t>25%</w:t>
            </w:r>
            <w:r>
              <w:rPr>
                <w:rFonts w:hint="eastAsia"/>
                <w:sz w:val="21"/>
                <w:szCs w:val="21"/>
              </w:rPr>
              <w:t>≤</w:t>
            </w:r>
            <w:r>
              <w:rPr>
                <w:rFonts w:ascii="Times New Roman" w:hAnsi="Times New Roman" w:cs="Times New Roman"/>
                <w:sz w:val="21"/>
                <w:szCs w:val="21"/>
              </w:rPr>
              <w:t>SZ&lt;35%</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1" w:lineRule="atLeast"/>
              <w:jc w:val="center"/>
            </w:pPr>
            <w:r>
              <w:rPr>
                <w:rFonts w:ascii="Times New Roman" w:hAnsi="Times New Roman" w:cs="Times New Roman"/>
                <w:sz w:val="21"/>
                <w:szCs w:val="21"/>
              </w:rPr>
              <w:t>3</w:t>
            </w:r>
          </w:p>
        </w:tc>
        <w:tc>
          <w:tcPr>
            <w:tcW w:w="833"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1" w:lineRule="atLeast"/>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trHeight w:val="7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51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35%</w:t>
            </w:r>
            <w:r>
              <w:rPr>
                <w:rFonts w:hint="eastAsia"/>
                <w:sz w:val="21"/>
                <w:szCs w:val="21"/>
              </w:rPr>
              <w:t>≤</w:t>
            </w:r>
            <w:r>
              <w:rPr>
                <w:rFonts w:ascii="Times New Roman" w:hAnsi="Times New Roman" w:cs="Times New Roman"/>
                <w:sz w:val="21"/>
                <w:szCs w:val="21"/>
              </w:rPr>
              <w:t>SZ&lt;45%</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7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51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45%</w:t>
            </w:r>
            <w:r>
              <w:rPr>
                <w:rFonts w:hint="eastAsia"/>
                <w:sz w:val="21"/>
                <w:szCs w:val="21"/>
              </w:rPr>
              <w:t>≤</w:t>
            </w:r>
            <w:r>
              <w:rPr>
                <w:rFonts w:ascii="Times New Roman" w:hAnsi="Times New Roman" w:cs="Times New Roman"/>
                <w:sz w:val="21"/>
                <w:szCs w:val="21"/>
              </w:rPr>
              <w:t>SZ&lt;55%</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7</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7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51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SZ</w:t>
            </w:r>
            <w:r>
              <w:rPr>
                <w:rFonts w:hint="eastAsia"/>
                <w:sz w:val="21"/>
                <w:szCs w:val="21"/>
              </w:rPr>
              <w:t>≥</w:t>
            </w:r>
            <w:r>
              <w:rPr>
                <w:rFonts w:ascii="Times New Roman" w:hAnsi="Times New Roman" w:cs="Times New Roman"/>
                <w:sz w:val="21"/>
                <w:szCs w:val="21"/>
              </w:rPr>
              <w:t>55%</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9</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78" w:hRule="atLeast"/>
          <w:jc w:val="center"/>
        </w:trPr>
        <w:tc>
          <w:tcPr>
            <w:tcW w:w="45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2</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pPr>
            <w:r>
              <w:rPr>
                <w:rFonts w:hint="eastAsia"/>
                <w:sz w:val="21"/>
                <w:szCs w:val="21"/>
              </w:rPr>
              <w:t>严寒地区、全年空调度日数小于</w:t>
            </w:r>
            <w:r>
              <w:rPr>
                <w:rFonts w:ascii="Times New Roman" w:hAnsi="Times New Roman" w:cs="Times New Roman"/>
                <w:sz w:val="21"/>
                <w:szCs w:val="21"/>
              </w:rPr>
              <w:t>10</w:t>
            </w:r>
            <w:r>
              <w:rPr>
                <w:rFonts w:hint="eastAsia"/>
                <w:sz w:val="21"/>
                <w:szCs w:val="21"/>
              </w:rPr>
              <w:t>℃</w:t>
            </w:r>
            <w:r>
              <w:rPr>
                <w:rFonts w:ascii="Times New Roman" w:hAnsi="Times New Roman" w:cs="Times New Roman"/>
                <w:sz w:val="21"/>
                <w:szCs w:val="21"/>
              </w:rPr>
              <w:t>d</w:t>
            </w:r>
            <w:r>
              <w:rPr>
                <w:rFonts w:hint="eastAsia"/>
                <w:sz w:val="21"/>
                <w:szCs w:val="21"/>
              </w:rPr>
              <w:t>的寒冷及温和地区的建筑直接得分</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9</w:t>
            </w:r>
          </w:p>
        </w:tc>
        <w:tc>
          <w:tcPr>
            <w:tcW w:w="83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8" w:lineRule="atLeast"/>
              <w:jc w:val="center"/>
            </w:pPr>
            <w:r>
              <w:rPr>
                <w:rFonts w:ascii="Times New Roman" w:hAnsi="Times New Roman" w:cs="Times New Roman"/>
                <w:sz w:val="21"/>
                <w:szCs w:val="21"/>
              </w:rPr>
              <w:t>5 </w:t>
            </w:r>
          </w:p>
        </w:tc>
      </w:tr>
    </w:tbl>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请简要说明项目所采用的可控遮阳调节措施及应用位置。</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34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r>
              <w:rPr>
                <w:rFonts w:hint="eastAsia" w:ascii="微软雅黑" w:hAnsi="微软雅黑" w:eastAsia="微软雅黑"/>
                <w:sz w:val="21"/>
                <w:szCs w:val="21"/>
                <w:shd w:val="clear" w:color="auto" w:fill="FFFFFF"/>
              </w:rPr>
              <w:t>4.0.7东偏北30°至东偏南60°、西偏北30°至西偏南60°范围内的外窗应设置挡板式遮阳或可以遮住窗户正面的活动外遮阳，南向的外窗宜设置水平遮阳或可以遮住窗户正面的活动外遮阳。各朝向的窗户，当设置了可以完全遮住正面的 活动外遮阳时，应认为满足本标准表4.0.5-2对外窗的要求</w:t>
            </w:r>
            <w:r>
              <w:rPr>
                <w:rFonts w:hint="eastAsia"/>
                <w:sz w:val="20"/>
                <w:szCs w:val="20"/>
              </w:rPr>
              <w:br w:type="textWrapping"/>
            </w:r>
            <w:r>
              <w:rPr>
                <w:rFonts w:hint="eastAsia" w:ascii="MS Mincho" w:hAnsi="MS Mincho" w:eastAsia="MS Mincho" w:cs="MS Mincho"/>
                <w:sz w:val="20"/>
                <w:szCs w:val="20"/>
              </w:rPr>
              <w:t>​</w:t>
            </w:r>
          </w:p>
          <w:p>
            <w:pPr>
              <w:pStyle w:val="11"/>
              <w:shd w:val="clear" w:color="auto" w:fill="FFFFFF"/>
              <w:spacing w:before="0" w:beforeAutospacing="0" w:after="0" w:afterAutospacing="0"/>
              <w:rPr>
                <w:rFonts w:hint="eastAsia" w:ascii="微软雅黑" w:hAnsi="微软雅黑" w:eastAsia="微软雅黑"/>
                <w:sz w:val="21"/>
                <w:szCs w:val="21"/>
              </w:rPr>
            </w:pPr>
            <w:r>
              <w:rPr>
                <w:rFonts w:hint="eastAsia" w:ascii="微软雅黑" w:hAnsi="微软雅黑" w:eastAsia="微软雅黑"/>
                <w:sz w:val="21"/>
                <w:szCs w:val="21"/>
              </w:rPr>
              <w:t>活动外遮阳、中置可调遮阳和可调内遮阳设施，可直接取其应用外窗的比例，即装置遮阳设施外窗面积占所有外窗面积的比例；</w:t>
            </w:r>
          </w:p>
          <w:p>
            <w:pPr>
              <w:pStyle w:val="11"/>
              <w:shd w:val="clear" w:color="auto" w:fill="FFFFFF"/>
              <w:spacing w:before="0" w:beforeAutospacing="0" w:after="0" w:afterAutospacing="0"/>
              <w:rPr>
                <w:rFonts w:hint="eastAsia" w:ascii="微软雅黑" w:hAnsi="微软雅黑" w:eastAsia="微软雅黑"/>
                <w:sz w:val="21"/>
                <w:szCs w:val="21"/>
              </w:rPr>
            </w:pPr>
            <w:r>
              <w:rPr>
                <w:rFonts w:hint="eastAsia" w:ascii="微软雅黑" w:hAnsi="微软雅黑" w:eastAsia="微软雅黑"/>
                <w:sz w:val="21"/>
                <w:szCs w:val="21"/>
              </w:rPr>
              <w:t>对于固定外遮阳加内部高反射率可调节遮阳设施， 按大暑日9:00-17:00之间所有整点时刻其有效遮阳面积比例平均值进行计算，即该期间所有整点时刻其在所有外窗的投影面积占所有外窗面积比例的平均值。</w:t>
            </w:r>
          </w:p>
          <w:p>
            <w:r>
              <w:rPr>
                <w:rFonts w:hint="eastAsia" w:ascii="MS Mincho" w:hAnsi="MS Mincho" w:eastAsia="MS Mincho" w:cs="MS Mincho"/>
                <w:sz w:val="20"/>
                <w:szCs w:val="20"/>
              </w:rPr>
              <w:t>​​</w:t>
            </w:r>
          </w:p>
        </w:tc>
      </w:tr>
    </w:tbl>
    <w:p>
      <w:pPr>
        <w:pStyle w:val="11"/>
        <w:spacing w:before="0" w:beforeAutospacing="0" w:after="0" w:afterAutospacing="0"/>
        <w:jc w:val="both"/>
      </w:pPr>
      <w:r>
        <w:rPr>
          <w:rFonts w:hint="eastAsia"/>
          <w:sz w:val="21"/>
          <w:szCs w:val="21"/>
        </w:rPr>
        <w:t>采取可控遮阳的面积统计</w:t>
      </w:r>
    </w:p>
    <w:tbl>
      <w:tblPr>
        <w:tblStyle w:val="13"/>
        <w:tblW w:w="9448" w:type="dxa"/>
        <w:jc w:val="center"/>
        <w:tblLayout w:type="autofit"/>
        <w:tblCellMar>
          <w:top w:w="0" w:type="dxa"/>
          <w:left w:w="0" w:type="dxa"/>
          <w:bottom w:w="0" w:type="dxa"/>
          <w:right w:w="0" w:type="dxa"/>
        </w:tblCellMar>
      </w:tblPr>
      <w:tblGrid>
        <w:gridCol w:w="1338"/>
        <w:gridCol w:w="1345"/>
        <w:gridCol w:w="1347"/>
        <w:gridCol w:w="1138"/>
        <w:gridCol w:w="1992"/>
        <w:gridCol w:w="2288"/>
      </w:tblGrid>
      <w:tr>
        <w:tblPrEx>
          <w:tblCellMar>
            <w:top w:w="0" w:type="dxa"/>
            <w:left w:w="0" w:type="dxa"/>
            <w:bottom w:w="0" w:type="dxa"/>
            <w:right w:w="0" w:type="dxa"/>
          </w:tblCellMar>
        </w:tblPrEx>
        <w:trPr>
          <w:trHeight w:val="284" w:hRule="atLeast"/>
          <w:jc w:val="center"/>
        </w:trPr>
        <w:tc>
          <w:tcPr>
            <w:tcW w:w="708"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外窗类型</w:t>
            </w:r>
            <w:r>
              <w:rPr>
                <w:rFonts w:ascii="Times New Roman" w:hAnsi="Times New Roman" w:cs="Times New Roman"/>
                <w:sz w:val="21"/>
                <w:szCs w:val="21"/>
              </w:rPr>
              <w:t>/</w:t>
            </w:r>
            <w:r>
              <w:rPr>
                <w:rFonts w:hint="eastAsia"/>
                <w:sz w:val="21"/>
                <w:szCs w:val="21"/>
              </w:rPr>
              <w:t>朝向</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尺寸</w:t>
            </w:r>
          </w:p>
        </w:tc>
        <w:tc>
          <w:tcPr>
            <w:tcW w:w="602"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数量</w:t>
            </w:r>
          </w:p>
          <w:p>
            <w:pPr>
              <w:pStyle w:val="11"/>
              <w:spacing w:before="0" w:beforeAutospacing="0" w:after="0" w:afterAutospacing="0"/>
              <w:jc w:val="center"/>
            </w:pPr>
            <w:r>
              <w:rPr>
                <w:rFonts w:hint="eastAsia"/>
                <w:sz w:val="21"/>
                <w:szCs w:val="21"/>
              </w:rPr>
              <w:t>（个）</w:t>
            </w:r>
          </w:p>
        </w:tc>
        <w:tc>
          <w:tcPr>
            <w:tcW w:w="105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采取可控遮阳调节措施面积（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211"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采取可控遮阳调节措施面积比例（</w:t>
            </w:r>
            <w:r>
              <w:rPr>
                <w:rFonts w:ascii="Times New Roman" w:hAnsi="Times New Roman" w:cs="Times New Roman"/>
                <w:sz w:val="21"/>
                <w:szCs w:val="21"/>
              </w:rPr>
              <w:t>%</w:t>
            </w:r>
            <w:r>
              <w:rPr>
                <w:rFonts w:hint="eastAsia"/>
                <w:sz w:val="21"/>
                <w:szCs w:val="21"/>
              </w:rPr>
              <w:t>）</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宽度</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hint="eastAsia"/>
                <w:sz w:val="21"/>
                <w:szCs w:val="21"/>
              </w:rPr>
              <w:t>）</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高度</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hint="eastAsia"/>
                <w:sz w:val="21"/>
                <w:szCs w:val="21"/>
              </w:rPr>
              <w:t>）</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284" w:hRule="atLeast"/>
          <w:jc w:val="center"/>
        </w:trPr>
        <w:tc>
          <w:tcPr>
            <w:tcW w:w="70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外开下悬窗</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1</w:t>
            </w:r>
          </w:p>
        </w:tc>
        <w:tc>
          <w:tcPr>
            <w:tcW w:w="6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若干 </w:t>
            </w:r>
          </w:p>
        </w:tc>
        <w:tc>
          <w:tcPr>
            <w:tcW w:w="10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0.5 </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50 </w:t>
            </w:r>
          </w:p>
        </w:tc>
      </w:tr>
      <w:tr>
        <w:tblPrEx>
          <w:tblCellMar>
            <w:top w:w="0" w:type="dxa"/>
            <w:left w:w="0" w:type="dxa"/>
            <w:bottom w:w="0" w:type="dxa"/>
            <w:right w:w="0" w:type="dxa"/>
          </w:tblCellMar>
        </w:tblPrEx>
        <w:trPr>
          <w:trHeight w:val="284" w:hRule="atLeast"/>
          <w:jc w:val="center"/>
        </w:trPr>
        <w:tc>
          <w:tcPr>
            <w:tcW w:w="70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6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70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6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70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6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70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6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70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713"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60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0" w:type="auto"/>
            <w:gridSpan w:val="5"/>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采取可控遮阳调节措施面积比例总计（</w:t>
            </w:r>
            <w:r>
              <w:rPr>
                <w:rFonts w:ascii="Times New Roman" w:hAnsi="Times New Roman" w:cs="Times New Roman"/>
                <w:sz w:val="21"/>
                <w:szCs w:val="21"/>
              </w:rPr>
              <w:t>%</w:t>
            </w:r>
            <w:r>
              <w:rPr>
                <w:rFonts w:hint="eastAsia"/>
                <w:sz w:val="21"/>
                <w:szCs w:val="21"/>
              </w:rPr>
              <w:t>）</w:t>
            </w:r>
          </w:p>
        </w:tc>
        <w:tc>
          <w:tcPr>
            <w:tcW w:w="121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遮阳设计图纸及设计说明、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）遮阳装置产品说明书、招标文件、采购合同。</w:t>
      </w:r>
    </w:p>
    <w:p>
      <w:pPr>
        <w:pStyle w:val="11"/>
        <w:spacing w:before="0" w:beforeAutospacing="0" w:after="0" w:afterAutospacing="0"/>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35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可调节遮阳设施的面积占外窗透明部分比例计算书：3建筑设计/ 可调节遮阳设施面积占外窗透明部分比例计算书.docx</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遮阳装置产品说明书：3建筑设计/ 遮阳装置产品说明书、招标文件、采购合同/</w:t>
            </w:r>
          </w:p>
        </w:tc>
      </w:tr>
    </w:tbl>
    <w:p/>
    <w:p>
      <w:pPr>
        <w:jc w:val="center"/>
      </w:pPr>
      <w:r>
        <w:rPr>
          <w:b/>
          <w:bCs/>
          <w:color w:val="000000"/>
        </w:rPr>
        <w:br w:type="page"/>
      </w:r>
      <w:r>
        <w:rPr>
          <w:rFonts w:hint="eastAsia"/>
          <w:b/>
          <w:bCs/>
          <w:color w:val="000000"/>
        </w:rPr>
        <w:t>6 生活便利</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00"/>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shd w:val="clear" w:color="auto" w:fill="DCDCDC"/>
            <w:noWrap w:val="0"/>
            <w:vAlign w:val="center"/>
          </w:tcPr>
          <w:p>
            <w:pPr>
              <w:spacing w:after="3"/>
              <w:jc w:val="center"/>
            </w:pPr>
            <w:r>
              <w:rPr>
                <w:rFonts w:hint="eastAsia"/>
                <w:b/>
                <w:bCs/>
                <w:color w:val="000000"/>
                <w:sz w:val="20"/>
                <w:szCs w:val="20"/>
              </w:rPr>
              <w:t>子项</w:t>
            </w:r>
          </w:p>
        </w:tc>
        <w:tc>
          <w:tcPr>
            <w:tcW w:w="800" w:type="dxa"/>
            <w:shd w:val="clear" w:color="auto" w:fill="DCDCDC"/>
            <w:noWrap w:val="0"/>
            <w:vAlign w:val="center"/>
          </w:tcPr>
          <w:p>
            <w:pPr>
              <w:spacing w:after="3"/>
              <w:jc w:val="center"/>
            </w:pPr>
            <w:r>
              <w:rPr>
                <w:rFonts w:hint="eastAsia"/>
                <w:b/>
                <w:bCs/>
                <w:color w:val="000000"/>
                <w:sz w:val="22"/>
              </w:rPr>
              <w:t>条文编号</w:t>
            </w:r>
          </w:p>
        </w:tc>
        <w:tc>
          <w:tcPr>
            <w:tcW w:w="5000" w:type="dxa"/>
            <w:shd w:val="clear" w:color="auto" w:fill="DCDCDC"/>
            <w:noWrap w:val="0"/>
            <w:vAlign w:val="center"/>
          </w:tcPr>
          <w:p>
            <w:pPr>
              <w:spacing w:after="3"/>
              <w:jc w:val="center"/>
            </w:pPr>
            <w:r>
              <w:rPr>
                <w:rFonts w:hint="eastAsia"/>
                <w:b/>
                <w:bCs/>
                <w:color w:val="000000"/>
                <w:sz w:val="20"/>
                <w:szCs w:val="20"/>
              </w:rPr>
              <w:t>条文</w:t>
            </w:r>
          </w:p>
        </w:tc>
        <w:tc>
          <w:tcPr>
            <w:tcW w:w="800" w:type="dxa"/>
            <w:shd w:val="clear" w:color="auto" w:fill="DCDCDC"/>
            <w:noWrap w:val="0"/>
            <w:vAlign w:val="center"/>
          </w:tcPr>
          <w:p>
            <w:pPr>
              <w:spacing w:after="3"/>
              <w:jc w:val="center"/>
            </w:pPr>
            <w:r>
              <w:rPr>
                <w:rFonts w:hint="eastAsia"/>
                <w:b/>
                <w:bCs/>
                <w:color w:val="000000"/>
                <w:sz w:val="20"/>
                <w:szCs w:val="20"/>
              </w:rPr>
              <w:t>满分</w:t>
            </w:r>
          </w:p>
        </w:tc>
        <w:tc>
          <w:tcPr>
            <w:tcW w:w="800" w:type="dxa"/>
            <w:shd w:val="clear" w:color="auto" w:fill="DCDCDC"/>
            <w:noWrap w:val="0"/>
            <w:vAlign w:val="center"/>
          </w:tcPr>
          <w:p>
            <w:pPr>
              <w:spacing w:after="3"/>
              <w:jc w:val="center"/>
            </w:pPr>
            <w:r>
              <w:rPr>
                <w:rFonts w:hint="eastAsia"/>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控制项</w:t>
            </w:r>
          </w:p>
        </w:tc>
        <w:tc>
          <w:tcPr>
            <w:tcW w:w="800" w:type="dxa"/>
            <w:noWrap w:val="0"/>
            <w:vAlign w:val="center"/>
          </w:tcPr>
          <w:p>
            <w:pPr>
              <w:spacing w:after="3"/>
            </w:pPr>
            <w:r>
              <w:rPr>
                <w:rFonts w:hint="eastAsia"/>
                <w:bCs/>
                <w:color w:val="000000"/>
                <w:sz w:val="22"/>
              </w:rPr>
              <w:t>6.1.1</w:t>
            </w:r>
          </w:p>
        </w:tc>
        <w:tc>
          <w:tcPr>
            <w:tcW w:w="5000" w:type="dxa"/>
            <w:noWrap w:val="0"/>
            <w:vAlign w:val="center"/>
          </w:tcPr>
          <w:p>
            <w:pPr>
              <w:spacing w:after="3"/>
            </w:pPr>
            <w:r>
              <w:rPr>
                <w:rFonts w:hint="eastAsia"/>
                <w:bCs/>
                <w:color w:val="000000"/>
                <w:sz w:val="22"/>
              </w:rPr>
              <w:t>无障碍步行系统</w:t>
            </w:r>
          </w:p>
        </w:tc>
        <w:tc>
          <w:tcPr>
            <w:tcW w:w="800" w:type="dxa"/>
            <w:noWrap w:val="0"/>
            <w:vAlign w:val="center"/>
          </w:tcPr>
          <w:p>
            <w:pPr>
              <w:spacing w:after="3"/>
              <w:jc w:val="center"/>
            </w:pPr>
            <w:r>
              <w:rPr>
                <w:rFonts w:hint="eastAsia"/>
                <w:bCs/>
                <w:color w:val="000000"/>
                <w:sz w:val="22"/>
              </w:rPr>
              <w:t>/</w:t>
            </w:r>
          </w:p>
        </w:tc>
        <w:tc>
          <w:tcPr>
            <w:tcW w:w="800" w:type="dxa"/>
            <w:noWrap w:val="0"/>
            <w:vAlign w:val="center"/>
          </w:tcPr>
          <w:p>
            <w:pPr>
              <w:spacing w:after="3"/>
              <w:jc w:val="center"/>
            </w:pPr>
            <w:r>
              <w:rPr>
                <w:rFonts w:hint="eastAsia"/>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6.1.2</w:t>
            </w:r>
          </w:p>
        </w:tc>
        <w:tc>
          <w:tcPr>
            <w:tcW w:w="5000" w:type="dxa"/>
            <w:noWrap w:val="0"/>
            <w:vAlign w:val="center"/>
          </w:tcPr>
          <w:p>
            <w:pPr>
              <w:spacing w:after="3"/>
            </w:pPr>
            <w:r>
              <w:rPr>
                <w:rFonts w:hint="eastAsia"/>
                <w:bCs/>
                <w:color w:val="000000"/>
                <w:sz w:val="22"/>
              </w:rPr>
              <w:t>公共交通站点</w:t>
            </w:r>
          </w:p>
        </w:tc>
        <w:tc>
          <w:tcPr>
            <w:tcW w:w="800" w:type="dxa"/>
            <w:noWrap w:val="0"/>
            <w:vAlign w:val="center"/>
          </w:tcPr>
          <w:p>
            <w:pPr>
              <w:spacing w:after="3"/>
              <w:jc w:val="center"/>
            </w:pPr>
            <w:r>
              <w:rPr>
                <w:rFonts w:hint="eastAsia"/>
                <w:bCs/>
                <w:color w:val="000000"/>
                <w:sz w:val="22"/>
              </w:rPr>
              <w:t>/</w:t>
            </w:r>
          </w:p>
        </w:tc>
        <w:tc>
          <w:tcPr>
            <w:tcW w:w="800" w:type="dxa"/>
            <w:noWrap w:val="0"/>
            <w:vAlign w:val="center"/>
          </w:tcPr>
          <w:p>
            <w:pPr>
              <w:spacing w:after="3"/>
              <w:jc w:val="center"/>
            </w:pPr>
            <w:r>
              <w:rPr>
                <w:rFonts w:hint="eastAsia"/>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6.1.3</w:t>
            </w:r>
          </w:p>
        </w:tc>
        <w:tc>
          <w:tcPr>
            <w:tcW w:w="5000" w:type="dxa"/>
            <w:noWrap w:val="0"/>
            <w:vAlign w:val="center"/>
          </w:tcPr>
          <w:p>
            <w:pPr>
              <w:spacing w:after="3"/>
            </w:pPr>
            <w:r>
              <w:rPr>
                <w:rFonts w:hint="eastAsia"/>
                <w:bCs/>
                <w:color w:val="000000"/>
                <w:sz w:val="22"/>
              </w:rPr>
              <w:t>电动汽车配套措施</w:t>
            </w:r>
          </w:p>
        </w:tc>
        <w:tc>
          <w:tcPr>
            <w:tcW w:w="800" w:type="dxa"/>
            <w:noWrap w:val="0"/>
            <w:vAlign w:val="center"/>
          </w:tcPr>
          <w:p>
            <w:pPr>
              <w:spacing w:after="3"/>
              <w:jc w:val="center"/>
            </w:pPr>
            <w:r>
              <w:rPr>
                <w:rFonts w:hint="eastAsia"/>
                <w:bCs/>
                <w:color w:val="000000"/>
                <w:sz w:val="22"/>
              </w:rPr>
              <w:t>/</w:t>
            </w:r>
          </w:p>
        </w:tc>
        <w:tc>
          <w:tcPr>
            <w:tcW w:w="800" w:type="dxa"/>
            <w:noWrap w:val="0"/>
            <w:vAlign w:val="center"/>
          </w:tcPr>
          <w:p>
            <w:pPr>
              <w:spacing w:after="3"/>
              <w:jc w:val="center"/>
            </w:pPr>
            <w:r>
              <w:rPr>
                <w:rFonts w:hint="eastAsia"/>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6.1.4</w:t>
            </w:r>
          </w:p>
        </w:tc>
        <w:tc>
          <w:tcPr>
            <w:tcW w:w="5000" w:type="dxa"/>
            <w:noWrap w:val="0"/>
            <w:vAlign w:val="center"/>
          </w:tcPr>
          <w:p>
            <w:pPr>
              <w:spacing w:after="3"/>
            </w:pPr>
            <w:r>
              <w:rPr>
                <w:rFonts w:hint="eastAsia"/>
                <w:bCs/>
                <w:color w:val="000000"/>
                <w:sz w:val="22"/>
              </w:rPr>
              <w:t>自行车停放合理</w:t>
            </w:r>
          </w:p>
        </w:tc>
        <w:tc>
          <w:tcPr>
            <w:tcW w:w="800" w:type="dxa"/>
            <w:noWrap w:val="0"/>
            <w:vAlign w:val="center"/>
          </w:tcPr>
          <w:p>
            <w:pPr>
              <w:spacing w:after="3"/>
              <w:jc w:val="center"/>
            </w:pPr>
            <w:r>
              <w:rPr>
                <w:rFonts w:hint="eastAsia"/>
                <w:bCs/>
                <w:color w:val="000000"/>
                <w:sz w:val="22"/>
              </w:rPr>
              <w:t>/</w:t>
            </w:r>
          </w:p>
        </w:tc>
        <w:tc>
          <w:tcPr>
            <w:tcW w:w="800" w:type="dxa"/>
            <w:noWrap w:val="0"/>
            <w:vAlign w:val="center"/>
          </w:tcPr>
          <w:p>
            <w:pPr>
              <w:spacing w:after="3"/>
              <w:jc w:val="center"/>
            </w:pPr>
            <w:r>
              <w:rPr>
                <w:rFonts w:hint="eastAsia"/>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6.1.5</w:t>
            </w:r>
          </w:p>
        </w:tc>
        <w:tc>
          <w:tcPr>
            <w:tcW w:w="5000" w:type="dxa"/>
            <w:noWrap w:val="0"/>
            <w:vAlign w:val="center"/>
          </w:tcPr>
          <w:p>
            <w:pPr>
              <w:spacing w:after="3"/>
            </w:pPr>
            <w:r>
              <w:rPr>
                <w:rFonts w:hint="eastAsia"/>
                <w:bCs/>
                <w:color w:val="000000"/>
                <w:sz w:val="22"/>
              </w:rPr>
              <w:t>设备管理系统</w:t>
            </w:r>
          </w:p>
        </w:tc>
        <w:tc>
          <w:tcPr>
            <w:tcW w:w="800" w:type="dxa"/>
            <w:noWrap w:val="0"/>
            <w:vAlign w:val="center"/>
          </w:tcPr>
          <w:p>
            <w:pPr>
              <w:spacing w:after="3"/>
              <w:jc w:val="center"/>
            </w:pPr>
            <w:r>
              <w:rPr>
                <w:rFonts w:hint="eastAsia"/>
                <w:bCs/>
                <w:color w:val="000000"/>
                <w:sz w:val="22"/>
              </w:rPr>
              <w:t>/</w:t>
            </w:r>
          </w:p>
        </w:tc>
        <w:tc>
          <w:tcPr>
            <w:tcW w:w="800" w:type="dxa"/>
            <w:noWrap w:val="0"/>
            <w:vAlign w:val="center"/>
          </w:tcPr>
          <w:p>
            <w:pPr>
              <w:spacing w:after="3"/>
              <w:jc w:val="center"/>
            </w:pPr>
            <w:r>
              <w:rPr>
                <w:rFonts w:hint="eastAsia"/>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6.1.6</w:t>
            </w:r>
          </w:p>
        </w:tc>
        <w:tc>
          <w:tcPr>
            <w:tcW w:w="5000" w:type="dxa"/>
            <w:noWrap w:val="0"/>
            <w:vAlign w:val="center"/>
          </w:tcPr>
          <w:p>
            <w:pPr>
              <w:spacing w:after="3"/>
            </w:pPr>
            <w:r>
              <w:rPr>
                <w:rFonts w:hint="eastAsia"/>
                <w:bCs/>
                <w:color w:val="000000"/>
                <w:sz w:val="22"/>
              </w:rPr>
              <w:t>信息网络系统</w:t>
            </w:r>
          </w:p>
        </w:tc>
        <w:tc>
          <w:tcPr>
            <w:tcW w:w="800" w:type="dxa"/>
            <w:noWrap w:val="0"/>
            <w:vAlign w:val="center"/>
          </w:tcPr>
          <w:p>
            <w:pPr>
              <w:spacing w:after="3"/>
              <w:jc w:val="center"/>
            </w:pPr>
            <w:r>
              <w:rPr>
                <w:rFonts w:hint="eastAsia"/>
                <w:bCs/>
                <w:color w:val="000000"/>
                <w:sz w:val="22"/>
              </w:rPr>
              <w:t>/</w:t>
            </w:r>
          </w:p>
        </w:tc>
        <w:tc>
          <w:tcPr>
            <w:tcW w:w="800" w:type="dxa"/>
            <w:noWrap w:val="0"/>
            <w:vAlign w:val="center"/>
          </w:tcPr>
          <w:p>
            <w:pPr>
              <w:spacing w:after="3"/>
              <w:jc w:val="center"/>
            </w:pPr>
            <w:r>
              <w:rPr>
                <w:rFonts w:hint="eastAsia"/>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评分项</w:t>
            </w:r>
          </w:p>
        </w:tc>
        <w:tc>
          <w:tcPr>
            <w:tcW w:w="800" w:type="dxa"/>
            <w:noWrap w:val="0"/>
            <w:vAlign w:val="center"/>
          </w:tcPr>
          <w:p>
            <w:pPr>
              <w:spacing w:after="3"/>
            </w:pPr>
            <w:r>
              <w:rPr>
                <w:rFonts w:hint="eastAsia"/>
                <w:bCs/>
                <w:color w:val="000000"/>
                <w:sz w:val="22"/>
              </w:rPr>
              <w:t>6.2.1</w:t>
            </w:r>
          </w:p>
        </w:tc>
        <w:tc>
          <w:tcPr>
            <w:tcW w:w="5000" w:type="dxa"/>
            <w:noWrap w:val="0"/>
            <w:vAlign w:val="center"/>
          </w:tcPr>
          <w:p>
            <w:pPr>
              <w:spacing w:after="3"/>
            </w:pPr>
            <w:r>
              <w:rPr>
                <w:rFonts w:hint="eastAsia"/>
                <w:bCs/>
                <w:color w:val="000000"/>
                <w:sz w:val="22"/>
              </w:rPr>
              <w:t>公共交通便捷</w:t>
            </w:r>
          </w:p>
        </w:tc>
        <w:tc>
          <w:tcPr>
            <w:tcW w:w="800" w:type="dxa"/>
            <w:noWrap w:val="0"/>
            <w:vAlign w:val="center"/>
          </w:tcPr>
          <w:p>
            <w:pPr>
              <w:spacing w:after="3"/>
              <w:jc w:val="center"/>
            </w:pPr>
            <w:r>
              <w:rPr>
                <w:rFonts w:hint="eastAsia"/>
                <w:bCs/>
                <w:color w:val="000000"/>
                <w:sz w:val="22"/>
              </w:rPr>
              <w:t>8</w:t>
            </w:r>
          </w:p>
        </w:tc>
        <w:tc>
          <w:tcPr>
            <w:tcW w:w="800" w:type="dxa"/>
            <w:noWrap w:val="0"/>
            <w:vAlign w:val="center"/>
          </w:tcPr>
          <w:p>
            <w:pPr>
              <w:spacing w:after="3"/>
              <w:jc w:val="center"/>
            </w:pPr>
            <w:r>
              <w:rPr>
                <w:rFonts w:hint="eastAsia"/>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6.2.2</w:t>
            </w:r>
          </w:p>
        </w:tc>
        <w:tc>
          <w:tcPr>
            <w:tcW w:w="5000" w:type="dxa"/>
            <w:noWrap w:val="0"/>
            <w:vAlign w:val="center"/>
          </w:tcPr>
          <w:p>
            <w:pPr>
              <w:spacing w:after="3"/>
            </w:pPr>
            <w:r>
              <w:rPr>
                <w:rFonts w:hint="eastAsia"/>
                <w:bCs/>
                <w:color w:val="000000"/>
                <w:sz w:val="22"/>
              </w:rPr>
              <w:t>公共区域全龄化设计</w:t>
            </w:r>
          </w:p>
        </w:tc>
        <w:tc>
          <w:tcPr>
            <w:tcW w:w="800" w:type="dxa"/>
            <w:noWrap w:val="0"/>
            <w:vAlign w:val="center"/>
          </w:tcPr>
          <w:p>
            <w:pPr>
              <w:spacing w:after="3"/>
              <w:jc w:val="center"/>
            </w:pPr>
            <w:r>
              <w:rPr>
                <w:rFonts w:hint="eastAsia"/>
                <w:bCs/>
                <w:color w:val="000000"/>
                <w:sz w:val="22"/>
              </w:rPr>
              <w:t>8</w:t>
            </w:r>
          </w:p>
        </w:tc>
        <w:tc>
          <w:tcPr>
            <w:tcW w:w="800" w:type="dxa"/>
            <w:noWrap w:val="0"/>
            <w:vAlign w:val="center"/>
          </w:tcPr>
          <w:p>
            <w:pPr>
              <w:spacing w:after="3"/>
              <w:jc w:val="center"/>
              <w:rPr>
                <w:rFonts w:hint="default" w:eastAsia="宋体"/>
                <w:lang w:val="en-US" w:eastAsia="zh-CN"/>
              </w:rPr>
            </w:pPr>
            <w:r>
              <w:rPr>
                <w:rFonts w:hint="eastAsia" w:eastAsia="宋体"/>
                <w:lang w:val="en-US" w:eastAsia="zh-CN"/>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6.2.3</w:t>
            </w:r>
          </w:p>
        </w:tc>
        <w:tc>
          <w:tcPr>
            <w:tcW w:w="5000" w:type="dxa"/>
            <w:noWrap w:val="0"/>
            <w:vAlign w:val="center"/>
          </w:tcPr>
          <w:p>
            <w:pPr>
              <w:spacing w:after="3"/>
            </w:pPr>
            <w:r>
              <w:rPr>
                <w:rFonts w:hint="eastAsia"/>
                <w:bCs/>
                <w:color w:val="000000"/>
                <w:sz w:val="22"/>
              </w:rPr>
              <w:t>公共服务便利</w:t>
            </w:r>
          </w:p>
        </w:tc>
        <w:tc>
          <w:tcPr>
            <w:tcW w:w="800" w:type="dxa"/>
            <w:noWrap w:val="0"/>
            <w:vAlign w:val="center"/>
          </w:tcPr>
          <w:p>
            <w:pPr>
              <w:spacing w:after="3"/>
              <w:jc w:val="center"/>
            </w:pPr>
            <w:r>
              <w:rPr>
                <w:rFonts w:hint="eastAsia"/>
                <w:bCs/>
                <w:color w:val="000000"/>
                <w:sz w:val="22"/>
              </w:rPr>
              <w:t>10</w:t>
            </w:r>
          </w:p>
        </w:tc>
        <w:tc>
          <w:tcPr>
            <w:tcW w:w="800" w:type="dxa"/>
            <w:noWrap w:val="0"/>
            <w:vAlign w:val="center"/>
          </w:tcPr>
          <w:p>
            <w:pPr>
              <w:spacing w:after="3"/>
              <w:jc w:val="center"/>
            </w:pPr>
            <w:r>
              <w:rPr>
                <w:rFonts w:hint="eastAsia"/>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6.2.4</w:t>
            </w:r>
          </w:p>
        </w:tc>
        <w:tc>
          <w:tcPr>
            <w:tcW w:w="5000" w:type="dxa"/>
            <w:noWrap w:val="0"/>
            <w:vAlign w:val="center"/>
          </w:tcPr>
          <w:p>
            <w:pPr>
              <w:spacing w:after="3"/>
            </w:pPr>
            <w:r>
              <w:rPr>
                <w:rFonts w:hint="eastAsia"/>
                <w:bCs/>
                <w:color w:val="000000"/>
                <w:sz w:val="22"/>
              </w:rPr>
              <w:t>城市开敞空间</w:t>
            </w:r>
          </w:p>
        </w:tc>
        <w:tc>
          <w:tcPr>
            <w:tcW w:w="800" w:type="dxa"/>
            <w:noWrap w:val="0"/>
            <w:vAlign w:val="center"/>
          </w:tcPr>
          <w:p>
            <w:pPr>
              <w:spacing w:after="3"/>
              <w:jc w:val="center"/>
            </w:pPr>
            <w:r>
              <w:rPr>
                <w:rFonts w:hint="eastAsia"/>
                <w:bCs/>
                <w:color w:val="000000"/>
                <w:sz w:val="22"/>
              </w:rPr>
              <w:t>5</w:t>
            </w:r>
          </w:p>
        </w:tc>
        <w:tc>
          <w:tcPr>
            <w:tcW w:w="800" w:type="dxa"/>
            <w:noWrap w:val="0"/>
            <w:vAlign w:val="center"/>
          </w:tcPr>
          <w:p>
            <w:pPr>
              <w:spacing w:after="3"/>
              <w:jc w:val="center"/>
            </w:pPr>
            <w:r>
              <w:rPr>
                <w:rFonts w:hint="eastAsia"/>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6.2.5</w:t>
            </w:r>
          </w:p>
        </w:tc>
        <w:tc>
          <w:tcPr>
            <w:tcW w:w="5000" w:type="dxa"/>
            <w:noWrap w:val="0"/>
            <w:vAlign w:val="center"/>
          </w:tcPr>
          <w:p>
            <w:pPr>
              <w:spacing w:after="3"/>
            </w:pPr>
            <w:r>
              <w:rPr>
                <w:rFonts w:hint="eastAsia"/>
                <w:bCs/>
                <w:color w:val="000000"/>
                <w:sz w:val="22"/>
              </w:rPr>
              <w:t>健康场地和空间</w:t>
            </w:r>
          </w:p>
        </w:tc>
        <w:tc>
          <w:tcPr>
            <w:tcW w:w="800" w:type="dxa"/>
            <w:noWrap w:val="0"/>
            <w:vAlign w:val="center"/>
          </w:tcPr>
          <w:p>
            <w:pPr>
              <w:spacing w:after="3"/>
              <w:jc w:val="center"/>
            </w:pPr>
            <w:r>
              <w:rPr>
                <w:rFonts w:hint="eastAsia"/>
                <w:bCs/>
                <w:color w:val="000000"/>
                <w:sz w:val="22"/>
              </w:rPr>
              <w:t>10</w:t>
            </w:r>
          </w:p>
        </w:tc>
        <w:tc>
          <w:tcPr>
            <w:tcW w:w="800" w:type="dxa"/>
            <w:noWrap w:val="0"/>
            <w:vAlign w:val="center"/>
          </w:tcPr>
          <w:p>
            <w:pPr>
              <w:spacing w:after="3"/>
              <w:jc w:val="center"/>
              <w:rPr>
                <w:rFonts w:hint="eastAsia" w:eastAsia="宋体"/>
                <w:lang w:eastAsia="zh-CN"/>
              </w:rPr>
            </w:pPr>
            <w:r>
              <w:rPr>
                <w:rFonts w:hint="eastAsia" w:eastAsia="宋体"/>
                <w:bCs/>
                <w:color w:val="000000"/>
                <w:sz w:val="22"/>
                <w:lang w:val="en-US" w:eastAsia="zh-CN"/>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6.2.6</w:t>
            </w:r>
          </w:p>
        </w:tc>
        <w:tc>
          <w:tcPr>
            <w:tcW w:w="5000" w:type="dxa"/>
            <w:noWrap w:val="0"/>
            <w:vAlign w:val="center"/>
          </w:tcPr>
          <w:p>
            <w:pPr>
              <w:spacing w:after="3"/>
            </w:pPr>
            <w:r>
              <w:rPr>
                <w:rFonts w:hint="eastAsia"/>
                <w:bCs/>
                <w:color w:val="000000"/>
                <w:sz w:val="22"/>
              </w:rPr>
              <w:t>能源管理系统</w:t>
            </w:r>
          </w:p>
        </w:tc>
        <w:tc>
          <w:tcPr>
            <w:tcW w:w="800" w:type="dxa"/>
            <w:noWrap w:val="0"/>
            <w:vAlign w:val="center"/>
          </w:tcPr>
          <w:p>
            <w:pPr>
              <w:spacing w:after="3"/>
              <w:jc w:val="center"/>
            </w:pPr>
            <w:r>
              <w:rPr>
                <w:rFonts w:hint="eastAsia"/>
                <w:bCs/>
                <w:color w:val="000000"/>
                <w:sz w:val="22"/>
              </w:rPr>
              <w:t>8</w:t>
            </w:r>
          </w:p>
        </w:tc>
        <w:tc>
          <w:tcPr>
            <w:tcW w:w="800" w:type="dxa"/>
            <w:noWrap w:val="0"/>
            <w:vAlign w:val="center"/>
          </w:tcPr>
          <w:p>
            <w:pPr>
              <w:spacing w:after="3"/>
              <w:jc w:val="center"/>
            </w:pPr>
            <w:r>
              <w:rPr>
                <w:rFonts w:hint="eastAsia"/>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6.2.7</w:t>
            </w:r>
          </w:p>
        </w:tc>
        <w:tc>
          <w:tcPr>
            <w:tcW w:w="5000" w:type="dxa"/>
            <w:noWrap w:val="0"/>
            <w:vAlign w:val="center"/>
          </w:tcPr>
          <w:p>
            <w:pPr>
              <w:spacing w:after="3"/>
            </w:pPr>
            <w:r>
              <w:rPr>
                <w:rFonts w:hint="eastAsia"/>
                <w:bCs/>
                <w:color w:val="000000"/>
                <w:sz w:val="22"/>
              </w:rPr>
              <w:t>空气质量监测</w:t>
            </w:r>
          </w:p>
        </w:tc>
        <w:tc>
          <w:tcPr>
            <w:tcW w:w="800" w:type="dxa"/>
            <w:noWrap w:val="0"/>
            <w:vAlign w:val="center"/>
          </w:tcPr>
          <w:p>
            <w:pPr>
              <w:spacing w:after="3"/>
              <w:jc w:val="center"/>
            </w:pPr>
            <w:r>
              <w:rPr>
                <w:rFonts w:hint="eastAsia"/>
                <w:bCs/>
                <w:color w:val="000000"/>
                <w:sz w:val="22"/>
              </w:rPr>
              <w:t>5</w:t>
            </w:r>
          </w:p>
        </w:tc>
        <w:tc>
          <w:tcPr>
            <w:tcW w:w="800" w:type="dxa"/>
            <w:noWrap w:val="0"/>
            <w:vAlign w:val="center"/>
          </w:tcPr>
          <w:p>
            <w:pPr>
              <w:spacing w:after="3"/>
              <w:jc w:val="center"/>
            </w:pPr>
            <w:r>
              <w:rPr>
                <w:rFonts w:hint="eastAsia"/>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6.2.8</w:t>
            </w:r>
          </w:p>
        </w:tc>
        <w:tc>
          <w:tcPr>
            <w:tcW w:w="5000" w:type="dxa"/>
            <w:noWrap w:val="0"/>
            <w:vAlign w:val="center"/>
          </w:tcPr>
          <w:p>
            <w:pPr>
              <w:spacing w:after="3"/>
            </w:pPr>
            <w:r>
              <w:rPr>
                <w:rFonts w:hint="eastAsia"/>
                <w:bCs/>
                <w:color w:val="000000"/>
                <w:sz w:val="22"/>
              </w:rPr>
              <w:t>用水计量、水质监测</w:t>
            </w:r>
          </w:p>
        </w:tc>
        <w:tc>
          <w:tcPr>
            <w:tcW w:w="800" w:type="dxa"/>
            <w:noWrap w:val="0"/>
            <w:vAlign w:val="center"/>
          </w:tcPr>
          <w:p>
            <w:pPr>
              <w:spacing w:after="3"/>
              <w:jc w:val="center"/>
            </w:pPr>
            <w:r>
              <w:rPr>
                <w:rFonts w:hint="eastAsia"/>
                <w:bCs/>
                <w:color w:val="000000"/>
                <w:sz w:val="22"/>
              </w:rPr>
              <w:t>7</w:t>
            </w:r>
          </w:p>
        </w:tc>
        <w:tc>
          <w:tcPr>
            <w:tcW w:w="800" w:type="dxa"/>
            <w:noWrap w:val="0"/>
            <w:vAlign w:val="center"/>
          </w:tcPr>
          <w:p>
            <w:pPr>
              <w:spacing w:after="3"/>
              <w:jc w:val="center"/>
              <w:rPr>
                <w:rFonts w:hint="eastAsia" w:eastAsia="宋体"/>
                <w:lang w:eastAsia="zh-CN"/>
              </w:rPr>
            </w:pPr>
            <w:r>
              <w:rPr>
                <w:rFonts w:hint="eastAsia" w:eastAsia="宋体"/>
                <w:bCs/>
                <w:color w:val="000000"/>
                <w:sz w:val="22"/>
                <w:lang w:val="en-US" w:eastAsia="zh-CN"/>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rPr>
              <w:t>6.2.9</w:t>
            </w:r>
          </w:p>
        </w:tc>
        <w:tc>
          <w:tcPr>
            <w:tcW w:w="5000" w:type="dxa"/>
            <w:noWrap w:val="0"/>
            <w:vAlign w:val="center"/>
          </w:tcPr>
          <w:p>
            <w:pPr>
              <w:spacing w:after="3"/>
            </w:pPr>
            <w:r>
              <w:rPr>
                <w:rFonts w:hint="eastAsia"/>
                <w:bCs/>
                <w:color w:val="000000"/>
                <w:sz w:val="22"/>
              </w:rPr>
              <w:t>智能服务系统</w:t>
            </w:r>
          </w:p>
        </w:tc>
        <w:tc>
          <w:tcPr>
            <w:tcW w:w="800" w:type="dxa"/>
            <w:noWrap w:val="0"/>
            <w:vAlign w:val="center"/>
          </w:tcPr>
          <w:p>
            <w:pPr>
              <w:spacing w:after="3"/>
              <w:jc w:val="center"/>
            </w:pPr>
            <w:r>
              <w:rPr>
                <w:rFonts w:hint="eastAsia"/>
                <w:bCs/>
                <w:color w:val="000000"/>
                <w:sz w:val="22"/>
              </w:rPr>
              <w:t>9</w:t>
            </w:r>
          </w:p>
        </w:tc>
        <w:tc>
          <w:tcPr>
            <w:tcW w:w="800" w:type="dxa"/>
            <w:noWrap w:val="0"/>
            <w:vAlign w:val="center"/>
          </w:tcPr>
          <w:p>
            <w:pPr>
              <w:spacing w:after="3"/>
              <w:jc w:val="center"/>
            </w:pPr>
            <w:r>
              <w:rPr>
                <w:rFonts w:hint="eastAsia"/>
                <w:bCs/>
                <w:color w:val="000000"/>
                <w:sz w:val="22"/>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00" w:type="dxa"/>
            <w:gridSpan w:val="3"/>
            <w:shd w:val="clear" w:color="auto" w:fill="DCDCDC"/>
            <w:noWrap w:val="0"/>
            <w:vAlign w:val="center"/>
          </w:tcPr>
          <w:p>
            <w:pPr>
              <w:spacing w:after="3"/>
              <w:jc w:val="center"/>
            </w:pPr>
            <w:r>
              <w:rPr>
                <w:rFonts w:hint="eastAsia"/>
                <w:b/>
                <w:bCs/>
                <w:color w:val="000000"/>
                <w:sz w:val="20"/>
                <w:szCs w:val="20"/>
              </w:rPr>
              <w:t>合计</w:t>
            </w:r>
          </w:p>
        </w:tc>
        <w:tc>
          <w:tcPr>
            <w:tcW w:w="800" w:type="dxa"/>
            <w:noWrap w:val="0"/>
            <w:vAlign w:val="center"/>
          </w:tcPr>
          <w:p>
            <w:pPr>
              <w:spacing w:after="3"/>
              <w:jc w:val="center"/>
            </w:pPr>
            <w:r>
              <w:rPr>
                <w:rFonts w:hint="eastAsia"/>
                <w:bCs/>
                <w:color w:val="000000"/>
                <w:sz w:val="22"/>
              </w:rPr>
              <w:t>100.0</w:t>
            </w:r>
          </w:p>
        </w:tc>
        <w:tc>
          <w:tcPr>
            <w:tcW w:w="800" w:type="dxa"/>
            <w:noWrap w:val="0"/>
            <w:vAlign w:val="center"/>
          </w:tcPr>
          <w:p>
            <w:pPr>
              <w:spacing w:after="3"/>
              <w:jc w:val="center"/>
            </w:pPr>
            <w:r>
              <w:rPr>
                <w:rFonts w:hint="eastAsia" w:eastAsia="宋体"/>
                <w:bCs/>
                <w:color w:val="000000"/>
                <w:sz w:val="22"/>
                <w:lang w:val="en-US" w:eastAsia="zh-CN"/>
              </w:rPr>
              <w:t>47.</w:t>
            </w:r>
            <w:r>
              <w:rPr>
                <w:rFonts w:hint="eastAsia"/>
                <w:bCs/>
                <w:color w:val="000000"/>
                <w:sz w:val="22"/>
              </w:rPr>
              <w:t>0</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6.1.1 建筑、室外场地、公共绿地、城市道路相互之间应设置连贯的无障碍步行系统。</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建筑、室外场地、公共绿地、城市道路相互之间是否采用无障碍设计：</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无障碍步行系统是否联通、连续：</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请简要说明场地内各步道及场地内外联系的无障碍设计情况。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场地内人行通道及场地内外联系通道均设无障碍坡道，便于通行。</w:t>
            </w:r>
          </w:p>
          <w:p>
            <w:pPr>
              <w:pStyle w:val="11"/>
              <w:spacing w:before="0" w:beforeAutospacing="0" w:after="0" w:afterAutospacing="0"/>
              <w:ind w:firstLine="400"/>
            </w:pPr>
            <w:r>
              <w:rPr>
                <w:rFonts w:ascii="Times New Roman" w:hAnsi="Times New Roman" w:cs="Times New Roman"/>
                <w:sz w:val="20"/>
                <w:szCs w:val="20"/>
              </w:rPr>
              <w:t>1.</w:t>
            </w:r>
            <w:r>
              <w:rPr>
                <w:rFonts w:hint="eastAsia"/>
                <w:sz w:val="20"/>
                <w:szCs w:val="20"/>
              </w:rPr>
              <w:t>本项目建筑出入口设置有无障碍坡道；</w:t>
            </w:r>
          </w:p>
          <w:p>
            <w:pPr>
              <w:pStyle w:val="11"/>
              <w:spacing w:before="0" w:beforeAutospacing="0" w:after="0" w:afterAutospacing="0"/>
              <w:ind w:firstLine="400"/>
            </w:pPr>
            <w:r>
              <w:rPr>
                <w:rFonts w:ascii="Times New Roman" w:hAnsi="Times New Roman" w:cs="Times New Roman"/>
                <w:sz w:val="20"/>
                <w:szCs w:val="20"/>
              </w:rPr>
              <w:t>2.</w:t>
            </w:r>
            <w:r>
              <w:rPr>
                <w:rFonts w:hint="eastAsia"/>
                <w:sz w:val="20"/>
                <w:szCs w:val="20"/>
              </w:rPr>
              <w:t>场地人行道与市政道路连接处设有无障碍坡道。</w:t>
            </w:r>
          </w:p>
          <w:p>
            <w:pPr>
              <w:pStyle w:val="11"/>
              <w:spacing w:before="0" w:beforeAutospacing="0" w:after="0" w:afterAutospacing="0"/>
              <w:ind w:firstLine="400"/>
            </w:pPr>
            <w:r>
              <w:rPr>
                <w:rFonts w:ascii="Times New Roman" w:hAnsi="Times New Roman" w:cs="Times New Roman"/>
                <w:sz w:val="20"/>
                <w:szCs w:val="20"/>
              </w:rPr>
              <w:t>3.</w:t>
            </w:r>
            <w:r>
              <w:rPr>
                <w:rFonts w:hint="eastAsia"/>
                <w:sz w:val="20"/>
                <w:szCs w:val="20"/>
              </w:rPr>
              <w:t>场地地势平坦满足无障碍要求。</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）建筑竣工图及设计说明，应说明室外场地的无障碍设计内容；</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）建筑总平面竣工图和场地竖向设计竣工图，应体现建筑主要出入口、人行通道、室外活动场地等主要部位的无障碍内容；</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）室外景观园林平面竣工图，应包括场地人行通道、室外绿化小径和活动场地的无障碍设计；</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）无障碍设计重点部位的实景照片。</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建筑总平面图：3建筑设计/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6.1.2 场地人行出入口500m内应设有公共交通站点或配备联系公共交通站点的专用接驳车。</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场地人行出入口</w:t>
      </w:r>
      <w:r>
        <w:rPr>
          <w:rFonts w:ascii="Times New Roman" w:hAnsi="Times New Roman" w:cs="Times New Roman"/>
          <w:sz w:val="21"/>
          <w:szCs w:val="21"/>
        </w:rPr>
        <w:t>500m</w:t>
      </w:r>
      <w:r>
        <w:rPr>
          <w:rFonts w:hint="eastAsia"/>
          <w:sz w:val="21"/>
          <w:szCs w:val="21"/>
        </w:rPr>
        <w:t>内设有：</w:t>
      </w:r>
      <w:r>
        <w:rPr>
          <w:rStyle w:val="25"/>
          <w:rFonts w:hint="eastAsia" w:ascii="MS Mincho" w:hAnsi="MS Mincho" w:eastAsia="MS Mincho" w:cs="MS Mincho"/>
          <w:sz w:val="28"/>
          <w:szCs w:val="28"/>
        </w:rPr>
        <w:t>☑</w:t>
      </w:r>
      <w:r>
        <w:rPr>
          <w:rFonts w:hint="eastAsia"/>
          <w:sz w:val="21"/>
          <w:szCs w:val="21"/>
        </w:rPr>
        <w:t>公共交通站点</w:t>
      </w:r>
      <w:r>
        <w:rPr>
          <w:rStyle w:val="25"/>
          <w:rFonts w:hint="eastAsia" w:ascii="MS Mincho" w:hAnsi="MS Mincho" w:eastAsia="MS Mincho" w:cs="MS Mincho"/>
          <w:sz w:val="28"/>
          <w:szCs w:val="28"/>
        </w:rPr>
        <w:t>☑</w:t>
      </w:r>
      <w:r>
        <w:rPr>
          <w:rFonts w:hint="eastAsia"/>
          <w:sz w:val="21"/>
          <w:szCs w:val="21"/>
        </w:rPr>
        <w:t>联系公共交通站点的专用接驳车</w:t>
      </w:r>
    </w:p>
    <w:p>
      <w:pPr>
        <w:pStyle w:val="11"/>
        <w:spacing w:before="0" w:beforeAutospacing="0" w:after="0" w:afterAutospacing="0"/>
        <w:jc w:val="both"/>
      </w:pPr>
      <w:r>
        <w:rPr>
          <w:rFonts w:hint="eastAsia"/>
          <w:sz w:val="21"/>
          <w:szCs w:val="21"/>
        </w:rPr>
        <w:t>请对场地内公共交通站点之间的交通流线或联系公共交通站点的专用接驳车设置情况进行简要说明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121212"/>
                <w:sz w:val="27"/>
                <w:szCs w:val="27"/>
                <w:shd w:val="clear" w:color="auto" w:fill="FFFFFF"/>
              </w:rPr>
              <w:t>场地中的交通系统能够解决人们出行和货物运输的需要，是由人、车、道路和停车场等交通要素构成的复杂动态系统。在交通组织上，需合理组织场地内的各种交通流线，避免各种流线交叉干扰，并进行道路、停车场地、出入口等交通设施的具体布置。在建筑快速设计中，一般需要从场地出入口的设置、流线组织与停车系统布置三个角度着手。</w:t>
            </w:r>
            <w:r>
              <w:rPr>
                <w:rFonts w:hint="eastAsia"/>
                <w:sz w:val="20"/>
                <w:szCs w:val="20"/>
              </w:rPr>
              <w:br w:type="textWrapping"/>
            </w:r>
            <w:r>
              <w:rPr>
                <w:rFonts w:hint="eastAsia" w:ascii="MS Mincho" w:hAnsi="MS Mincho" w:eastAsia="MS Mincho" w:cs="MS Mincho"/>
                <w:sz w:val="20"/>
                <w:szCs w:val="20"/>
              </w:rPr>
              <w:t>​</w:t>
            </w:r>
            <w:r>
              <w:rPr>
                <w:rFonts w:hint="eastAsia" w:ascii="微软雅黑" w:hAnsi="微软雅黑" w:eastAsia="微软雅黑"/>
                <w:color w:val="121212"/>
                <w:sz w:val="27"/>
                <w:szCs w:val="27"/>
                <w:shd w:val="clear" w:color="auto" w:fill="FFFFFF"/>
              </w:rPr>
              <w:t>场地出入口是场地内外交通的衔接点，其设置直接影响着场地布置和流线组织。场地出入口及与之相关的交通集散空间的设置，需要在分析场地周围环境（尤其是相邻的城市道路）以及场地交通流线特点的基础上，结合场地分区进行综合考虑。</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）项目竣工总平面图；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）场地周边公共交通设施布局示意图，应标出场地到达公交站点的步行线路、场地出入口达到公交站点的距离；</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）专用接驳车服务的实施方案；</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）公共交通站点或专用接驳车运行的影像资料。</w:t>
      </w:r>
    </w:p>
    <w:p>
      <w:pPr>
        <w:pStyle w:val="11"/>
        <w:spacing w:before="0" w:beforeAutospacing="0" w:after="0" w:afterAutospacing="0"/>
        <w:ind w:left="10" w:hanging="20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场地周边公共交通设施布局示意图：2规划设计/ 场地周边公共交通设施布局示意图.png</w:t>
            </w:r>
            <w:r>
              <w:rPr>
                <w:rFonts w:ascii="Times New Roman" w:hAnsi="Times New Roman" w:cs="Times New Roman"/>
                <w:sz w:val="20"/>
                <w:szCs w:val="20"/>
              </w:rPr>
              <w:br w:type="textWrapping"/>
            </w:r>
            <w:r>
              <w:rPr>
                <w:rStyle w:val="26"/>
                <w:rFonts w:ascii="Times New Roman" w:hAnsi="Times New Roman" w:cs="Times New Roman"/>
                <w:sz w:val="20"/>
                <w:szCs w:val="20"/>
              </w:rPr>
              <w:t>规划设计平面图：2规划设计/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专用接驳车服务的实施方案：2规划设计/ 专用接驳车服务实施方案.docx</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6.1.3 停车场应具有电动汽车充电设施或具备充电设施的安装条件，并应合理设置电动汽车和无障碍汽车停车位。</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场地内是否设置电动汽车停车位：</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否；是否设置无障碍汽车停车位：</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场地内是否设有电动汽车充电设施：</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否；若否，是否具备充电设施的安装条件：</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停车场所设置规模</w:t>
      </w:r>
    </w:p>
    <w:tbl>
      <w:tblPr>
        <w:tblStyle w:val="13"/>
        <w:tblW w:w="9304" w:type="dxa"/>
        <w:jc w:val="center"/>
        <w:tblLayout w:type="autofit"/>
        <w:tblCellMar>
          <w:top w:w="0" w:type="dxa"/>
          <w:left w:w="0" w:type="dxa"/>
          <w:bottom w:w="0" w:type="dxa"/>
          <w:right w:w="0" w:type="dxa"/>
        </w:tblCellMar>
      </w:tblPr>
      <w:tblGrid>
        <w:gridCol w:w="2963"/>
        <w:gridCol w:w="2266"/>
        <w:gridCol w:w="2131"/>
        <w:gridCol w:w="1944"/>
      </w:tblGrid>
      <w:tr>
        <w:tblPrEx>
          <w:tblCellMar>
            <w:top w:w="0" w:type="dxa"/>
            <w:left w:w="0" w:type="dxa"/>
            <w:bottom w:w="0" w:type="dxa"/>
            <w:right w:w="0" w:type="dxa"/>
          </w:tblCellMar>
        </w:tblPrEx>
        <w:trPr>
          <w:jc w:val="center"/>
        </w:trPr>
        <w:tc>
          <w:tcPr>
            <w:tcW w:w="26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类别</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当地规范限值（辆）</w:t>
            </w:r>
          </w:p>
        </w:tc>
        <w:tc>
          <w:tcPr>
            <w:tcW w:w="193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设计值（辆）</w:t>
            </w:r>
          </w:p>
        </w:tc>
        <w:tc>
          <w:tcPr>
            <w:tcW w:w="1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是否满足</w:t>
            </w:r>
          </w:p>
        </w:tc>
      </w:tr>
      <w:tr>
        <w:tblPrEx>
          <w:tblCellMar>
            <w:top w:w="0" w:type="dxa"/>
            <w:left w:w="0" w:type="dxa"/>
            <w:bottom w:w="0" w:type="dxa"/>
            <w:right w:w="0" w:type="dxa"/>
          </w:tblCellMar>
        </w:tblPrEx>
        <w:trPr>
          <w:jc w:val="center"/>
        </w:trPr>
        <w:tc>
          <w:tcPr>
            <w:tcW w:w="26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机动车停车位数量</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6</w:t>
            </w:r>
          </w:p>
        </w:tc>
        <w:tc>
          <w:tcPr>
            <w:tcW w:w="193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6</w:t>
            </w:r>
          </w:p>
        </w:tc>
        <w:tc>
          <w:tcPr>
            <w:tcW w:w="1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26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电动汽车停车位数量</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193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4</w:t>
            </w:r>
          </w:p>
        </w:tc>
        <w:tc>
          <w:tcPr>
            <w:tcW w:w="1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trHeight w:val="531" w:hRule="atLeast"/>
          <w:jc w:val="center"/>
        </w:trPr>
        <w:tc>
          <w:tcPr>
            <w:tcW w:w="26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无障碍汽车停车位数量</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193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w:t>
            </w:r>
          </w:p>
        </w:tc>
        <w:tc>
          <w:tcPr>
            <w:tcW w:w="1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tc>
      </w:tr>
    </w:tbl>
    <w:p>
      <w:pPr>
        <w:pStyle w:val="11"/>
        <w:spacing w:before="0" w:beforeAutospacing="0" w:after="0" w:afterAutospacing="0"/>
        <w:jc w:val="both"/>
      </w:pPr>
      <w:r>
        <w:rPr>
          <w:rFonts w:hint="eastAsia"/>
          <w:sz w:val="21"/>
          <w:szCs w:val="21"/>
        </w:rPr>
        <w:t>请简要说明机动车停车位设置、停车方式、停车场管理等。</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本项目机动车与非机动车均采用全地下的方式，地面均为绿化用地及公共活动用地，不会挤占地上步行空间活动场所。</w:t>
            </w:r>
          </w:p>
          <w:p>
            <w:pPr>
              <w:pStyle w:val="11"/>
              <w:spacing w:before="0" w:beforeAutospacing="0" w:after="0" w:afterAutospacing="0"/>
              <w:ind w:firstLine="400"/>
            </w:pPr>
            <w:r>
              <w:rPr>
                <w:rFonts w:hint="eastAsia"/>
                <w:sz w:val="20"/>
                <w:szCs w:val="20"/>
              </w:rPr>
              <w:t> 本项目设置有车辆管理系统，采用基于</w:t>
            </w:r>
            <w:r>
              <w:rPr>
                <w:rFonts w:ascii="Times New Roman" w:hAnsi="Times New Roman" w:cs="Times New Roman"/>
                <w:sz w:val="20"/>
                <w:szCs w:val="20"/>
              </w:rPr>
              <w:t>TCP/IP</w:t>
            </w:r>
            <w:r>
              <w:rPr>
                <w:rFonts w:hint="eastAsia"/>
                <w:sz w:val="20"/>
                <w:szCs w:val="20"/>
              </w:rPr>
              <w:t>智能化设备网的</w:t>
            </w:r>
            <w:r>
              <w:rPr>
                <w:rFonts w:ascii="Times New Roman" w:hAnsi="Times New Roman" w:cs="Times New Roman"/>
                <w:sz w:val="20"/>
                <w:szCs w:val="20"/>
              </w:rPr>
              <w:t>IP</w:t>
            </w:r>
            <w:r>
              <w:rPr>
                <w:rFonts w:hint="eastAsia"/>
                <w:sz w:val="20"/>
                <w:szCs w:val="20"/>
              </w:rPr>
              <w:t>数字一卡通系统，每个小区出入口均为一进一出，小区出入岗亭设置管理电脑，入口主机配置临时发卡器，卡片回收由人员手动完成。</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）建筑专业竣工图纸及设计说明，应包括电动汽车停车位和无障碍停车位的设计内容；</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）电气专业竣工图及设计说明，应包括充电设施条件、配电系统要求、布线系统要求、计量要求等。</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257"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电气专业图纸及设计说明：8电气设计/ 电气设计说明.docx</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6.1.4 自行车停车场所应位置合理、方便出入。</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请简要说明自行车停车场所设计情况、停车管理等：</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项目在地上设置了非机动车停车位，满足规范要求。</w:t>
            </w:r>
          </w:p>
          <w:p>
            <w:pPr>
              <w:pStyle w:val="11"/>
              <w:spacing w:before="0" w:beforeAutospacing="0" w:after="0" w:afterAutospacing="0"/>
              <w:ind w:firstLine="400"/>
            </w:pPr>
            <w:r>
              <w:rPr>
                <w:rFonts w:hint="eastAsia"/>
                <w:sz w:val="20"/>
                <w:szCs w:val="20"/>
              </w:rPr>
              <w:t>出入口设置自行车停车棚。</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）项目竣工总平面图，应包括自行车库</w:t>
      </w:r>
      <w:r>
        <w:rPr>
          <w:rFonts w:ascii="Times New Roman" w:hAnsi="Times New Roman" w:cs="Times New Roman"/>
          <w:sz w:val="21"/>
          <w:szCs w:val="21"/>
        </w:rPr>
        <w:t>/</w:t>
      </w:r>
      <w:r>
        <w:rPr>
          <w:rFonts w:hint="eastAsia"/>
          <w:sz w:val="21"/>
          <w:szCs w:val="21"/>
        </w:rPr>
        <w:t>棚位置、地面停车场位置；</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）自行车库</w:t>
      </w:r>
      <w:r>
        <w:rPr>
          <w:rFonts w:ascii="Times New Roman" w:hAnsi="Times New Roman" w:cs="Times New Roman"/>
          <w:sz w:val="21"/>
          <w:szCs w:val="21"/>
        </w:rPr>
        <w:t>/</w:t>
      </w:r>
      <w:r>
        <w:rPr>
          <w:rFonts w:hint="eastAsia"/>
          <w:sz w:val="21"/>
          <w:szCs w:val="21"/>
        </w:rPr>
        <w:t>棚及附属设施竣工图，应包括自行车停车设施详图、管理办法；</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）自行车停车场所的现场影像资料；</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）所在地不适宜使用自行车的说明。</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建筑总平面图：3建筑设计/ 总平面.jpg</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6.1.5 建筑设备管理系统应具有自动监控管理功能。</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建筑设备系统是否实现自动监控：</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请简要说明自动监控系统设置情况和管理功能。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pStyle w:val="11"/>
              <w:shd w:val="clear" w:color="auto" w:fill="FFFFFF"/>
              <w:spacing w:before="0" w:beforeAutospacing="0" w:after="0" w:afterAutospacing="0"/>
              <w:rPr>
                <w:rFonts w:hint="eastAsia" w:ascii="Arial" w:hAnsi="Arial" w:cs="Arial"/>
                <w:color w:val="191919"/>
              </w:rPr>
            </w:pPr>
            <w:r>
              <w:rPr>
                <w:rFonts w:ascii="Arial" w:hAnsi="Arial" w:cs="Arial"/>
                <w:color w:val="191919"/>
              </w:rPr>
              <w:t>1监控的设备范围宜包括冷热源、供暖通风和空气调节、给水排水、供配 电、照明、电梯等，并宜包括以自成控制体系方式纳入管理的专项设备监控系统等；</w:t>
            </w:r>
          </w:p>
          <w:p>
            <w:pPr>
              <w:pStyle w:val="11"/>
              <w:shd w:val="clear" w:color="auto" w:fill="FFFFFF"/>
              <w:spacing w:before="0" w:beforeAutospacing="0" w:after="0" w:afterAutospacing="0"/>
              <w:rPr>
                <w:rFonts w:ascii="Arial" w:hAnsi="Arial" w:cs="Arial"/>
                <w:color w:val="191919"/>
              </w:rPr>
            </w:pPr>
            <w:r>
              <w:rPr>
                <w:rFonts w:ascii="Arial" w:hAnsi="Arial" w:cs="Arial"/>
                <w:color w:val="191919"/>
              </w:rPr>
              <w:t>2采集的信息宜包括温度、湿度、流量、压力、压差、液位、照度、砌体 浓度、电量、冷热量等建筑设备运行基础状态信息；</w:t>
            </w:r>
          </w:p>
          <w:p>
            <w:pPr>
              <w:pStyle w:val="11"/>
              <w:shd w:val="clear" w:color="auto" w:fill="FFFFFF"/>
              <w:spacing w:before="0" w:beforeAutospacing="0" w:after="0" w:afterAutospacing="0"/>
              <w:rPr>
                <w:rFonts w:ascii="Arial" w:hAnsi="Arial" w:cs="Arial"/>
                <w:color w:val="191919"/>
              </w:rPr>
            </w:pPr>
            <w:r>
              <w:rPr>
                <w:rFonts w:ascii="Arial" w:hAnsi="Arial" w:cs="Arial"/>
                <w:color w:val="191919"/>
              </w:rPr>
              <w:t>3监控模式应与建筑设备的运行工艺相适应，并应满足对实时状况监控、 管理方式及管理策略等进行优化的要求。</w:t>
            </w:r>
          </w:p>
          <w:p>
            <w:pPr>
              <w:pStyle w:val="11"/>
              <w:shd w:val="clear" w:color="auto" w:fill="FFFFFF"/>
              <w:spacing w:before="0" w:beforeAutospacing="0" w:after="0" w:afterAutospacing="0"/>
              <w:rPr>
                <w:rFonts w:ascii="Arial" w:hAnsi="Arial" w:cs="Arial"/>
                <w:color w:val="191919"/>
              </w:rPr>
            </w:pPr>
            <w:r>
              <w:rPr>
                <w:rFonts w:ascii="Arial" w:hAnsi="Arial" w:cs="Arial"/>
                <w:color w:val="191919"/>
              </w:rPr>
              <w:t>4应适应相关的管理需求与公共安全系统信息关联；</w:t>
            </w:r>
          </w:p>
          <w:p>
            <w:pPr>
              <w:pStyle w:val="11"/>
              <w:shd w:val="clear" w:color="auto" w:fill="FFFFFF"/>
              <w:spacing w:before="0" w:beforeAutospacing="0" w:after="0" w:afterAutospacing="0"/>
              <w:rPr>
                <w:rFonts w:ascii="Arial" w:hAnsi="Arial" w:cs="Arial"/>
                <w:color w:val="191919"/>
              </w:rPr>
            </w:pPr>
            <w:r>
              <w:rPr>
                <w:rFonts w:ascii="Arial" w:hAnsi="Arial" w:cs="Arial"/>
                <w:color w:val="191919"/>
              </w:rPr>
              <w:t>5宜具有向建筑内相关集成系统提供建筑设备运行、维护管理状态等信息的条件。</w:t>
            </w:r>
          </w:p>
          <w:p>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）电气专业竣工图纸及设计说明，应包括建设设备自控系统的设计说明、系统图、监控点数点位表、平面图及原理图；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）建筑设备自控系统相关设备的使用说明书；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）建筑设备自控系统的运行记录及运行分析报告。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电气专业图纸及设计说明：8电气设计/ 电气设计说明.docx</w:t>
            </w:r>
            <w:r>
              <w:rPr>
                <w:rFonts w:ascii="Times New Roman" w:hAnsi="Times New Roman" w:cs="Times New Roman"/>
                <w:sz w:val="20"/>
                <w:szCs w:val="20"/>
              </w:rPr>
              <w:br w:type="textWrapping"/>
            </w:r>
            <w:r>
              <w:rPr>
                <w:rStyle w:val="26"/>
                <w:rFonts w:ascii="Times New Roman" w:hAnsi="Times New Roman" w:cs="Times New Roman"/>
                <w:sz w:val="20"/>
                <w:szCs w:val="20"/>
              </w:rPr>
              <w:t>建筑设备自控系统相关设备的使用说明书：8电气设计/ 建筑设备自控系统的设计说明.docx</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6.1.6 建筑应设置信息网络系统。</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建筑是否设置业务信息网和智能化设施信息网：</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请简要说明信息网络系统的设置情况和管理功能等。</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333333"/>
                <w:shd w:val="clear" w:color="auto" w:fill="FFFFFF"/>
              </w:rPr>
              <w:t>（1）数据处理功能。包括数据收集和输入、数据传输、数据存储、数据加工和输出；</w:t>
            </w:r>
            <w:r>
              <w:rPr>
                <w:rFonts w:hint="eastAsia" w:ascii="微软雅黑" w:hAnsi="微软雅黑" w:eastAsia="微软雅黑"/>
                <w:color w:val="333333"/>
              </w:rPr>
              <w:br w:type="textWrapping"/>
            </w:r>
            <w:r>
              <w:rPr>
                <w:rFonts w:hint="eastAsia" w:ascii="微软雅黑" w:hAnsi="微软雅黑" w:eastAsia="微软雅黑"/>
                <w:color w:val="333333"/>
                <w:shd w:val="clear" w:color="auto" w:fill="FFFFFF"/>
              </w:rPr>
              <w:t>（2）预测功能。运用现代数学方法、统计方法和模拟方法，根据过去的数据预测未来的情况；</w:t>
            </w:r>
            <w:r>
              <w:rPr>
                <w:rFonts w:hint="eastAsia" w:ascii="微软雅黑" w:hAnsi="微软雅黑" w:eastAsia="微软雅黑"/>
                <w:color w:val="333333"/>
              </w:rPr>
              <w:br w:type="textWrapping"/>
            </w:r>
            <w:r>
              <w:rPr>
                <w:rFonts w:hint="eastAsia" w:ascii="微软雅黑" w:hAnsi="微软雅黑" w:eastAsia="微软雅黑"/>
                <w:color w:val="333333"/>
                <w:shd w:val="clear" w:color="auto" w:fill="FFFFFF"/>
              </w:rPr>
              <w:t>（3）计划功能。根据企业提供的约束条件，合理地安排各职能部门的计划，按照不同的管理层，提供相应的计划报告；</w:t>
            </w:r>
            <w:r>
              <w:rPr>
                <w:rFonts w:hint="eastAsia" w:ascii="微软雅黑" w:hAnsi="微软雅黑" w:eastAsia="微软雅黑"/>
                <w:color w:val="333333"/>
              </w:rPr>
              <w:br w:type="textWrapping"/>
            </w:r>
            <w:r>
              <w:rPr>
                <w:rFonts w:hint="eastAsia" w:ascii="微软雅黑" w:hAnsi="微软雅黑" w:eastAsia="微软雅黑"/>
                <w:color w:val="333333"/>
                <w:shd w:val="clear" w:color="auto" w:fill="FFFFFF"/>
              </w:rPr>
              <w:t>（4）控制功能。根据各职能部门提供的数据，对计划的执行情况进行监测、检查、比较执行与计划的差异，对差异情况分析其原因，辅助管理人员及时以各种方法加以控制；</w:t>
            </w:r>
            <w:r>
              <w:rPr>
                <w:rFonts w:hint="eastAsia" w:ascii="微软雅黑" w:hAnsi="微软雅黑" w:eastAsia="微软雅黑"/>
                <w:color w:val="333333"/>
              </w:rPr>
              <w:br w:type="textWrapping"/>
            </w:r>
            <w:r>
              <w:rPr>
                <w:rFonts w:hint="eastAsia" w:ascii="微软雅黑" w:hAnsi="微软雅黑" w:eastAsia="微软雅黑"/>
                <w:color w:val="333333"/>
                <w:shd w:val="clear" w:color="auto" w:fill="FFFFFF"/>
              </w:rPr>
              <w:t>（5）辅助决策功能。采用各种数学模型和所存储的大量数据，及时推导出有关问题的最优解或满意解，辅助各级管理人员进行决策，以期合理利用人财物和信息资源，取得较大的经济效益。</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）智能化设计竣工图纸及设计说明：应包括信息网络系统设计说明、系统图、机房设计、主要设备及参数；</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）装修图纸：应包括信息网络系统设计文件。</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6.2.1 场地与公共公交通站点联系便捷。（8分）</w:t>
      </w:r>
    </w:p>
    <w:p>
      <w:pPr>
        <w:spacing w:before="120" w:beforeLines="50" w:after="120" w:afterLines="50"/>
        <w:rPr>
          <w:rFonts w:ascii="Times New Roman" w:hAnsi="Times New Roman"/>
          <w:b/>
          <w:szCs w:val="21"/>
        </w:rPr>
      </w:pPr>
      <w:r>
        <w:rPr>
          <w:rFonts w:ascii="Times New Roman" w:hAnsi="Times New Roman"/>
          <w:b/>
          <w:szCs w:val="21"/>
        </w:rPr>
        <w:t>1 得分自评</w:t>
      </w:r>
    </w:p>
    <w:tbl>
      <w:tblPr>
        <w:tblStyle w:val="13"/>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noWrap w:val="0"/>
            <w:vAlign w:val="center"/>
          </w:tcPr>
          <w:p>
            <w:pPr>
              <w:jc w:val="center"/>
              <w:rPr>
                <w:rFonts w:ascii="Times New Roman" w:hAnsi="Times New Roman"/>
                <w:lang w:val="zh-CN"/>
              </w:rPr>
            </w:pPr>
            <w:r>
              <w:rPr>
                <w:rFonts w:ascii="Times New Roman" w:hAnsi="Times New Roman"/>
                <w:lang w:val="zh-CN"/>
              </w:rPr>
              <w:t>序号</w:t>
            </w:r>
          </w:p>
        </w:tc>
        <w:tc>
          <w:tcPr>
            <w:tcW w:w="4999"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63"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noWrap w:val="0"/>
            <w:vAlign w:val="center"/>
          </w:tcPr>
          <w:p>
            <w:pPr>
              <w:jc w:val="center"/>
              <w:rPr>
                <w:rFonts w:ascii="Times New Roman" w:hAnsi="Times New Roman"/>
              </w:rPr>
            </w:pPr>
            <w:r>
              <w:rPr>
                <w:rFonts w:ascii="Times New Roman" w:hAnsi="Times New Roman"/>
              </w:rPr>
              <w:t>1</w:t>
            </w:r>
          </w:p>
        </w:tc>
        <w:tc>
          <w:tcPr>
            <w:tcW w:w="4999" w:type="dxa"/>
            <w:noWrap w:val="0"/>
            <w:vAlign w:val="center"/>
          </w:tcPr>
          <w:p>
            <w:pPr>
              <w:rPr>
                <w:rFonts w:ascii="Times New Roman" w:hAnsi="Times New Roman"/>
              </w:rPr>
            </w:pPr>
            <w:r>
              <w:rPr>
                <w:rFonts w:ascii="Times New Roman" w:hAnsi="Times New Roman"/>
              </w:rPr>
              <w:t>场地出入口到达公共交通站点的步行距离不大于500m，或到达轨道交通站的步行距离不大于800m</w:t>
            </w:r>
          </w:p>
        </w:tc>
        <w:tc>
          <w:tcPr>
            <w:tcW w:w="1701" w:type="dxa"/>
            <w:noWrap w:val="0"/>
            <w:vAlign w:val="center"/>
          </w:tcPr>
          <w:p>
            <w:pPr>
              <w:jc w:val="center"/>
              <w:rPr>
                <w:rFonts w:ascii="Times New Roman" w:hAnsi="Times New Roman"/>
              </w:rPr>
            </w:pPr>
            <w:r>
              <w:rPr>
                <w:rFonts w:ascii="Times New Roman" w:hAnsi="Times New Roman"/>
              </w:rPr>
              <w:t>2</w:t>
            </w:r>
          </w:p>
        </w:tc>
        <w:tc>
          <w:tcPr>
            <w:tcW w:w="1663" w:type="dxa"/>
            <w:vMerge w:val="restart"/>
            <w:noWrap w:val="0"/>
            <w:vAlign w:val="center"/>
          </w:tcPr>
          <w:p>
            <w:pPr>
              <w:jc w:val="center"/>
              <w:rPr>
                <w:rFonts w:ascii="Times New Roman" w:hAnsi="Times New Roman"/>
              </w:rPr>
            </w:pPr>
            <w:r>
              <w:rPr>
                <w:rFonts w:hint="eastAsia" w:ascii="Times New Roman" w:hAnsi="Times New Roman"/>
                <w:szCs w:val="21"/>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noWrap w:val="0"/>
            <w:vAlign w:val="center"/>
          </w:tcPr>
          <w:p>
            <w:pPr>
              <w:jc w:val="center"/>
              <w:rPr>
                <w:rFonts w:ascii="Times New Roman" w:hAnsi="Times New Roman"/>
              </w:rPr>
            </w:pPr>
          </w:p>
        </w:tc>
        <w:tc>
          <w:tcPr>
            <w:tcW w:w="4999" w:type="dxa"/>
            <w:noWrap w:val="0"/>
            <w:vAlign w:val="center"/>
          </w:tcPr>
          <w:p>
            <w:pPr>
              <w:rPr>
                <w:rFonts w:ascii="Times New Roman" w:hAnsi="Times New Roman"/>
              </w:rPr>
            </w:pPr>
            <w:r>
              <w:rPr>
                <w:rFonts w:ascii="Times New Roman" w:hAnsi="Times New Roman"/>
              </w:rPr>
              <w:t>场地出入口到达公共交通站点的步行距离不大于300m，或到达轨道交通站的步行距离不大于500m</w:t>
            </w:r>
          </w:p>
        </w:tc>
        <w:tc>
          <w:tcPr>
            <w:tcW w:w="1701" w:type="dxa"/>
            <w:noWrap w:val="0"/>
            <w:vAlign w:val="center"/>
          </w:tcPr>
          <w:p>
            <w:pPr>
              <w:jc w:val="center"/>
              <w:rPr>
                <w:rFonts w:ascii="Times New Roman" w:hAnsi="Times New Roman"/>
              </w:rPr>
            </w:pPr>
            <w:r>
              <w:rPr>
                <w:rFonts w:ascii="Times New Roman" w:hAnsi="Times New Roman"/>
              </w:rPr>
              <w:t>4</w:t>
            </w:r>
          </w:p>
        </w:tc>
        <w:tc>
          <w:tcPr>
            <w:tcW w:w="1663"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noWrap w:val="0"/>
            <w:vAlign w:val="center"/>
          </w:tcPr>
          <w:p>
            <w:pPr>
              <w:jc w:val="center"/>
              <w:rPr>
                <w:rFonts w:ascii="Times New Roman" w:hAnsi="Times New Roman"/>
              </w:rPr>
            </w:pPr>
            <w:r>
              <w:rPr>
                <w:rFonts w:ascii="Times New Roman" w:hAnsi="Times New Roman"/>
              </w:rPr>
              <w:t>2</w:t>
            </w:r>
          </w:p>
        </w:tc>
        <w:tc>
          <w:tcPr>
            <w:tcW w:w="4999" w:type="dxa"/>
            <w:noWrap w:val="0"/>
            <w:vAlign w:val="center"/>
          </w:tcPr>
          <w:p>
            <w:pPr>
              <w:rPr>
                <w:rFonts w:ascii="Times New Roman" w:hAnsi="Times New Roman"/>
              </w:rPr>
            </w:pPr>
            <w:r>
              <w:rPr>
                <w:rFonts w:ascii="Times New Roman" w:hAnsi="Times New Roman"/>
              </w:rPr>
              <w:t>场地出入口步行距离800m范围内设有2条及以上线路的公共交通站点</w:t>
            </w:r>
          </w:p>
        </w:tc>
        <w:tc>
          <w:tcPr>
            <w:tcW w:w="1701" w:type="dxa"/>
            <w:noWrap w:val="0"/>
            <w:vAlign w:val="center"/>
          </w:tcPr>
          <w:p>
            <w:pPr>
              <w:jc w:val="center"/>
              <w:rPr>
                <w:rFonts w:ascii="Times New Roman" w:hAnsi="Times New Roman"/>
              </w:rPr>
            </w:pPr>
            <w:r>
              <w:rPr>
                <w:rFonts w:ascii="Times New Roman" w:hAnsi="Times New Roman"/>
              </w:rPr>
              <w:t>4</w:t>
            </w:r>
          </w:p>
        </w:tc>
        <w:tc>
          <w:tcPr>
            <w:tcW w:w="1663" w:type="dxa"/>
            <w:noWrap w:val="0"/>
            <w:vAlign w:val="center"/>
          </w:tcPr>
          <w:p>
            <w:pPr>
              <w:jc w:val="center"/>
              <w:rPr>
                <w:rFonts w:ascii="Times New Roman" w:hAnsi="Times New Roman"/>
              </w:rPr>
            </w:pPr>
            <w:r>
              <w:rPr>
                <w:rFonts w:hint="eastAsia" w:ascii="Times New Roman" w:hAnsi="Times New Roman"/>
                <w:szCs w:val="21"/>
              </w:rPr>
              <w:t xml:space="preserve">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8</w:t>
            </w:r>
          </w:p>
        </w:tc>
        <w:tc>
          <w:tcPr>
            <w:tcW w:w="1663" w:type="dxa"/>
            <w:noWrap w:val="0"/>
            <w:vAlign w:val="center"/>
          </w:tcPr>
          <w:p>
            <w:pPr>
              <w:jc w:val="center"/>
              <w:rPr>
                <w:rFonts w:ascii="Times New Roman" w:hAnsi="Times New Roman"/>
              </w:rPr>
            </w:pPr>
            <w:r>
              <w:rPr>
                <w:rFonts w:hint="eastAsia" w:ascii="Times New Roman" w:hAnsi="Times New Roman"/>
                <w:szCs w:val="21"/>
              </w:rPr>
              <w:t xml:space="preserve">8  </w:t>
            </w:r>
          </w:p>
        </w:tc>
      </w:tr>
    </w:tbl>
    <w:p>
      <w:pPr>
        <w:spacing w:before="120" w:beforeLines="50" w:after="120" w:afterLines="50"/>
        <w:rPr>
          <w:rFonts w:ascii="Times New Roman" w:hAnsi="Times New Roman"/>
          <w:b/>
          <w:szCs w:val="21"/>
        </w:rPr>
      </w:pPr>
      <w:r>
        <w:rPr>
          <w:rFonts w:ascii="Times New Roman" w:hAnsi="Times New Roman"/>
          <w:b/>
          <w:szCs w:val="21"/>
        </w:rPr>
        <w:t>2 评价要点</w:t>
      </w:r>
    </w:p>
    <w:p>
      <w:pPr>
        <w:rPr>
          <w:lang w:val="zh-CN"/>
        </w:rPr>
      </w:pPr>
      <w:r>
        <w:rPr>
          <w:rFonts w:hint="eastAsia"/>
          <w:lang w:val="zh-CN"/>
        </w:rPr>
        <w:t>场地内交通组织是否人车分行：</w:t>
      </w:r>
      <w:r>
        <w:rPr>
          <w:rFonts w:ascii="Wingdings 2" w:hAnsi="Wingdings 2"/>
          <w:sz w:val="28"/>
        </w:rPr>
        <w:t></w:t>
      </w:r>
      <w:r>
        <w:rPr>
          <w:rFonts w:hint="eastAsia"/>
          <w:lang w:val="zh-CN"/>
        </w:rPr>
        <w:t xml:space="preserve">是 </w:t>
      </w:r>
      <w:r>
        <w:rPr>
          <w:rFonts w:hint="eastAsia"/>
          <w:sz w:val="28"/>
        </w:rPr>
        <w:sym w:font="Wingdings 2" w:char="F0A3"/>
      </w:r>
      <w:r>
        <w:rPr>
          <w:rFonts w:hint="eastAsia"/>
          <w:lang w:val="zh-CN"/>
        </w:rPr>
        <w:t>否</w:t>
      </w:r>
    </w:p>
    <w:tbl>
      <w:tblPr>
        <w:tblStyle w:val="13"/>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noWrap w:val="0"/>
            <w:vAlign w:val="center"/>
          </w:tcPr>
          <w:p>
            <w:pPr>
              <w:jc w:val="center"/>
              <w:rPr>
                <w:lang w:val="zh-CN"/>
              </w:rPr>
            </w:pPr>
            <w:r>
              <w:rPr>
                <w:rFonts w:hint="eastAsia"/>
                <w:lang w:val="zh-CN"/>
              </w:rPr>
              <w:t>公交/轨道交通站名称</w:t>
            </w:r>
          </w:p>
        </w:tc>
        <w:tc>
          <w:tcPr>
            <w:tcW w:w="2410" w:type="dxa"/>
            <w:noWrap w:val="0"/>
            <w:vAlign w:val="center"/>
          </w:tcPr>
          <w:p>
            <w:pPr>
              <w:jc w:val="center"/>
              <w:rPr>
                <w:lang w:val="zh-CN"/>
              </w:rPr>
            </w:pPr>
            <w:r>
              <w:rPr>
                <w:rFonts w:hint="eastAsia"/>
                <w:lang w:val="zh-CN"/>
              </w:rPr>
              <w:t>场地出入口步行至公交站的距离（m）</w:t>
            </w:r>
          </w:p>
        </w:tc>
        <w:tc>
          <w:tcPr>
            <w:tcW w:w="2662" w:type="dxa"/>
            <w:noWrap w:val="0"/>
            <w:vAlign w:val="center"/>
          </w:tcPr>
          <w:p>
            <w:pPr>
              <w:jc w:val="center"/>
              <w:rPr>
                <w:lang w:val="zh-CN"/>
              </w:rPr>
            </w:pPr>
            <w:r>
              <w:rPr>
                <w:rFonts w:hint="eastAsia"/>
                <w:lang w:val="zh-CN"/>
              </w:rPr>
              <w:t>线路名称</w:t>
            </w:r>
          </w:p>
        </w:tc>
        <w:tc>
          <w:tcPr>
            <w:tcW w:w="1805" w:type="dxa"/>
            <w:noWrap w:val="0"/>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2314" w:type="dxa"/>
            <w:noWrap w:val="0"/>
            <w:vAlign w:val="top"/>
          </w:tcPr>
          <w:p>
            <w:pPr>
              <w:tabs>
                <w:tab w:val="left" w:pos="2702"/>
              </w:tabs>
              <w:spacing w:line="288" w:lineRule="auto"/>
              <w:jc w:val="center"/>
              <w:rPr>
                <w:lang w:val="zh-CN"/>
              </w:rPr>
            </w:pPr>
            <w:r>
              <w:rPr>
                <w:rFonts w:hint="eastAsia" w:ascii="Times New Roman" w:hAnsi="Times New Roman"/>
                <w:szCs w:val="21"/>
              </w:rPr>
              <w:t xml:space="preserve"> 云台山公交站</w:t>
            </w:r>
          </w:p>
        </w:tc>
        <w:tc>
          <w:tcPr>
            <w:tcW w:w="2410" w:type="dxa"/>
            <w:noWrap w:val="0"/>
            <w:vAlign w:val="top"/>
          </w:tcPr>
          <w:p>
            <w:pPr>
              <w:tabs>
                <w:tab w:val="left" w:pos="2702"/>
              </w:tabs>
              <w:spacing w:line="288" w:lineRule="auto"/>
              <w:jc w:val="center"/>
              <w:rPr>
                <w:lang w:val="zh-CN"/>
              </w:rPr>
            </w:pPr>
            <w:r>
              <w:rPr>
                <w:rFonts w:hint="eastAsia" w:ascii="Times New Roman" w:hAnsi="Times New Roman"/>
                <w:szCs w:val="21"/>
              </w:rPr>
              <w:t xml:space="preserve">360  </w:t>
            </w:r>
          </w:p>
        </w:tc>
        <w:tc>
          <w:tcPr>
            <w:tcW w:w="2662" w:type="dxa"/>
            <w:noWrap w:val="0"/>
            <w:vAlign w:val="top"/>
          </w:tcPr>
          <w:p>
            <w:pPr>
              <w:tabs>
                <w:tab w:val="left" w:pos="2702"/>
              </w:tabs>
              <w:spacing w:line="288" w:lineRule="auto"/>
              <w:jc w:val="center"/>
              <w:rPr>
                <w:lang w:val="zh-CN"/>
              </w:rPr>
            </w:pPr>
            <w:r>
              <w:rPr>
                <w:rFonts w:hint="eastAsia" w:ascii="Times New Roman" w:hAnsi="Times New Roman"/>
                <w:szCs w:val="21"/>
              </w:rPr>
              <w:t xml:space="preserve">  云河路</w:t>
            </w:r>
          </w:p>
        </w:tc>
        <w:tc>
          <w:tcPr>
            <w:tcW w:w="1805" w:type="dxa"/>
            <w:noWrap w:val="0"/>
            <w:vAlign w:val="center"/>
          </w:tcPr>
          <w:p>
            <w:pPr>
              <w:jc w:val="center"/>
              <w:rPr>
                <w:lang w:val="zh-CN"/>
              </w:rPr>
            </w:pPr>
            <w:r>
              <w:rPr>
                <w:rFonts w:ascii="Wingdings 2" w:hAnsi="Wingdings 2"/>
                <w:sz w:val="28"/>
              </w:rPr>
              <w:t></w:t>
            </w:r>
            <w:r>
              <w:rPr>
                <w:rFonts w:hint="eastAsia"/>
                <w:lang w:val="zh-CN"/>
              </w:rPr>
              <w:t xml:space="preserve">已建 </w:t>
            </w:r>
            <w:r>
              <w:rPr>
                <w:rFonts w:hint="eastAsia"/>
                <w:sz w:val="28"/>
              </w:rPr>
              <w:sym w:font="Wingdings 2" w:char="F0A3"/>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1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410"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662"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1805" w:type="dxa"/>
            <w:noWrap w:val="0"/>
            <w:vAlign w:val="center"/>
          </w:tcPr>
          <w:p>
            <w:pPr>
              <w:jc w:val="center"/>
              <w:rPr>
                <w:lang w:val="zh-CN"/>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bl>
    <w:p>
      <w:pPr>
        <w:rPr>
          <w:rFonts w:ascii="Times New Roman" w:hAnsi="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shd w:val="clear" w:color="auto" w:fill="auto"/>
            <w:noWrap w:val="0"/>
            <w:vAlign w:val="top"/>
          </w:tcPr>
          <w:p>
            <w:pPr>
              <w:ind w:firstLine="400" w:firstLineChars="200"/>
              <w:rPr>
                <w:rFonts w:ascii="Times New Roman" w:hAnsi="Times New Roman"/>
                <w:sz w:val="20"/>
                <w:szCs w:val="21"/>
              </w:rPr>
            </w:pPr>
            <w:r>
              <w:rPr>
                <w:rFonts w:hint="eastAsia" w:ascii="Times New Roman" w:hAnsi="Times New Roman"/>
                <w:sz w:val="20"/>
                <w:szCs w:val="21"/>
              </w:rPr>
              <w:t>场地内交通组织采用人车分流。目前已有90、91路公交线路，后期还有规划公交线路到达学校，交通比较便利。</w:t>
            </w:r>
          </w:p>
          <w:p>
            <w:pPr>
              <w:ind w:firstLine="400" w:firstLineChars="200"/>
              <w:rPr>
                <w:rFonts w:ascii="Times New Roman" w:hAnsi="Times New Roman"/>
                <w:sz w:val="20"/>
                <w:szCs w:val="21"/>
              </w:rPr>
            </w:pPr>
            <w:r>
              <w:rPr>
                <w:rFonts w:hint="eastAsia" w:ascii="Times New Roman" w:hAnsi="Times New Roman"/>
                <w:sz w:val="20"/>
                <w:szCs w:val="21"/>
              </w:rPr>
              <w:t>本项目临近欧意轩花园公交站，从项目出入口步行至公交站距离100 米，且经过线路有</w:t>
            </w:r>
          </w:p>
          <w:p>
            <w:pPr>
              <w:ind w:firstLine="400" w:firstLineChars="200"/>
              <w:rPr>
                <w:rFonts w:ascii="Times New Roman" w:hAnsi="Times New Roman"/>
                <w:sz w:val="20"/>
                <w:szCs w:val="21"/>
              </w:rPr>
            </w:pPr>
            <w:r>
              <w:rPr>
                <w:rFonts w:hint="eastAsia" w:ascii="Times New Roman" w:hAnsi="Times New Roman"/>
                <w:sz w:val="20"/>
                <w:szCs w:val="21"/>
              </w:rPr>
              <w:t>929 路;m219 路;m306 路;m319 路;m502b 线;m556 路等多趟公交，项目选址交通组织合理，方便通行。</w:t>
            </w:r>
          </w:p>
        </w:tc>
      </w:tr>
    </w:tbl>
    <w:p>
      <w:pPr>
        <w:spacing w:before="120" w:beforeLines="50" w:after="120"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1）竣工总平面图；</w:t>
      </w:r>
    </w:p>
    <w:p>
      <w:pPr>
        <w:rPr>
          <w:rFonts w:ascii="Times New Roman" w:hAnsi="Times New Roman"/>
        </w:rPr>
      </w:pPr>
      <w:r>
        <w:rPr>
          <w:rFonts w:hint="eastAsia" w:ascii="Times New Roman" w:hAnsi="Times New Roman"/>
        </w:rPr>
        <w:t>2）场地周边公共交通设施布局示意图，应包括场地出入口到达公交站点的步行线路和距离；</w:t>
      </w:r>
    </w:p>
    <w:p>
      <w:pPr>
        <w:rPr>
          <w:rFonts w:ascii="Times New Roman" w:hAnsi="Times New Roman"/>
        </w:rPr>
      </w:pPr>
      <w:r>
        <w:rPr>
          <w:rFonts w:hint="eastAsia" w:ascii="Times New Roman" w:hAnsi="Times New Roman"/>
        </w:rPr>
        <w:t>3）公共交通线路设置说明，应包括项目附近公交站点分布情况介绍及线路说明；</w:t>
      </w:r>
    </w:p>
    <w:p>
      <w:pPr>
        <w:rPr>
          <w:rFonts w:ascii="Times New Roman" w:hAnsi="Times New Roman"/>
        </w:rPr>
      </w:pPr>
      <w:r>
        <w:rPr>
          <w:rFonts w:hint="eastAsia" w:ascii="Times New Roman" w:hAnsi="Times New Roman"/>
        </w:rPr>
        <w:t>4）公共交通站点的影像资料。</w:t>
      </w:r>
    </w:p>
    <w:p>
      <w:pPr>
        <w:rPr>
          <w:rFonts w:ascii="Times New Roman" w:hAnsi="Times New Roman"/>
          <w:szCs w:val="21"/>
        </w:rPr>
      </w:pPr>
      <w:r>
        <w:rPr>
          <w:rFonts w:ascii="Times New Roman" w:hAnsi="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shd w:val="clear" w:color="auto" w:fill="auto"/>
            <w:noWrap w:val="0"/>
            <w:vAlign w:val="top"/>
          </w:tcPr>
          <w:p>
            <w:pPr>
              <w:rPr>
                <w:rFonts w:ascii="Times New Roman" w:hAnsi="Times New Roman"/>
                <w:sz w:val="20"/>
                <w:szCs w:val="21"/>
              </w:rPr>
            </w:pP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6.2.2 建筑室内外公共区域满足全龄化设计要求。（8分）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17" w:type="dxa"/>
        <w:jc w:val="center"/>
        <w:tblLayout w:type="autofit"/>
        <w:tblCellMar>
          <w:top w:w="0" w:type="dxa"/>
          <w:left w:w="0" w:type="dxa"/>
          <w:bottom w:w="0" w:type="dxa"/>
          <w:right w:w="0" w:type="dxa"/>
        </w:tblCellMar>
      </w:tblPr>
      <w:tblGrid>
        <w:gridCol w:w="852"/>
        <w:gridCol w:w="4999"/>
        <w:gridCol w:w="1704"/>
        <w:gridCol w:w="1562"/>
      </w:tblGrid>
      <w:tr>
        <w:tblPrEx>
          <w:tblCellMar>
            <w:top w:w="0" w:type="dxa"/>
            <w:left w:w="0" w:type="dxa"/>
            <w:bottom w:w="0" w:type="dxa"/>
            <w:right w:w="0" w:type="dxa"/>
          </w:tblCellMar>
        </w:tblPrEx>
        <w:trPr>
          <w:trHeight w:val="176" w:hRule="atLeast"/>
          <w:jc w:val="center"/>
        </w:trPr>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序号</w:t>
            </w:r>
          </w:p>
        </w:tc>
        <w:tc>
          <w:tcPr>
            <w:tcW w:w="477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评价分值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自评得分</w:t>
            </w:r>
          </w:p>
        </w:tc>
      </w:tr>
      <w:tr>
        <w:tblPrEx>
          <w:tblCellMar>
            <w:top w:w="0" w:type="dxa"/>
            <w:left w:w="0" w:type="dxa"/>
            <w:bottom w:w="0" w:type="dxa"/>
            <w:right w:w="0" w:type="dxa"/>
          </w:tblCellMar>
        </w:tblPrEx>
        <w:trPr>
          <w:trHeight w:val="520" w:hRule="atLeast"/>
          <w:jc w:val="center"/>
        </w:trPr>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7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建筑室内公共区域、室外公共活动场地及道路均满足无障碍设计要求</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trHeight w:val="719" w:hRule="atLeast"/>
          <w:jc w:val="center"/>
        </w:trPr>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7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建筑室内公共区域的墙、柱等处的阳角均为圆角，并设有安全抓杆或扶手</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0</w:t>
            </w:r>
          </w:p>
        </w:tc>
      </w:tr>
      <w:tr>
        <w:tblPrEx>
          <w:tblCellMar>
            <w:top w:w="0" w:type="dxa"/>
            <w:left w:w="0" w:type="dxa"/>
            <w:bottom w:w="0" w:type="dxa"/>
            <w:right w:w="0" w:type="dxa"/>
          </w:tblCellMar>
        </w:tblPrEx>
        <w:trPr>
          <w:trHeight w:val="581" w:hRule="atLeast"/>
          <w:jc w:val="center"/>
        </w:trPr>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77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设有可容纳担架的无障碍电梯</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val="en-US" w:eastAsia="zh-CN"/>
              </w:rPr>
            </w:pPr>
            <w:r>
              <w:rPr>
                <w:rFonts w:hint="eastAsia" w:eastAsia="宋体"/>
                <w:lang w:val="en-US" w:eastAsia="zh-CN"/>
              </w:rPr>
              <w:t>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val="en-US" w:eastAsia="zh-CN"/>
              </w:rPr>
            </w:pPr>
            <w:r>
              <w:rPr>
                <w:rFonts w:hint="eastAsia" w:eastAsia="宋体"/>
                <w:lang w:val="en-US" w:eastAsia="zh-CN"/>
              </w:rPr>
              <w:t>2</w:t>
            </w:r>
          </w:p>
        </w:tc>
      </w:tr>
      <w:tr>
        <w:tblPrEx>
          <w:tblCellMar>
            <w:top w:w="0" w:type="dxa"/>
            <w:left w:w="0" w:type="dxa"/>
            <w:bottom w:w="0" w:type="dxa"/>
            <w:right w:w="0" w:type="dxa"/>
          </w:tblCellMar>
        </w:tblPrEx>
        <w:trPr>
          <w:jc w:val="center"/>
        </w:trPr>
        <w:tc>
          <w:tcPr>
            <w:tcW w:w="5626"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eastAsia="zh-CN"/>
              </w:rPr>
            </w:pPr>
            <w:r>
              <w:rPr>
                <w:rFonts w:hint="eastAsia" w:ascii="Times New Roman" w:hAnsi="Times New Roman" w:eastAsia="宋体" w:cs="Times New Roman"/>
                <w:sz w:val="21"/>
                <w:szCs w:val="21"/>
                <w:lang w:val="en-US" w:eastAsia="zh-CN"/>
              </w:rPr>
              <w:t>5</w:t>
            </w:r>
          </w:p>
        </w:tc>
      </w:tr>
      <w:tr>
        <w:tblPrEx>
          <w:tblCellMar>
            <w:top w:w="0" w:type="dxa"/>
            <w:left w:w="0" w:type="dxa"/>
            <w:bottom w:w="0" w:type="dxa"/>
            <w:right w:w="0" w:type="dxa"/>
          </w:tblCellMar>
        </w:tblPrEx>
        <w:trPr>
          <w:jc w:val="center"/>
        </w:trPr>
        <w:tc>
          <w:tcPr>
            <w:tcW w:w="851" w:type="dxa"/>
            <w:tcBorders>
              <w:top w:val="nil"/>
              <w:left w:val="nil"/>
              <w:bottom w:val="nil"/>
              <w:right w:val="nil"/>
            </w:tcBorders>
            <w:noWrap w:val="0"/>
            <w:vAlign w:val="center"/>
          </w:tcPr>
          <w:p>
            <w:pPr>
              <w:rPr>
                <w:sz w:val="1"/>
              </w:rPr>
            </w:pPr>
          </w:p>
        </w:tc>
        <w:tc>
          <w:tcPr>
            <w:tcW w:w="4991"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300" w:lineRule="atLeast"/>
        <w:jc w:val="both"/>
      </w:pPr>
      <w:r>
        <w:rPr>
          <w:rFonts w:hint="eastAsia"/>
          <w:sz w:val="21"/>
          <w:szCs w:val="21"/>
        </w:rPr>
        <w:t>建筑室内公共区域、室外公共场地及道路是否进行无障碍设计：</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 xml:space="preserve">否 </w:t>
      </w:r>
    </w:p>
    <w:p>
      <w:pPr>
        <w:pStyle w:val="11"/>
        <w:spacing w:before="0" w:beforeAutospacing="0" w:after="0" w:afterAutospacing="0" w:line="300" w:lineRule="atLeast"/>
        <w:jc w:val="both"/>
      </w:pPr>
      <w:r>
        <w:rPr>
          <w:rFonts w:hint="eastAsia"/>
          <w:sz w:val="21"/>
          <w:szCs w:val="21"/>
        </w:rPr>
        <w:t>建筑室内公共区域的墙、柱等处的阳角是否均为圆角：</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否，是否设有安全抓杆或扶手：</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line="300" w:lineRule="atLeast"/>
        <w:jc w:val="both"/>
      </w:pPr>
      <w:r>
        <w:rPr>
          <w:rFonts w:hint="eastAsia"/>
          <w:sz w:val="21"/>
          <w:szCs w:val="21"/>
        </w:rPr>
        <w:t>是否设有可容纳担架的无障碍电梯：</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line="300" w:lineRule="atLeast"/>
        <w:jc w:val="both"/>
      </w:pPr>
      <w:r>
        <w:rPr>
          <w:rFonts w:hint="eastAsia"/>
          <w:sz w:val="21"/>
          <w:szCs w:val="21"/>
        </w:rPr>
        <w:t>请简要说明建筑室内外公共区域的全龄化设计情况。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76"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场地内人行通道及场地内外联系通道均设无障碍坡道，便于通行。</w:t>
            </w:r>
          </w:p>
          <w:p>
            <w:pPr>
              <w:pStyle w:val="11"/>
              <w:spacing w:before="0" w:beforeAutospacing="0" w:after="0" w:afterAutospacing="0"/>
              <w:jc w:val="both"/>
            </w:pPr>
            <w:r>
              <w:rPr>
                <w:rFonts w:ascii="Times New Roman" w:hAnsi="Times New Roman" w:cs="Times New Roman"/>
                <w:sz w:val="20"/>
                <w:szCs w:val="20"/>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300" w:lineRule="atLeast"/>
        <w:jc w:val="both"/>
      </w:pPr>
      <w:r>
        <w:rPr>
          <w:rFonts w:hint="eastAsia"/>
          <w:sz w:val="21"/>
          <w:szCs w:val="21"/>
        </w:rPr>
        <w:t>提交材料及要求：</w:t>
      </w:r>
    </w:p>
    <w:p>
      <w:pPr>
        <w:pStyle w:val="11"/>
        <w:spacing w:before="0" w:beforeAutospacing="0" w:after="0" w:afterAutospacing="0" w:line="300" w:lineRule="atLeast"/>
        <w:jc w:val="both"/>
      </w:pPr>
      <w:r>
        <w:rPr>
          <w:rFonts w:ascii="Times New Roman" w:hAnsi="Times New Roman" w:cs="Times New Roman"/>
          <w:sz w:val="21"/>
          <w:szCs w:val="21"/>
        </w:rPr>
        <w:t>1</w:t>
      </w:r>
      <w:r>
        <w:rPr>
          <w:rFonts w:hint="eastAsia"/>
          <w:sz w:val="21"/>
          <w:szCs w:val="21"/>
        </w:rPr>
        <w:t>）竣工总平面图；</w:t>
      </w:r>
    </w:p>
    <w:p>
      <w:pPr>
        <w:pStyle w:val="11"/>
        <w:spacing w:before="0" w:beforeAutospacing="0" w:after="0" w:afterAutospacing="0" w:line="300" w:lineRule="atLeast"/>
        <w:jc w:val="both"/>
      </w:pPr>
      <w:r>
        <w:rPr>
          <w:rFonts w:ascii="Times New Roman" w:hAnsi="Times New Roman" w:cs="Times New Roman"/>
          <w:sz w:val="21"/>
          <w:szCs w:val="21"/>
        </w:rPr>
        <w:t>2</w:t>
      </w:r>
      <w:r>
        <w:rPr>
          <w:rFonts w:hint="eastAsia"/>
          <w:sz w:val="21"/>
          <w:szCs w:val="21"/>
        </w:rPr>
        <w:t>）建筑专业竣工图纸及设计说明，应包括建筑出入口及其他室内公共区域平面图；</w:t>
      </w:r>
    </w:p>
    <w:p>
      <w:pPr>
        <w:pStyle w:val="11"/>
        <w:spacing w:before="0" w:beforeAutospacing="0" w:after="0" w:afterAutospacing="0" w:line="300" w:lineRule="atLeast"/>
        <w:jc w:val="both"/>
      </w:pPr>
      <w:r>
        <w:rPr>
          <w:rFonts w:ascii="Times New Roman" w:hAnsi="Times New Roman" w:cs="Times New Roman"/>
          <w:sz w:val="21"/>
          <w:szCs w:val="21"/>
        </w:rPr>
        <w:t>3</w:t>
      </w:r>
      <w:r>
        <w:rPr>
          <w:rFonts w:hint="eastAsia"/>
          <w:sz w:val="21"/>
          <w:szCs w:val="21"/>
        </w:rPr>
        <w:t>）景观专业竣工图纸及设计说明，应包括室外公共活动场地及道路设计；</w:t>
      </w:r>
    </w:p>
    <w:p>
      <w:pPr>
        <w:pStyle w:val="11"/>
        <w:spacing w:before="0" w:beforeAutospacing="0" w:after="0" w:afterAutospacing="0" w:line="300" w:lineRule="atLeast"/>
        <w:jc w:val="both"/>
      </w:pPr>
      <w:r>
        <w:rPr>
          <w:rFonts w:ascii="Times New Roman" w:hAnsi="Times New Roman" w:cs="Times New Roman"/>
          <w:sz w:val="21"/>
          <w:szCs w:val="21"/>
        </w:rPr>
        <w:t>4</w:t>
      </w:r>
      <w:r>
        <w:rPr>
          <w:rFonts w:hint="eastAsia"/>
          <w:sz w:val="21"/>
          <w:szCs w:val="21"/>
        </w:rPr>
        <w:t>）无障碍设计详图；</w:t>
      </w:r>
    </w:p>
    <w:p>
      <w:pPr>
        <w:pStyle w:val="11"/>
        <w:spacing w:before="0" w:beforeAutospacing="0" w:after="0" w:afterAutospacing="0" w:line="300" w:lineRule="atLeast"/>
        <w:jc w:val="both"/>
      </w:pPr>
      <w:r>
        <w:rPr>
          <w:rFonts w:ascii="Times New Roman" w:hAnsi="Times New Roman" w:cs="Times New Roman"/>
          <w:sz w:val="21"/>
          <w:szCs w:val="21"/>
        </w:rPr>
        <w:t>5</w:t>
      </w:r>
      <w:r>
        <w:rPr>
          <w:rFonts w:hint="eastAsia"/>
          <w:sz w:val="21"/>
          <w:szCs w:val="21"/>
        </w:rPr>
        <w:t>）电梯设计详图及电梯产品说明书；</w:t>
      </w:r>
    </w:p>
    <w:p>
      <w:pPr>
        <w:pStyle w:val="11"/>
        <w:spacing w:before="0" w:beforeAutospacing="0" w:after="0" w:afterAutospacing="0" w:line="300" w:lineRule="atLeast"/>
        <w:jc w:val="both"/>
      </w:pPr>
      <w:r>
        <w:rPr>
          <w:rFonts w:ascii="Times New Roman" w:hAnsi="Times New Roman" w:cs="Times New Roman"/>
          <w:sz w:val="21"/>
          <w:szCs w:val="21"/>
        </w:rPr>
        <w:t>6</w:t>
      </w:r>
      <w:r>
        <w:rPr>
          <w:rFonts w:hint="eastAsia"/>
          <w:sz w:val="21"/>
          <w:szCs w:val="21"/>
        </w:rPr>
        <w:t>）装修图纸及设计说明，应包括室内公共区域装修平面图、墙柱等阳角节点设计详图、室内抓杆或扶手节点设计详图、装修设计材料表。</w:t>
      </w:r>
    </w:p>
    <w:p>
      <w:pPr>
        <w:pStyle w:val="11"/>
        <w:spacing w:before="0" w:beforeAutospacing="0" w:after="0" w:afterAutospacing="0" w:line="300" w:lineRule="atLeast"/>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258"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6.2.3 提供便利的公共服务。（10分）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02" w:type="dxa"/>
        <w:jc w:val="center"/>
        <w:tblLayout w:type="autofit"/>
        <w:tblCellMar>
          <w:top w:w="0" w:type="dxa"/>
          <w:left w:w="0" w:type="dxa"/>
          <w:bottom w:w="0" w:type="dxa"/>
          <w:right w:w="0" w:type="dxa"/>
        </w:tblCellMar>
      </w:tblPr>
      <w:tblGrid>
        <w:gridCol w:w="852"/>
        <w:gridCol w:w="3796"/>
        <w:gridCol w:w="1188"/>
        <w:gridCol w:w="1704"/>
        <w:gridCol w:w="1562"/>
      </w:tblGrid>
      <w:tr>
        <w:tblPrEx>
          <w:tblCellMar>
            <w:top w:w="0" w:type="dxa"/>
            <w:left w:w="0" w:type="dxa"/>
            <w:bottom w:w="0" w:type="dxa"/>
            <w:right w:w="0" w:type="dxa"/>
          </w:tblCellMar>
        </w:tblPrEx>
        <w:trPr>
          <w:trHeight w:val="284" w:hRule="atLeast"/>
          <w:jc w:val="center"/>
        </w:trPr>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4760"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931" w:hRule="atLeast"/>
          <w:jc w:val="center"/>
        </w:trPr>
        <w:tc>
          <w:tcPr>
            <w:tcW w:w="63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p>
            <w:pPr>
              <w:pStyle w:val="11"/>
              <w:spacing w:before="0" w:beforeAutospacing="0" w:after="0" w:afterAutospacing="0"/>
              <w:jc w:val="center"/>
            </w:pPr>
            <w:r>
              <w:rPr>
                <w:rFonts w:hint="eastAsia"/>
                <w:sz w:val="21"/>
                <w:szCs w:val="21"/>
              </w:rPr>
              <w:t>居住建筑</w:t>
            </w:r>
          </w:p>
        </w:tc>
        <w:tc>
          <w:tcPr>
            <w:tcW w:w="357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场地出入口到达幼儿园的步行距离不超过</w:t>
            </w:r>
            <w:r>
              <w:rPr>
                <w:rFonts w:ascii="Times New Roman" w:hAnsi="Times New Roman" w:cs="Times New Roman"/>
                <w:sz w:val="21"/>
                <w:szCs w:val="21"/>
              </w:rPr>
              <w:t>300m</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场地出入口到达小学的步行距离不超过</w:t>
            </w:r>
            <w:r>
              <w:rPr>
                <w:rFonts w:ascii="Times New Roman" w:hAnsi="Times New Roman" w:cs="Times New Roman"/>
                <w:sz w:val="21"/>
                <w:szCs w:val="21"/>
              </w:rPr>
              <w:t>500m</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场地出入口到达中学的步行距离不超过</w:t>
            </w:r>
            <w:r>
              <w:rPr>
                <w:rFonts w:ascii="Times New Roman" w:hAnsi="Times New Roman" w:cs="Times New Roman"/>
                <w:sz w:val="21"/>
                <w:szCs w:val="21"/>
              </w:rPr>
              <w:t>1000m</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场地出入口到达医院的步行距离不超过</w:t>
            </w:r>
            <w:r>
              <w:rPr>
                <w:rFonts w:ascii="Times New Roman" w:hAnsi="Times New Roman" w:cs="Times New Roman"/>
                <w:sz w:val="21"/>
                <w:szCs w:val="21"/>
              </w:rPr>
              <w:t>1000m</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场地出入口到达群众文化活动设施的步行距离不超过</w:t>
            </w:r>
            <w:r>
              <w:rPr>
                <w:rFonts w:ascii="Times New Roman" w:hAnsi="Times New Roman" w:cs="Times New Roman"/>
                <w:sz w:val="21"/>
                <w:szCs w:val="21"/>
              </w:rPr>
              <w:t>800m</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场地出入口到达老年人日间照料设施的步行距离不超过</w:t>
            </w:r>
            <w:r>
              <w:rPr>
                <w:rFonts w:ascii="Times New Roman" w:hAnsi="Times New Roman" w:cs="Times New Roman"/>
                <w:sz w:val="21"/>
                <w:szCs w:val="21"/>
              </w:rPr>
              <w:t>500m</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场地周边</w:t>
            </w:r>
            <w:r>
              <w:rPr>
                <w:rFonts w:ascii="Times New Roman" w:hAnsi="Times New Roman" w:cs="Times New Roman"/>
                <w:sz w:val="21"/>
                <w:szCs w:val="21"/>
              </w:rPr>
              <w:t>500m</w:t>
            </w:r>
            <w:r>
              <w:rPr>
                <w:rFonts w:hint="eastAsia"/>
                <w:sz w:val="21"/>
                <w:szCs w:val="21"/>
              </w:rPr>
              <w:t>范围内具有</w:t>
            </w:r>
            <w:r>
              <w:rPr>
                <w:rFonts w:ascii="Times New Roman" w:hAnsi="Times New Roman" w:cs="Times New Roman"/>
                <w:sz w:val="21"/>
                <w:szCs w:val="21"/>
              </w:rPr>
              <w:t>3</w:t>
            </w:r>
            <w:r>
              <w:rPr>
                <w:rFonts w:hint="eastAsia"/>
                <w:sz w:val="21"/>
                <w:szCs w:val="21"/>
              </w:rPr>
              <w:t>种及以上的商业服务设施</w:t>
            </w:r>
          </w:p>
        </w:tc>
        <w:tc>
          <w:tcPr>
            <w:tcW w:w="9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满足</w:t>
            </w:r>
            <w:r>
              <w:rPr>
                <w:rFonts w:ascii="Times New Roman" w:hAnsi="Times New Roman" w:cs="Times New Roman"/>
                <w:sz w:val="21"/>
                <w:szCs w:val="21"/>
              </w:rPr>
              <w:t>4</w:t>
            </w:r>
            <w:r>
              <w:rPr>
                <w:rFonts w:hint="eastAsia"/>
                <w:sz w:val="21"/>
                <w:szCs w:val="21"/>
              </w:rPr>
              <w:t>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34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93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满足</w:t>
            </w:r>
            <w:r>
              <w:rPr>
                <w:rFonts w:ascii="Times New Roman" w:hAnsi="Times New Roman" w:cs="Times New Roman"/>
                <w:sz w:val="21"/>
                <w:szCs w:val="21"/>
              </w:rPr>
              <w:t>6</w:t>
            </w:r>
            <w:r>
              <w:rPr>
                <w:rFonts w:hint="eastAsia"/>
                <w:sz w:val="21"/>
                <w:szCs w:val="21"/>
              </w:rPr>
              <w:t>项及以上</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931" w:hRule="atLeast"/>
          <w:jc w:val="center"/>
        </w:trPr>
        <w:tc>
          <w:tcPr>
            <w:tcW w:w="63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p>
            <w:pPr>
              <w:pStyle w:val="11"/>
              <w:spacing w:before="0" w:beforeAutospacing="0" w:after="0" w:afterAutospacing="0"/>
              <w:jc w:val="center"/>
            </w:pPr>
            <w:r>
              <w:rPr>
                <w:rFonts w:hint="eastAsia"/>
                <w:sz w:val="21"/>
                <w:szCs w:val="21"/>
              </w:rPr>
              <w:t>公共建筑</w:t>
            </w:r>
          </w:p>
        </w:tc>
        <w:tc>
          <w:tcPr>
            <w:tcW w:w="357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建筑内兼容</w:t>
            </w:r>
            <w:r>
              <w:rPr>
                <w:rFonts w:ascii="Times New Roman" w:hAnsi="Times New Roman" w:cs="Times New Roman"/>
                <w:sz w:val="21"/>
                <w:szCs w:val="21"/>
              </w:rPr>
              <w:t>2</w:t>
            </w:r>
            <w:r>
              <w:rPr>
                <w:rFonts w:hint="eastAsia"/>
                <w:sz w:val="21"/>
                <w:szCs w:val="21"/>
              </w:rPr>
              <w:t>种及以上面向社会的公共服务功能</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建筑向社会公众提供开放的公共活动空间</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电动汽车充电桩的车位数占总车位数的比例不低于</w:t>
            </w:r>
            <w:r>
              <w:rPr>
                <w:rFonts w:ascii="Times New Roman" w:hAnsi="Times New Roman" w:cs="Times New Roman"/>
                <w:sz w:val="21"/>
                <w:szCs w:val="21"/>
              </w:rPr>
              <w:t>10%</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周边</w:t>
            </w:r>
            <w:r>
              <w:rPr>
                <w:rFonts w:ascii="Times New Roman" w:hAnsi="Times New Roman" w:cs="Times New Roman"/>
                <w:sz w:val="21"/>
                <w:szCs w:val="21"/>
              </w:rPr>
              <w:t>500m</w:t>
            </w:r>
            <w:r>
              <w:rPr>
                <w:rFonts w:hint="eastAsia"/>
                <w:sz w:val="21"/>
                <w:szCs w:val="21"/>
              </w:rPr>
              <w:t>范围内设有社会公共停车场（库）</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场地不封闭或场地内步行公共通道向社会开放</w:t>
            </w:r>
          </w:p>
        </w:tc>
        <w:tc>
          <w:tcPr>
            <w:tcW w:w="9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满足</w:t>
            </w:r>
            <w:r>
              <w:rPr>
                <w:rFonts w:ascii="Times New Roman" w:hAnsi="Times New Roman" w:cs="Times New Roman"/>
                <w:sz w:val="21"/>
                <w:szCs w:val="21"/>
              </w:rPr>
              <w:t>3</w:t>
            </w:r>
            <w:r>
              <w:rPr>
                <w:rFonts w:hint="eastAsia"/>
                <w:sz w:val="21"/>
                <w:szCs w:val="21"/>
              </w:rPr>
              <w:t>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34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w:t>
            </w:r>
          </w:p>
        </w:tc>
      </w:tr>
      <w:tr>
        <w:tblPrEx>
          <w:tblCellMar>
            <w:top w:w="0" w:type="dxa"/>
            <w:left w:w="0" w:type="dxa"/>
            <w:bottom w:w="0" w:type="dxa"/>
            <w:right w:w="0" w:type="dxa"/>
          </w:tblCellMar>
        </w:tblPrEx>
        <w:trPr>
          <w:trHeight w:val="93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满足</w:t>
            </w:r>
            <w:r>
              <w:rPr>
                <w:rFonts w:ascii="Times New Roman" w:hAnsi="Times New Roman" w:cs="Times New Roman"/>
                <w:sz w:val="21"/>
                <w:szCs w:val="21"/>
              </w:rPr>
              <w:t>5</w:t>
            </w:r>
            <w:r>
              <w:rPr>
                <w:rFonts w:hint="eastAsia"/>
                <w:sz w:val="21"/>
                <w:szCs w:val="21"/>
              </w:rPr>
              <w:t>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851" w:type="dxa"/>
            <w:tcBorders>
              <w:top w:val="nil"/>
              <w:left w:val="nil"/>
              <w:bottom w:val="nil"/>
              <w:right w:val="nil"/>
            </w:tcBorders>
            <w:noWrap w:val="0"/>
            <w:vAlign w:val="center"/>
          </w:tcPr>
          <w:p>
            <w:pPr>
              <w:rPr>
                <w:sz w:val="1"/>
              </w:rPr>
            </w:pPr>
          </w:p>
        </w:tc>
        <w:tc>
          <w:tcPr>
            <w:tcW w:w="3790" w:type="dxa"/>
            <w:tcBorders>
              <w:top w:val="nil"/>
              <w:left w:val="nil"/>
              <w:bottom w:val="nil"/>
              <w:right w:val="nil"/>
            </w:tcBorders>
            <w:noWrap w:val="0"/>
            <w:vAlign w:val="center"/>
          </w:tcPr>
          <w:p>
            <w:pPr>
              <w:rPr>
                <w:sz w:val="1"/>
              </w:rPr>
            </w:pPr>
          </w:p>
        </w:tc>
        <w:tc>
          <w:tcPr>
            <w:tcW w:w="1186"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住区场地</w:t>
      </w:r>
      <w:r>
        <w:rPr>
          <w:rFonts w:ascii="Times New Roman" w:hAnsi="Times New Roman" w:cs="Times New Roman"/>
          <w:sz w:val="21"/>
          <w:szCs w:val="21"/>
        </w:rPr>
        <w:t>1000m</w:t>
      </w:r>
      <w:r>
        <w:rPr>
          <w:rFonts w:hint="eastAsia"/>
          <w:sz w:val="21"/>
          <w:szCs w:val="21"/>
        </w:rPr>
        <w:t>范围内的公共服务设施</w:t>
      </w:r>
    </w:p>
    <w:tbl>
      <w:tblPr>
        <w:tblStyle w:val="13"/>
        <w:tblW w:w="9251" w:type="dxa"/>
        <w:jc w:val="center"/>
        <w:tblLayout w:type="autofit"/>
        <w:tblCellMar>
          <w:top w:w="0" w:type="dxa"/>
          <w:left w:w="0" w:type="dxa"/>
          <w:bottom w:w="0" w:type="dxa"/>
          <w:right w:w="0" w:type="dxa"/>
        </w:tblCellMar>
      </w:tblPr>
      <w:tblGrid>
        <w:gridCol w:w="1525"/>
        <w:gridCol w:w="2581"/>
        <w:gridCol w:w="2145"/>
        <w:gridCol w:w="3000"/>
      </w:tblGrid>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类别</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名称</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距主要出入口</w:t>
            </w:r>
          </w:p>
          <w:p>
            <w:pPr>
              <w:pStyle w:val="11"/>
              <w:spacing w:before="0" w:beforeAutospacing="0" w:after="0" w:afterAutospacing="0"/>
              <w:jc w:val="center"/>
            </w:pPr>
            <w:r>
              <w:rPr>
                <w:rFonts w:hint="eastAsia"/>
                <w:sz w:val="21"/>
                <w:szCs w:val="21"/>
              </w:rPr>
              <w:t>步行距离（</w:t>
            </w:r>
            <w:r>
              <w:rPr>
                <w:rFonts w:ascii="Calibri" w:hAnsi="Calibri"/>
                <w:sz w:val="21"/>
                <w:szCs w:val="21"/>
              </w:rPr>
              <w:t>m</w:t>
            </w:r>
            <w:r>
              <w:rPr>
                <w:rFonts w:hint="eastAsia"/>
                <w:sz w:val="21"/>
                <w:szCs w:val="21"/>
              </w:rPr>
              <w:t>）</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是否集中设置并向周边居民开放</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教育</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医疗卫生</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文化体育</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商业服务</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金融邮电</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社区服务</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市政公用</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r>
      <w:tr>
        <w:tblPrEx>
          <w:tblCellMar>
            <w:top w:w="0" w:type="dxa"/>
            <w:left w:w="0" w:type="dxa"/>
            <w:bottom w:w="0" w:type="dxa"/>
            <w:right w:w="0" w:type="dxa"/>
          </w:tblCellMar>
        </w:tblPrEx>
        <w:trPr>
          <w:trHeight w:val="284"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5"/>
                <w:rFonts w:hint="eastAsia" w:ascii="MS Gothic" w:hAnsi="MS Gothic" w:eastAsia="MS Gothic"/>
                <w:sz w:val="21"/>
                <w:szCs w:val="21"/>
              </w:rPr>
              <w:t>☐</w:t>
            </w:r>
            <w:r>
              <w:rPr>
                <w:rFonts w:hint="eastAsia"/>
                <w:sz w:val="21"/>
                <w:szCs w:val="21"/>
              </w:rPr>
              <w:t>行政管理</w:t>
            </w:r>
          </w:p>
        </w:tc>
        <w:tc>
          <w:tcPr>
            <w:tcW w:w="23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4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7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bl>
    <w:p>
      <w:pPr>
        <w:pStyle w:val="11"/>
        <w:spacing w:before="0" w:beforeAutospacing="0" w:after="0" w:afterAutospacing="0"/>
        <w:jc w:val="both"/>
      </w:pPr>
      <w:r>
        <w:rPr>
          <w:rFonts w:hint="eastAsia"/>
          <w:sz w:val="21"/>
          <w:szCs w:val="21"/>
        </w:rPr>
        <w:t>公共建筑的集中设置、配套辅助设施</w:t>
      </w:r>
    </w:p>
    <w:tbl>
      <w:tblPr>
        <w:tblStyle w:val="13"/>
        <w:tblW w:w="8211" w:type="dxa"/>
        <w:jc w:val="center"/>
        <w:tblLayout w:type="autofit"/>
        <w:tblCellMar>
          <w:top w:w="0" w:type="dxa"/>
          <w:left w:w="0" w:type="dxa"/>
          <w:bottom w:w="0" w:type="dxa"/>
          <w:right w:w="0" w:type="dxa"/>
        </w:tblCellMar>
      </w:tblPr>
      <w:tblGrid>
        <w:gridCol w:w="2428"/>
        <w:gridCol w:w="1980"/>
        <w:gridCol w:w="2298"/>
        <w:gridCol w:w="1505"/>
      </w:tblGrid>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功能或类型</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数量</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作用</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共享对象</w:t>
            </w:r>
          </w:p>
        </w:tc>
      </w:tr>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会议设施</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1</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教师开会 </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教师</w:t>
            </w:r>
          </w:p>
        </w:tc>
      </w:tr>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展览设施</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展览 </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全校师生 </w:t>
            </w:r>
          </w:p>
        </w:tc>
      </w:tr>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健身设施</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若干</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幼儿活动 </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幼儿</w:t>
            </w:r>
          </w:p>
        </w:tc>
      </w:tr>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餐饮服务设施</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1</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堂食</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教职工</w:t>
            </w:r>
          </w:p>
        </w:tc>
      </w:tr>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交往空间</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若干</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活动</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全校师生 </w:t>
            </w:r>
          </w:p>
        </w:tc>
      </w:tr>
      <w:tr>
        <w:tblPrEx>
          <w:tblCellMar>
            <w:top w:w="0" w:type="dxa"/>
            <w:left w:w="0" w:type="dxa"/>
            <w:bottom w:w="0" w:type="dxa"/>
            <w:right w:w="0" w:type="dxa"/>
          </w:tblCellMar>
        </w:tblPrEx>
        <w:trPr>
          <w:trHeight w:val="284" w:hRule="atLeast"/>
          <w:jc w:val="center"/>
        </w:trPr>
        <w:tc>
          <w:tcPr>
            <w:tcW w:w="2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休息空间</w:t>
            </w: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若干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休息</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全校师生</w:t>
            </w:r>
          </w:p>
        </w:tc>
      </w:tr>
    </w:tbl>
    <w:p>
      <w:pPr>
        <w:pStyle w:val="11"/>
        <w:spacing w:before="0" w:beforeAutospacing="0" w:after="0" w:afterAutospacing="0"/>
        <w:jc w:val="both"/>
      </w:pPr>
      <w:r>
        <w:rPr>
          <w:rFonts w:hint="eastAsia"/>
          <w:sz w:val="21"/>
          <w:szCs w:val="21"/>
        </w:rPr>
        <w:t>公共建筑向社会公众开放的公共空间</w:t>
      </w:r>
    </w:p>
    <w:tbl>
      <w:tblPr>
        <w:tblStyle w:val="13"/>
        <w:tblW w:w="9093" w:type="dxa"/>
        <w:jc w:val="center"/>
        <w:tblLayout w:type="autofit"/>
        <w:tblCellMar>
          <w:top w:w="0" w:type="dxa"/>
          <w:left w:w="0" w:type="dxa"/>
          <w:bottom w:w="0" w:type="dxa"/>
          <w:right w:w="0" w:type="dxa"/>
        </w:tblCellMar>
      </w:tblPr>
      <w:tblGrid>
        <w:gridCol w:w="1597"/>
        <w:gridCol w:w="1469"/>
        <w:gridCol w:w="2087"/>
        <w:gridCol w:w="2242"/>
        <w:gridCol w:w="1698"/>
      </w:tblGrid>
      <w:tr>
        <w:tblPrEx>
          <w:tblCellMar>
            <w:top w:w="0" w:type="dxa"/>
            <w:left w:w="0" w:type="dxa"/>
            <w:bottom w:w="0" w:type="dxa"/>
            <w:right w:w="0" w:type="dxa"/>
          </w:tblCellMar>
        </w:tblPrEx>
        <w:trPr>
          <w:trHeight w:val="284" w:hRule="atLeast"/>
          <w:jc w:val="center"/>
        </w:trPr>
        <w:tc>
          <w:tcPr>
            <w:tcW w:w="11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功能或类型</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数量</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作用</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开放时间</w:t>
            </w:r>
          </w:p>
        </w:tc>
        <w:tc>
          <w:tcPr>
            <w:tcW w:w="15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是否免费</w:t>
            </w:r>
          </w:p>
        </w:tc>
      </w:tr>
      <w:tr>
        <w:tblPrEx>
          <w:tblCellMar>
            <w:top w:w="0" w:type="dxa"/>
            <w:left w:w="0" w:type="dxa"/>
            <w:bottom w:w="0" w:type="dxa"/>
            <w:right w:w="0" w:type="dxa"/>
          </w:tblCellMar>
        </w:tblPrEx>
        <w:trPr>
          <w:trHeight w:val="284" w:hRule="atLeast"/>
          <w:jc w:val="center"/>
        </w:trPr>
        <w:tc>
          <w:tcPr>
            <w:tcW w:w="11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运动场地</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5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4" w:hRule="atLeast"/>
          <w:jc w:val="center"/>
        </w:trPr>
        <w:tc>
          <w:tcPr>
            <w:tcW w:w="11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文化设施</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5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4" w:hRule="atLeast"/>
          <w:jc w:val="center"/>
        </w:trPr>
        <w:tc>
          <w:tcPr>
            <w:tcW w:w="11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公共广场</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5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4" w:hRule="atLeast"/>
          <w:jc w:val="center"/>
        </w:trPr>
        <w:tc>
          <w:tcPr>
            <w:tcW w:w="11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公共绿地</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5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4" w:hRule="atLeast"/>
          <w:jc w:val="center"/>
        </w:trPr>
        <w:tc>
          <w:tcPr>
            <w:tcW w:w="11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其他</w:t>
            </w:r>
            <w:r>
              <w:rPr>
                <w:rFonts w:hint="eastAsia"/>
                <w:sz w:val="21"/>
                <w:szCs w:val="21"/>
                <w:u w:val="single"/>
              </w:rPr>
              <w:t xml:space="preserve">      </w:t>
            </w:r>
          </w:p>
        </w:tc>
        <w:tc>
          <w:tcPr>
            <w:tcW w:w="13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9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5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bl>
    <w:p>
      <w:pPr>
        <w:pStyle w:val="11"/>
        <w:spacing w:before="0" w:beforeAutospacing="0" w:after="0" w:afterAutospacing="0"/>
        <w:jc w:val="both"/>
      </w:pPr>
      <w:r>
        <w:rPr>
          <w:rFonts w:hint="eastAsia"/>
          <w:sz w:val="21"/>
          <w:szCs w:val="21"/>
        </w:rPr>
        <w:t>如有向周边居民免费开放的室外活动场地，请简要描述场地类型、开放对象及具体实施办法。</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室外活动场地如运动场可在周末或者节假日免费供周边居民使用，由学校后勤处负责管理。</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）竣工总平面图；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）公共服务设施布局图及位置标识图；</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）设施向社会共享的管理办法、实施方案、使用说明及工作记录文件。</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公共服务设施布局图及位置标识图：2规划设计/ 场地周边公共交通设施布局示意图.png</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6.2.4 城市绿地、广场及公共运动场地等开敞空间，步行可达。（5分）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06" w:type="dxa"/>
        <w:jc w:val="center"/>
        <w:tblLayout w:type="autofit"/>
        <w:tblCellMar>
          <w:top w:w="0" w:type="dxa"/>
          <w:left w:w="0" w:type="dxa"/>
          <w:bottom w:w="0" w:type="dxa"/>
          <w:right w:w="0" w:type="dxa"/>
        </w:tblCellMar>
      </w:tblPr>
      <w:tblGrid>
        <w:gridCol w:w="971"/>
        <w:gridCol w:w="4969"/>
        <w:gridCol w:w="1600"/>
        <w:gridCol w:w="1666"/>
      </w:tblGrid>
      <w:tr>
        <w:tblPrEx>
          <w:tblCellMar>
            <w:top w:w="0" w:type="dxa"/>
            <w:left w:w="0" w:type="dxa"/>
            <w:bottom w:w="0" w:type="dxa"/>
            <w:right w:w="0" w:type="dxa"/>
          </w:tblCellMar>
        </w:tblPrEx>
        <w:trPr>
          <w:trHeight w:val="176" w:hRule="atLeast"/>
          <w:jc w:val="center"/>
        </w:trPr>
        <w:tc>
          <w:tcPr>
            <w:tcW w:w="7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序号</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评价内容</w:t>
            </w:r>
          </w:p>
        </w:tc>
        <w:tc>
          <w:tcPr>
            <w:tcW w:w="13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评价分值</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自评得分</w:t>
            </w:r>
          </w:p>
        </w:tc>
      </w:tr>
      <w:tr>
        <w:tblPrEx>
          <w:tblCellMar>
            <w:top w:w="0" w:type="dxa"/>
            <w:left w:w="0" w:type="dxa"/>
            <w:bottom w:w="0" w:type="dxa"/>
            <w:right w:w="0" w:type="dxa"/>
          </w:tblCellMar>
        </w:tblPrEx>
        <w:trPr>
          <w:trHeight w:val="520" w:hRule="atLeast"/>
          <w:jc w:val="center"/>
        </w:trPr>
        <w:tc>
          <w:tcPr>
            <w:tcW w:w="7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场地出入口到达城市公园绿地、居住区公园、广场的步行距离不超过</w:t>
            </w:r>
            <w:r>
              <w:rPr>
                <w:rFonts w:ascii="Times New Roman" w:hAnsi="Times New Roman" w:cs="Times New Roman"/>
                <w:sz w:val="21"/>
                <w:szCs w:val="21"/>
              </w:rPr>
              <w:t>300m</w:t>
            </w:r>
          </w:p>
        </w:tc>
        <w:tc>
          <w:tcPr>
            <w:tcW w:w="13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trHeight w:val="285" w:hRule="atLeast"/>
          <w:jc w:val="center"/>
        </w:trPr>
        <w:tc>
          <w:tcPr>
            <w:tcW w:w="75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到达中型多功能运动场地的步行距离不超过</w:t>
            </w:r>
            <w:r>
              <w:rPr>
                <w:rFonts w:ascii="Times New Roman" w:hAnsi="Times New Roman" w:cs="Times New Roman"/>
                <w:sz w:val="21"/>
                <w:szCs w:val="21"/>
              </w:rPr>
              <w:t>500m</w:t>
            </w:r>
          </w:p>
        </w:tc>
        <w:tc>
          <w:tcPr>
            <w:tcW w:w="13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2</w:t>
            </w:r>
          </w:p>
        </w:tc>
      </w:tr>
      <w:tr>
        <w:tblPrEx>
          <w:tblCellMar>
            <w:top w:w="0" w:type="dxa"/>
            <w:left w:w="0" w:type="dxa"/>
            <w:bottom w:w="0" w:type="dxa"/>
            <w:right w:w="0" w:type="dxa"/>
          </w:tblCellMar>
        </w:tblPrEx>
        <w:trPr>
          <w:jc w:val="center"/>
        </w:trPr>
        <w:tc>
          <w:tcPr>
            <w:tcW w:w="571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合计</w:t>
            </w:r>
          </w:p>
        </w:tc>
        <w:tc>
          <w:tcPr>
            <w:tcW w:w="138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jc w:val="center"/>
        </w:trPr>
        <w:tc>
          <w:tcPr>
            <w:tcW w:w="970" w:type="dxa"/>
            <w:tcBorders>
              <w:top w:val="nil"/>
              <w:left w:val="nil"/>
              <w:bottom w:val="nil"/>
              <w:right w:val="nil"/>
            </w:tcBorders>
            <w:noWrap w:val="0"/>
            <w:vAlign w:val="center"/>
          </w:tcPr>
          <w:p>
            <w:pPr>
              <w:rPr>
                <w:sz w:val="1"/>
              </w:rPr>
            </w:pPr>
          </w:p>
        </w:tc>
        <w:tc>
          <w:tcPr>
            <w:tcW w:w="4961" w:type="dxa"/>
            <w:tcBorders>
              <w:top w:val="nil"/>
              <w:left w:val="nil"/>
              <w:bottom w:val="nil"/>
              <w:right w:val="nil"/>
            </w:tcBorders>
            <w:noWrap w:val="0"/>
            <w:vAlign w:val="center"/>
          </w:tcPr>
          <w:p>
            <w:pPr>
              <w:rPr>
                <w:sz w:val="1"/>
              </w:rPr>
            </w:pPr>
          </w:p>
        </w:tc>
        <w:tc>
          <w:tcPr>
            <w:tcW w:w="1597" w:type="dxa"/>
            <w:tcBorders>
              <w:top w:val="nil"/>
              <w:left w:val="nil"/>
              <w:bottom w:val="nil"/>
              <w:right w:val="nil"/>
            </w:tcBorders>
            <w:noWrap w:val="0"/>
            <w:vAlign w:val="center"/>
          </w:tcPr>
          <w:p>
            <w:pPr>
              <w:rPr>
                <w:sz w:val="1"/>
              </w:rPr>
            </w:pPr>
          </w:p>
        </w:tc>
        <w:tc>
          <w:tcPr>
            <w:tcW w:w="1663"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场地周围是否有城市公共开敞空间：</w:t>
      </w:r>
      <w:r>
        <w:rPr>
          <w:rStyle w:val="25"/>
          <w:rFonts w:hint="eastAsia" w:ascii="MS Gothic" w:hAnsi="MS Gothic" w:eastAsia="MS Gothic"/>
          <w:sz w:val="21"/>
          <w:szCs w:val="21"/>
        </w:rPr>
        <w:t>☑</w:t>
      </w:r>
      <w:r>
        <w:rPr>
          <w:rFonts w:hint="eastAsia"/>
          <w:sz w:val="21"/>
          <w:szCs w:val="21"/>
        </w:rPr>
        <w:t xml:space="preserve">是 </w:t>
      </w:r>
      <w:r>
        <w:rPr>
          <w:rStyle w:val="25"/>
          <w:rFonts w:hint="eastAsia" w:ascii="MS Gothic" w:hAnsi="MS Gothic" w:eastAsia="MS Gothic"/>
          <w:sz w:val="21"/>
          <w:szCs w:val="21"/>
        </w:rPr>
        <w:t>☐</w:t>
      </w:r>
      <w:r>
        <w:rPr>
          <w:rFonts w:hint="eastAsia"/>
          <w:sz w:val="21"/>
          <w:szCs w:val="21"/>
        </w:rPr>
        <w:t>否</w:t>
      </w:r>
    </w:p>
    <w:p>
      <w:pPr>
        <w:pStyle w:val="11"/>
        <w:spacing w:before="0" w:beforeAutospacing="0" w:after="0" w:afterAutospacing="0"/>
        <w:jc w:val="both"/>
      </w:pPr>
      <w:r>
        <w:rPr>
          <w:rFonts w:hint="eastAsia"/>
          <w:sz w:val="21"/>
          <w:szCs w:val="21"/>
        </w:rPr>
        <w:t>是否有中型多功能运动场地：</w:t>
      </w:r>
      <w:r>
        <w:rPr>
          <w:rStyle w:val="25"/>
          <w:rFonts w:hint="eastAsia" w:ascii="MS Gothic" w:hAnsi="MS Gothic" w:eastAsia="MS Gothic"/>
          <w:sz w:val="21"/>
          <w:szCs w:val="21"/>
        </w:rPr>
        <w:t>☑</w:t>
      </w:r>
      <w:r>
        <w:rPr>
          <w:rFonts w:hint="eastAsia"/>
          <w:sz w:val="21"/>
          <w:szCs w:val="21"/>
        </w:rPr>
        <w:t xml:space="preserve">是 </w:t>
      </w:r>
      <w:r>
        <w:rPr>
          <w:rStyle w:val="25"/>
          <w:rFonts w:hint="eastAsia" w:ascii="MS Gothic" w:hAnsi="MS Gothic" w:eastAsia="MS Gothic"/>
          <w:sz w:val="21"/>
          <w:szCs w:val="21"/>
        </w:rPr>
        <w:t>☐</w:t>
      </w:r>
      <w:r>
        <w:rPr>
          <w:rFonts w:hint="eastAsia"/>
          <w:sz w:val="21"/>
          <w:szCs w:val="21"/>
        </w:rPr>
        <w:t>否</w:t>
      </w:r>
    </w:p>
    <w:tbl>
      <w:tblPr>
        <w:tblStyle w:val="13"/>
        <w:tblW w:w="9206" w:type="dxa"/>
        <w:jc w:val="center"/>
        <w:tblLayout w:type="autofit"/>
        <w:tblCellMar>
          <w:top w:w="0" w:type="dxa"/>
          <w:left w:w="0" w:type="dxa"/>
          <w:bottom w:w="0" w:type="dxa"/>
          <w:right w:w="0" w:type="dxa"/>
        </w:tblCellMar>
      </w:tblPr>
      <w:tblGrid>
        <w:gridCol w:w="3144"/>
        <w:gridCol w:w="3585"/>
        <w:gridCol w:w="2477"/>
      </w:tblGrid>
      <w:tr>
        <w:tblPrEx>
          <w:tblCellMar>
            <w:top w:w="0" w:type="dxa"/>
            <w:left w:w="0" w:type="dxa"/>
            <w:bottom w:w="0" w:type="dxa"/>
            <w:right w:w="0" w:type="dxa"/>
          </w:tblCellMar>
        </w:tblPrEx>
        <w:trPr>
          <w:trHeight w:val="277" w:hRule="atLeast"/>
          <w:jc w:val="center"/>
        </w:trPr>
        <w:tc>
          <w:tcPr>
            <w:tcW w:w="2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城市公共开敞空间</w:t>
            </w:r>
            <w:r>
              <w:rPr>
                <w:rFonts w:ascii="Calibri" w:hAnsi="Calibri"/>
                <w:sz w:val="21"/>
                <w:szCs w:val="21"/>
              </w:rPr>
              <w:t>/</w:t>
            </w:r>
            <w:r>
              <w:rPr>
                <w:rFonts w:hint="eastAsia"/>
                <w:sz w:val="21"/>
                <w:szCs w:val="21"/>
              </w:rPr>
              <w:t>中型多功能运动场地</w:t>
            </w:r>
          </w:p>
        </w:tc>
        <w:tc>
          <w:tcPr>
            <w:tcW w:w="33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场地出入口至开敞空间的步行距离（</w:t>
            </w:r>
            <w:r>
              <w:rPr>
                <w:rFonts w:ascii="Calibri" w:hAnsi="Calibri"/>
                <w:sz w:val="21"/>
                <w:szCs w:val="21"/>
              </w:rPr>
              <w:t>m</w:t>
            </w:r>
            <w:r>
              <w:rPr>
                <w:rFonts w:hint="eastAsia"/>
                <w:sz w:val="21"/>
                <w:szCs w:val="21"/>
              </w:rPr>
              <w:t>）</w:t>
            </w:r>
          </w:p>
        </w:tc>
        <w:tc>
          <w:tcPr>
            <w:tcW w:w="22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已建</w:t>
            </w:r>
            <w:r>
              <w:rPr>
                <w:rFonts w:ascii="Calibri" w:hAnsi="Calibri"/>
                <w:sz w:val="21"/>
                <w:szCs w:val="21"/>
              </w:rPr>
              <w:t>/</w:t>
            </w:r>
            <w:r>
              <w:rPr>
                <w:rFonts w:hint="eastAsia"/>
                <w:sz w:val="21"/>
                <w:szCs w:val="21"/>
              </w:rPr>
              <w:t>规划</w:t>
            </w:r>
          </w:p>
        </w:tc>
      </w:tr>
      <w:tr>
        <w:tblPrEx>
          <w:tblCellMar>
            <w:top w:w="0" w:type="dxa"/>
            <w:left w:w="0" w:type="dxa"/>
            <w:bottom w:w="0" w:type="dxa"/>
            <w:right w:w="0" w:type="dxa"/>
          </w:tblCellMar>
        </w:tblPrEx>
        <w:trPr>
          <w:trHeight w:val="169" w:hRule="atLeast"/>
          <w:jc w:val="center"/>
        </w:trPr>
        <w:tc>
          <w:tcPr>
            <w:tcW w:w="2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169" w:lineRule="atLeast"/>
              <w:jc w:val="center"/>
              <w:rPr>
                <w:sz w:val="21"/>
                <w:szCs w:val="21"/>
              </w:rPr>
            </w:pPr>
            <w:r>
              <w:rPr>
                <w:rFonts w:ascii="Times New Roman" w:hAnsi="Times New Roman" w:cs="Times New Roman"/>
                <w:sz w:val="21"/>
                <w:szCs w:val="21"/>
              </w:rPr>
              <w:t> 新景运动公园</w:t>
            </w:r>
          </w:p>
        </w:tc>
        <w:tc>
          <w:tcPr>
            <w:tcW w:w="33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169" w:lineRule="atLeast"/>
              <w:jc w:val="center"/>
              <w:rPr>
                <w:sz w:val="21"/>
                <w:szCs w:val="21"/>
              </w:rPr>
            </w:pPr>
            <w:r>
              <w:rPr>
                <w:rFonts w:ascii="Times New Roman" w:hAnsi="Times New Roman" w:cs="Times New Roman"/>
                <w:sz w:val="21"/>
                <w:szCs w:val="21"/>
              </w:rPr>
              <w:t>300 </w:t>
            </w:r>
          </w:p>
        </w:tc>
        <w:tc>
          <w:tcPr>
            <w:tcW w:w="22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69" w:lineRule="atLeast"/>
              <w:jc w:val="center"/>
            </w:pPr>
            <w:r>
              <w:rPr>
                <w:rStyle w:val="25"/>
                <w:rFonts w:hint="eastAsia" w:ascii="MS Mincho" w:hAnsi="MS Mincho" w:eastAsia="MS Mincho" w:cs="MS Mincho"/>
                <w:sz w:val="28"/>
                <w:szCs w:val="28"/>
              </w:rPr>
              <w:t>☑</w:t>
            </w:r>
            <w:r>
              <w:rPr>
                <w:rFonts w:hint="eastAsia"/>
                <w:sz w:val="21"/>
                <w:szCs w:val="21"/>
              </w:rPr>
              <w:t xml:space="preserve">已建 </w:t>
            </w:r>
            <w:r>
              <w:rPr>
                <w:rStyle w:val="25"/>
                <w:rFonts w:hint="eastAsia" w:ascii="MS Mincho" w:hAnsi="MS Mincho" w:eastAsia="MS Mincho" w:cs="MS Mincho"/>
                <w:sz w:val="28"/>
                <w:szCs w:val="28"/>
              </w:rPr>
              <w:t>☐</w:t>
            </w:r>
            <w:r>
              <w:rPr>
                <w:rFonts w:hint="eastAsia"/>
                <w:sz w:val="21"/>
                <w:szCs w:val="21"/>
              </w:rPr>
              <w:t>规划</w:t>
            </w:r>
          </w:p>
        </w:tc>
      </w:tr>
      <w:tr>
        <w:tblPrEx>
          <w:tblCellMar>
            <w:top w:w="0" w:type="dxa"/>
            <w:left w:w="0" w:type="dxa"/>
            <w:bottom w:w="0" w:type="dxa"/>
            <w:right w:w="0" w:type="dxa"/>
          </w:tblCellMar>
        </w:tblPrEx>
        <w:trPr>
          <w:trHeight w:val="256" w:hRule="atLeast"/>
          <w:jc w:val="center"/>
        </w:trPr>
        <w:tc>
          <w:tcPr>
            <w:tcW w:w="2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33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2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已建 </w:t>
            </w:r>
            <w:r>
              <w:rPr>
                <w:rStyle w:val="25"/>
                <w:rFonts w:hint="eastAsia" w:ascii="MS Mincho" w:hAnsi="MS Mincho" w:eastAsia="MS Mincho" w:cs="MS Mincho"/>
                <w:sz w:val="28"/>
                <w:szCs w:val="28"/>
              </w:rPr>
              <w:t>☐</w:t>
            </w:r>
            <w:r>
              <w:rPr>
                <w:rFonts w:hint="eastAsia"/>
                <w:sz w:val="21"/>
                <w:szCs w:val="21"/>
              </w:rPr>
              <w:t>规划</w:t>
            </w:r>
          </w:p>
        </w:tc>
      </w:tr>
      <w:tr>
        <w:tblPrEx>
          <w:tblCellMar>
            <w:top w:w="0" w:type="dxa"/>
            <w:left w:w="0" w:type="dxa"/>
            <w:bottom w:w="0" w:type="dxa"/>
            <w:right w:w="0" w:type="dxa"/>
          </w:tblCellMar>
        </w:tblPrEx>
        <w:trPr>
          <w:trHeight w:val="256" w:hRule="atLeast"/>
          <w:jc w:val="center"/>
        </w:trPr>
        <w:tc>
          <w:tcPr>
            <w:tcW w:w="2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33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2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已建 </w:t>
            </w:r>
            <w:r>
              <w:rPr>
                <w:rStyle w:val="25"/>
                <w:rFonts w:hint="eastAsia" w:ascii="MS Mincho" w:hAnsi="MS Mincho" w:eastAsia="MS Mincho" w:cs="MS Mincho"/>
                <w:sz w:val="28"/>
                <w:szCs w:val="28"/>
              </w:rPr>
              <w:t>☐</w:t>
            </w:r>
            <w:r>
              <w:rPr>
                <w:rFonts w:hint="eastAsia"/>
                <w:sz w:val="21"/>
                <w:szCs w:val="21"/>
              </w:rPr>
              <w:t>规划</w:t>
            </w:r>
          </w:p>
        </w:tc>
      </w:tr>
      <w:tr>
        <w:tblPrEx>
          <w:tblCellMar>
            <w:top w:w="0" w:type="dxa"/>
            <w:left w:w="0" w:type="dxa"/>
            <w:bottom w:w="0" w:type="dxa"/>
            <w:right w:w="0" w:type="dxa"/>
          </w:tblCellMar>
        </w:tblPrEx>
        <w:trPr>
          <w:trHeight w:val="256" w:hRule="atLeast"/>
          <w:jc w:val="center"/>
        </w:trPr>
        <w:tc>
          <w:tcPr>
            <w:tcW w:w="29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33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2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已建 </w:t>
            </w:r>
            <w:r>
              <w:rPr>
                <w:rStyle w:val="25"/>
                <w:rFonts w:hint="eastAsia" w:ascii="MS Mincho" w:hAnsi="MS Mincho" w:eastAsia="MS Mincho" w:cs="MS Mincho"/>
                <w:sz w:val="28"/>
                <w:szCs w:val="28"/>
              </w:rPr>
              <w:t>☐</w:t>
            </w:r>
            <w:r>
              <w:rPr>
                <w:rFonts w:hint="eastAsia"/>
                <w:sz w:val="21"/>
                <w:szCs w:val="21"/>
              </w:rPr>
              <w:t>规划</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）建筑总平面竣工图；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）场地周边公共设施局部图或规划图，应体现步行路线、位置标识；</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）步行路线图及开敞空间出入口实景照片。</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场地周边公共设施局部图或规划图、步行路线图：2规划设计/ 场地周边公共交通设施布局示意图.png</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6.2.5 合理设置健身场地和空间。（10分）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17" w:type="dxa"/>
        <w:jc w:val="center"/>
        <w:tblLayout w:type="autofit"/>
        <w:tblCellMar>
          <w:top w:w="0" w:type="dxa"/>
          <w:left w:w="0" w:type="dxa"/>
          <w:bottom w:w="0" w:type="dxa"/>
          <w:right w:w="0" w:type="dxa"/>
        </w:tblCellMar>
      </w:tblPr>
      <w:tblGrid>
        <w:gridCol w:w="822"/>
        <w:gridCol w:w="4969"/>
        <w:gridCol w:w="1704"/>
        <w:gridCol w:w="1622"/>
      </w:tblGrid>
      <w:tr>
        <w:tblPrEx>
          <w:tblCellMar>
            <w:top w:w="0" w:type="dxa"/>
            <w:left w:w="0" w:type="dxa"/>
            <w:bottom w:w="0" w:type="dxa"/>
            <w:right w:w="0" w:type="dxa"/>
          </w:tblCellMar>
        </w:tblPrEx>
        <w:trPr>
          <w:trHeight w:val="176" w:hRule="atLeast"/>
          <w:jc w:val="center"/>
        </w:trPr>
        <w:tc>
          <w:tcPr>
            <w:tcW w:w="6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序号</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评价分值</w:t>
            </w:r>
          </w:p>
        </w:tc>
        <w:tc>
          <w:tcPr>
            <w:tcW w:w="14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自评得分</w:t>
            </w:r>
          </w:p>
        </w:tc>
      </w:tr>
      <w:tr>
        <w:tblPrEx>
          <w:tblCellMar>
            <w:top w:w="0" w:type="dxa"/>
            <w:left w:w="0" w:type="dxa"/>
            <w:bottom w:w="0" w:type="dxa"/>
            <w:right w:w="0" w:type="dxa"/>
          </w:tblCellMar>
        </w:tblPrEx>
        <w:trPr>
          <w:trHeight w:val="520" w:hRule="atLeast"/>
          <w:jc w:val="center"/>
        </w:trPr>
        <w:tc>
          <w:tcPr>
            <w:tcW w:w="6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室外健身场地面积不少于总用地面积的</w:t>
            </w:r>
            <w:r>
              <w:rPr>
                <w:rFonts w:ascii="Times New Roman" w:hAnsi="Times New Roman" w:cs="Times New Roman"/>
                <w:sz w:val="21"/>
                <w:szCs w:val="21"/>
              </w:rPr>
              <w:t>0.5%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4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trHeight w:val="719" w:hRule="atLeast"/>
          <w:jc w:val="center"/>
        </w:trPr>
        <w:tc>
          <w:tcPr>
            <w:tcW w:w="6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设置宽度不少于</w:t>
            </w:r>
            <w:r>
              <w:rPr>
                <w:rFonts w:ascii="Times New Roman" w:hAnsi="Times New Roman" w:cs="Times New Roman"/>
                <w:sz w:val="21"/>
                <w:szCs w:val="21"/>
              </w:rPr>
              <w:t>1.25m</w:t>
            </w:r>
            <w:r>
              <w:rPr>
                <w:rFonts w:hint="eastAsia"/>
                <w:sz w:val="21"/>
                <w:szCs w:val="21"/>
              </w:rPr>
              <w:t>的专用健身慢行道，健身慢行道长度不少于用地红线周长的</w:t>
            </w:r>
            <w:r>
              <w:rPr>
                <w:rFonts w:ascii="Times New Roman" w:hAnsi="Times New Roman" w:cs="Times New Roman"/>
                <w:sz w:val="21"/>
                <w:szCs w:val="21"/>
              </w:rPr>
              <w:t>1/4</w:t>
            </w:r>
            <w:r>
              <w:rPr>
                <w:rFonts w:hint="eastAsia"/>
                <w:sz w:val="21"/>
                <w:szCs w:val="21"/>
              </w:rPr>
              <w:t>且不少于</w:t>
            </w:r>
            <w:r>
              <w:rPr>
                <w:rFonts w:ascii="Times New Roman" w:hAnsi="Times New Roman" w:cs="Times New Roman"/>
                <w:sz w:val="21"/>
                <w:szCs w:val="21"/>
              </w:rPr>
              <w:t>100m</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4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0 </w:t>
            </w:r>
          </w:p>
        </w:tc>
      </w:tr>
      <w:tr>
        <w:tblPrEx>
          <w:tblCellMar>
            <w:top w:w="0" w:type="dxa"/>
            <w:left w:w="0" w:type="dxa"/>
            <w:bottom w:w="0" w:type="dxa"/>
            <w:right w:w="0" w:type="dxa"/>
          </w:tblCellMar>
        </w:tblPrEx>
        <w:trPr>
          <w:trHeight w:val="719" w:hRule="atLeast"/>
          <w:jc w:val="center"/>
        </w:trPr>
        <w:tc>
          <w:tcPr>
            <w:tcW w:w="6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室内健身空间的面积不少于地上建筑面积的</w:t>
            </w:r>
            <w:r>
              <w:rPr>
                <w:rFonts w:ascii="Times New Roman" w:hAnsi="Times New Roman" w:cs="Times New Roman"/>
                <w:sz w:val="21"/>
                <w:szCs w:val="21"/>
              </w:rPr>
              <w:t>0.3%</w:t>
            </w:r>
            <w:r>
              <w:rPr>
                <w:rFonts w:hint="eastAsia"/>
                <w:sz w:val="21"/>
                <w:szCs w:val="21"/>
              </w:rPr>
              <w:t>且不少于</w:t>
            </w:r>
            <w:r>
              <w:rPr>
                <w:rFonts w:ascii="Times New Roman" w:hAnsi="Times New Roman" w:cs="Times New Roman"/>
                <w:sz w:val="21"/>
                <w:szCs w:val="21"/>
              </w:rPr>
              <w:t>60m</w:t>
            </w:r>
            <w:r>
              <w:rPr>
                <w:rFonts w:ascii="Times New Roman" w:hAnsi="Times New Roman" w:cs="Times New Roman"/>
                <w:sz w:val="14"/>
                <w:szCs w:val="14"/>
                <w:vertAlign w:val="superscript"/>
              </w:rPr>
              <w:t>2</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4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0 </w:t>
            </w:r>
          </w:p>
        </w:tc>
      </w:tr>
      <w:tr>
        <w:tblPrEx>
          <w:tblCellMar>
            <w:top w:w="0" w:type="dxa"/>
            <w:left w:w="0" w:type="dxa"/>
            <w:bottom w:w="0" w:type="dxa"/>
            <w:right w:w="0" w:type="dxa"/>
          </w:tblCellMar>
        </w:tblPrEx>
        <w:trPr>
          <w:trHeight w:val="719" w:hRule="atLeast"/>
          <w:jc w:val="center"/>
        </w:trPr>
        <w:tc>
          <w:tcPr>
            <w:tcW w:w="6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楼梯间具有天然采光和良好的视野，且距离主入口的距离不大于</w:t>
            </w:r>
            <w:r>
              <w:rPr>
                <w:rFonts w:ascii="Times New Roman" w:hAnsi="Times New Roman" w:cs="Times New Roman"/>
                <w:sz w:val="21"/>
                <w:szCs w:val="21"/>
              </w:rPr>
              <w:t>15m</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4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eastAsia="zh-CN"/>
              </w:rPr>
            </w:pPr>
            <w:r>
              <w:rPr>
                <w:rFonts w:hint="eastAsia" w:ascii="Times New Roman" w:hAnsi="Times New Roman" w:eastAsia="宋体" w:cs="Times New Roman"/>
                <w:sz w:val="21"/>
                <w:szCs w:val="21"/>
                <w:lang w:val="en-US" w:eastAsia="zh-CN"/>
              </w:rPr>
              <w:t>0</w:t>
            </w:r>
          </w:p>
        </w:tc>
      </w:tr>
      <w:tr>
        <w:tblPrEx>
          <w:tblCellMar>
            <w:top w:w="0" w:type="dxa"/>
            <w:left w:w="0" w:type="dxa"/>
            <w:bottom w:w="0" w:type="dxa"/>
            <w:right w:w="0" w:type="dxa"/>
          </w:tblCellMar>
        </w:tblPrEx>
        <w:trPr>
          <w:jc w:val="center"/>
        </w:trPr>
        <w:tc>
          <w:tcPr>
            <w:tcW w:w="5566"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3</w:t>
            </w:r>
          </w:p>
        </w:tc>
      </w:tr>
      <w:tr>
        <w:tblPrEx>
          <w:tblCellMar>
            <w:top w:w="0" w:type="dxa"/>
            <w:left w:w="0" w:type="dxa"/>
            <w:bottom w:w="0" w:type="dxa"/>
            <w:right w:w="0" w:type="dxa"/>
          </w:tblCellMar>
        </w:tblPrEx>
        <w:trPr>
          <w:jc w:val="center"/>
        </w:trPr>
        <w:tc>
          <w:tcPr>
            <w:tcW w:w="821" w:type="dxa"/>
            <w:tcBorders>
              <w:top w:val="nil"/>
              <w:left w:val="nil"/>
              <w:bottom w:val="nil"/>
              <w:right w:val="nil"/>
            </w:tcBorders>
            <w:noWrap w:val="0"/>
            <w:vAlign w:val="center"/>
          </w:tcPr>
          <w:p>
            <w:pPr>
              <w:rPr>
                <w:sz w:val="1"/>
              </w:rPr>
            </w:pPr>
          </w:p>
        </w:tc>
        <w:tc>
          <w:tcPr>
            <w:tcW w:w="4961"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19"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是否设置健身场地和空间：</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否。若是，设置类别为：</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室外健身场地，其规模为：</w:t>
      </w:r>
      <w:r>
        <w:rPr>
          <w:rFonts w:hint="eastAsia"/>
          <w:sz w:val="21"/>
          <w:szCs w:val="21"/>
          <w:u w:val="single"/>
        </w:rPr>
        <w:t xml:space="preserve">      </w:t>
      </w:r>
      <w:r>
        <w:rPr>
          <w:rFonts w:hint="eastAsia"/>
          <w:sz w:val="21"/>
          <w:szCs w:val="21"/>
        </w:rPr>
        <w:t>m</w:t>
      </w:r>
      <w:r>
        <w:rPr>
          <w:rFonts w:hint="eastAsia"/>
          <w:sz w:val="14"/>
          <w:szCs w:val="14"/>
          <w:vertAlign w:val="superscript"/>
        </w:rPr>
        <w:t>2</w:t>
      </w:r>
      <w:r>
        <w:rPr>
          <w:rFonts w:hint="eastAsia"/>
          <w:sz w:val="21"/>
          <w:szCs w:val="21"/>
        </w:rPr>
        <w:t>，占总用地面积的比例为：</w:t>
      </w:r>
      <w:r>
        <w:rPr>
          <w:rFonts w:hint="eastAsia"/>
          <w:sz w:val="21"/>
          <w:szCs w:val="21"/>
          <w:u w:val="single"/>
        </w:rPr>
        <w:t xml:space="preserve">      </w:t>
      </w:r>
      <w:r>
        <w:rPr>
          <w:rFonts w:hint="eastAsia"/>
          <w:sz w:val="21"/>
          <w:szCs w:val="21"/>
        </w:rPr>
        <w:t>%</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室内健身场地，其规模为：</w:t>
      </w:r>
      <w:r>
        <w:rPr>
          <w:rFonts w:hint="eastAsia"/>
          <w:sz w:val="21"/>
          <w:szCs w:val="21"/>
          <w:u w:val="single"/>
        </w:rPr>
        <w:t xml:space="preserve">      </w:t>
      </w:r>
      <w:r>
        <w:rPr>
          <w:rFonts w:hint="eastAsia"/>
          <w:sz w:val="21"/>
          <w:szCs w:val="21"/>
        </w:rPr>
        <w:t>m</w:t>
      </w:r>
      <w:r>
        <w:rPr>
          <w:rFonts w:hint="eastAsia"/>
          <w:sz w:val="14"/>
          <w:szCs w:val="14"/>
          <w:vertAlign w:val="superscript"/>
        </w:rPr>
        <w:t>2</w:t>
      </w:r>
      <w:r>
        <w:rPr>
          <w:rFonts w:hint="eastAsia"/>
          <w:sz w:val="21"/>
          <w:szCs w:val="21"/>
        </w:rPr>
        <w:t>，占地上建筑面积的比例为：</w:t>
      </w:r>
      <w:r>
        <w:rPr>
          <w:rFonts w:hint="eastAsia"/>
          <w:sz w:val="21"/>
          <w:szCs w:val="21"/>
          <w:u w:val="single"/>
        </w:rPr>
        <w:t xml:space="preserve">        </w:t>
      </w:r>
      <w:r>
        <w:rPr>
          <w:rFonts w:hint="eastAsia"/>
          <w:sz w:val="21"/>
          <w:szCs w:val="21"/>
        </w:rPr>
        <w:t>%</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专用健身慢行道，其设置规模为：长</w:t>
      </w:r>
      <w:r>
        <w:rPr>
          <w:rFonts w:hint="eastAsia"/>
          <w:sz w:val="21"/>
          <w:szCs w:val="21"/>
          <w:u w:val="single"/>
        </w:rPr>
        <w:t xml:space="preserve">      </w:t>
      </w:r>
      <w:r>
        <w:rPr>
          <w:rFonts w:hint="eastAsia"/>
          <w:sz w:val="21"/>
          <w:szCs w:val="21"/>
        </w:rPr>
        <w:t>m，占用地红线周长的比例为：</w:t>
      </w:r>
      <w:r>
        <w:rPr>
          <w:rFonts w:hint="eastAsia"/>
          <w:sz w:val="21"/>
          <w:szCs w:val="21"/>
          <w:u w:val="single"/>
        </w:rPr>
        <w:t xml:space="preserve">     </w:t>
      </w:r>
      <w:r>
        <w:rPr>
          <w:rFonts w:hint="eastAsia"/>
          <w:sz w:val="21"/>
          <w:szCs w:val="21"/>
        </w:rPr>
        <w:t>%</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r>
        <w:rPr>
          <w:rFonts w:hint="eastAsia"/>
          <w:sz w:val="21"/>
          <w:szCs w:val="21"/>
        </w:rPr>
        <w:t> </w:t>
      </w:r>
    </w:p>
    <w:p>
      <w:pPr>
        <w:pStyle w:val="11"/>
        <w:spacing w:before="0" w:beforeAutospacing="0" w:after="0" w:afterAutospacing="0"/>
        <w:jc w:val="both"/>
      </w:pPr>
      <w:r>
        <w:rPr>
          <w:rFonts w:hint="eastAsia"/>
          <w:sz w:val="21"/>
          <w:szCs w:val="21"/>
        </w:rPr>
        <w:t>请简要说明场地内健身场地和空间的设置情况及使用效果（位置、类型、功能等）。</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57"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p>
        </w:tc>
      </w:tr>
    </w:tbl>
    <w:p>
      <w:pPr>
        <w:pStyle w:val="11"/>
        <w:spacing w:before="0" w:beforeAutospacing="0" w:after="0" w:afterAutospacing="0"/>
        <w:jc w:val="both"/>
      </w:pPr>
      <w:r>
        <w:rPr>
          <w:rFonts w:hint="eastAsia"/>
          <w:sz w:val="21"/>
          <w:szCs w:val="21"/>
        </w:rPr>
        <w:t>项目是否设有楼梯：</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若是，设置位置为：</w:t>
      </w:r>
      <w:r>
        <w:rPr>
          <w:rFonts w:hint="eastAsia"/>
          <w:sz w:val="21"/>
          <w:szCs w:val="21"/>
          <w:u w:val="single"/>
        </w:rPr>
        <w:t xml:space="preserve">      </w:t>
      </w:r>
      <w:r>
        <w:rPr>
          <w:rFonts w:hint="eastAsia"/>
          <w:sz w:val="21"/>
          <w:szCs w:val="21"/>
        </w:rPr>
        <w:t>，是否靠近主出入口：</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 xml:space="preserve"> 否，距离主出入口的距离为： </w:t>
      </w:r>
      <w:r>
        <w:rPr>
          <w:rFonts w:hint="eastAsia"/>
          <w:sz w:val="21"/>
          <w:szCs w:val="21"/>
          <w:u w:val="single"/>
        </w:rPr>
        <w:t xml:space="preserve">100m  </w:t>
      </w:r>
      <w:r>
        <w:rPr>
          <w:rFonts w:ascii="Calibri" w:hAnsi="Calibri"/>
          <w:sz w:val="21"/>
          <w:szCs w:val="21"/>
          <w:u w:val="single"/>
        </w:rPr>
        <w:t> </w:t>
      </w:r>
    </w:p>
    <w:p>
      <w:pPr>
        <w:pStyle w:val="11"/>
        <w:spacing w:before="0" w:beforeAutospacing="0" w:after="0" w:afterAutospacing="0"/>
        <w:jc w:val="both"/>
      </w:pPr>
      <w:r>
        <w:rPr>
          <w:rFonts w:hint="eastAsia"/>
          <w:sz w:val="21"/>
          <w:szCs w:val="21"/>
        </w:rPr>
        <w:t>是否具备：</w:t>
      </w:r>
      <w:r>
        <w:rPr>
          <w:rStyle w:val="25"/>
          <w:rFonts w:hint="eastAsia" w:ascii="MS Mincho" w:hAnsi="MS Mincho" w:eastAsia="MS Mincho" w:cs="MS Mincho"/>
          <w:sz w:val="28"/>
          <w:szCs w:val="28"/>
        </w:rPr>
        <w:t>☐</w:t>
      </w:r>
      <w:r>
        <w:rPr>
          <w:rFonts w:hint="eastAsia"/>
          <w:sz w:val="21"/>
          <w:szCs w:val="21"/>
        </w:rPr>
        <w:t xml:space="preserve">自然光充足 </w:t>
      </w:r>
      <w:r>
        <w:rPr>
          <w:rStyle w:val="25"/>
          <w:rFonts w:hint="eastAsia" w:ascii="MS Mincho" w:hAnsi="MS Mincho" w:eastAsia="MS Mincho" w:cs="MS Mincho"/>
          <w:sz w:val="28"/>
          <w:szCs w:val="28"/>
        </w:rPr>
        <w:t>☐</w:t>
      </w:r>
      <w:r>
        <w:rPr>
          <w:rFonts w:hint="eastAsia"/>
          <w:sz w:val="21"/>
          <w:szCs w:val="21"/>
        </w:rPr>
        <w:t xml:space="preserve">良好的视野 </w:t>
      </w:r>
      <w:r>
        <w:rPr>
          <w:rStyle w:val="25"/>
          <w:rFonts w:hint="eastAsia" w:ascii="MS Mincho" w:hAnsi="MS Mincho" w:eastAsia="MS Mincho" w:cs="MS Mincho"/>
          <w:sz w:val="28"/>
          <w:szCs w:val="28"/>
        </w:rPr>
        <w:t>☐</w:t>
      </w:r>
      <w:r>
        <w:rPr>
          <w:rFonts w:hint="eastAsia"/>
          <w:sz w:val="21"/>
          <w:szCs w:val="21"/>
        </w:rPr>
        <w:t>人体感应灯</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）景观专业竣工图纸及设计说明，应标明室外健身场地和设施布局和健身慢行道线路；</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）装修竣工图纸及设计说明，应标明室内健身场地和设施布局；</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）建筑专业竣工图纸及设计说明，应体现楼梯间的设置位置及照明系统设计内容；</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）健身设施的相关产品说明书。</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电气专业图纸及设计说明：3建筑设计/ 电气专业图纸及设计说明/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健身设施的相关产品说明书：3建筑设计/ 健身设施相关产品说明书.docx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6.2.6 设置分类、分级用能自动远传计量系统，且设置能源管理系统实现对建筑能耗的监测、数据分析和管理。（8分）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29" w:type="dxa"/>
        <w:jc w:val="center"/>
        <w:tblLayout w:type="autofit"/>
        <w:tblCellMar>
          <w:top w:w="0" w:type="dxa"/>
          <w:left w:w="0" w:type="dxa"/>
          <w:bottom w:w="0" w:type="dxa"/>
          <w:right w:w="0" w:type="dxa"/>
        </w:tblCellMar>
      </w:tblPr>
      <w:tblGrid>
        <w:gridCol w:w="828"/>
        <w:gridCol w:w="4969"/>
        <w:gridCol w:w="1704"/>
        <w:gridCol w:w="1628"/>
      </w:tblGrid>
      <w:tr>
        <w:tblPrEx>
          <w:tblCellMar>
            <w:top w:w="0" w:type="dxa"/>
            <w:left w:w="0" w:type="dxa"/>
            <w:bottom w:w="0" w:type="dxa"/>
            <w:right w:w="0" w:type="dxa"/>
          </w:tblCellMar>
        </w:tblPrEx>
        <w:trPr>
          <w:trHeight w:val="284" w:hRule="atLeast"/>
          <w:jc w:val="center"/>
        </w:trPr>
        <w:tc>
          <w:tcPr>
            <w:tcW w:w="61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4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84" w:hRule="atLeast"/>
          <w:jc w:val="center"/>
        </w:trPr>
        <w:tc>
          <w:tcPr>
            <w:tcW w:w="61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设置分类、分级用能自动远传计量系统，且设置能源管理系统实现对建筑能耗的监测、数据分析和管理</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14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8</w:t>
            </w:r>
          </w:p>
        </w:tc>
      </w:tr>
      <w:tr>
        <w:tblPrEx>
          <w:tblCellMar>
            <w:top w:w="0" w:type="dxa"/>
            <w:left w:w="0" w:type="dxa"/>
            <w:bottom w:w="0" w:type="dxa"/>
            <w:right w:w="0" w:type="dxa"/>
          </w:tblCellMar>
        </w:tblPrEx>
        <w:trPr>
          <w:trHeight w:val="284" w:hRule="atLeast"/>
          <w:jc w:val="center"/>
        </w:trPr>
        <w:tc>
          <w:tcPr>
            <w:tcW w:w="5572"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14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8</w:t>
            </w:r>
          </w:p>
        </w:tc>
      </w:tr>
      <w:tr>
        <w:tblPrEx>
          <w:tblCellMar>
            <w:top w:w="0" w:type="dxa"/>
            <w:left w:w="0" w:type="dxa"/>
            <w:bottom w:w="0" w:type="dxa"/>
            <w:right w:w="0" w:type="dxa"/>
          </w:tblCellMar>
        </w:tblPrEx>
        <w:trPr>
          <w:jc w:val="center"/>
        </w:trPr>
        <w:tc>
          <w:tcPr>
            <w:tcW w:w="827" w:type="dxa"/>
            <w:tcBorders>
              <w:top w:val="nil"/>
              <w:left w:val="nil"/>
              <w:bottom w:val="nil"/>
              <w:right w:val="nil"/>
            </w:tcBorders>
            <w:noWrap w:val="0"/>
            <w:vAlign w:val="center"/>
          </w:tcPr>
          <w:p>
            <w:pPr>
              <w:rPr>
                <w:sz w:val="1"/>
              </w:rPr>
            </w:pPr>
          </w:p>
        </w:tc>
        <w:tc>
          <w:tcPr>
            <w:tcW w:w="4961"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25"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以下实行能耗分项计量的部分：</w:t>
      </w:r>
      <w:r>
        <w:rPr>
          <w:rStyle w:val="25"/>
          <w:rFonts w:hint="eastAsia" w:ascii="MS Mincho" w:hAnsi="MS Mincho" w:eastAsia="MS Mincho" w:cs="MS Mincho"/>
          <w:sz w:val="28"/>
          <w:szCs w:val="28"/>
        </w:rPr>
        <w:t>☑</w:t>
      </w:r>
      <w:r>
        <w:rPr>
          <w:rFonts w:hint="eastAsia"/>
          <w:sz w:val="21"/>
          <w:szCs w:val="21"/>
        </w:rPr>
        <w:t xml:space="preserve">空调冷热源 </w:t>
      </w:r>
      <w:r>
        <w:rPr>
          <w:rStyle w:val="25"/>
          <w:rFonts w:hint="eastAsia" w:ascii="MS Mincho" w:hAnsi="MS Mincho" w:eastAsia="MS Mincho" w:cs="MS Mincho"/>
          <w:sz w:val="28"/>
          <w:szCs w:val="28"/>
        </w:rPr>
        <w:t>☑</w:t>
      </w:r>
      <w:r>
        <w:rPr>
          <w:rFonts w:hint="eastAsia"/>
          <w:sz w:val="21"/>
          <w:szCs w:val="21"/>
        </w:rPr>
        <w:t xml:space="preserve">输配系统 </w:t>
      </w:r>
      <w:r>
        <w:rPr>
          <w:rStyle w:val="25"/>
          <w:rFonts w:hint="eastAsia" w:ascii="MS Mincho" w:hAnsi="MS Mincho" w:eastAsia="MS Mincho" w:cs="MS Mincho"/>
          <w:sz w:val="28"/>
          <w:szCs w:val="28"/>
        </w:rPr>
        <w:t>☑</w:t>
      </w:r>
      <w:r>
        <w:rPr>
          <w:rFonts w:hint="eastAsia"/>
          <w:sz w:val="21"/>
          <w:szCs w:val="21"/>
        </w:rPr>
        <w:t xml:space="preserve">照明插座 </w:t>
      </w:r>
      <w:r>
        <w:rPr>
          <w:rStyle w:val="25"/>
          <w:rFonts w:hint="eastAsia" w:ascii="MS Mincho" w:hAnsi="MS Mincho" w:eastAsia="MS Mincho" w:cs="MS Mincho"/>
          <w:sz w:val="28"/>
          <w:szCs w:val="28"/>
        </w:rPr>
        <w:t>☑</w:t>
      </w:r>
      <w:r>
        <w:rPr>
          <w:rFonts w:hint="eastAsia"/>
          <w:sz w:val="21"/>
          <w:szCs w:val="21"/>
        </w:rPr>
        <w:t xml:space="preserve">动力 </w:t>
      </w:r>
      <w:r>
        <w:rPr>
          <w:rStyle w:val="25"/>
          <w:rFonts w:hint="eastAsia" w:ascii="MS Mincho" w:hAnsi="MS Mincho" w:eastAsia="MS Mincho" w:cs="MS Mincho"/>
          <w:sz w:val="28"/>
          <w:szCs w:val="28"/>
        </w:rPr>
        <w:t>☐</w:t>
      </w:r>
      <w:r>
        <w:rPr>
          <w:rFonts w:hint="eastAsia"/>
          <w:sz w:val="21"/>
          <w:szCs w:val="21"/>
        </w:rPr>
        <w:t xml:space="preserve">特殊用电 </w:t>
      </w:r>
      <w:r>
        <w:rPr>
          <w:rStyle w:val="25"/>
          <w:rFonts w:hint="eastAsia" w:ascii="MS Mincho" w:hAnsi="MS Mincho" w:eastAsia="MS Mincho" w:cs="MS Mincho"/>
          <w:sz w:val="28"/>
          <w:szCs w:val="28"/>
        </w:rPr>
        <w:t>☐</w:t>
      </w:r>
      <w:r>
        <w:rPr>
          <w:rFonts w:hint="eastAsia"/>
          <w:sz w:val="21"/>
          <w:szCs w:val="21"/>
        </w:rPr>
        <w:t>其他</w:t>
      </w:r>
    </w:p>
    <w:p>
      <w:pPr>
        <w:pStyle w:val="11"/>
        <w:spacing w:before="0" w:beforeAutospacing="0" w:after="0" w:afterAutospacing="0"/>
        <w:jc w:val="both"/>
      </w:pPr>
      <w:r>
        <w:rPr>
          <w:rFonts w:hint="eastAsia"/>
          <w:sz w:val="21"/>
          <w:szCs w:val="21"/>
        </w:rPr>
        <w:t>能源管理系统是否具备建筑能耗进行监测、数据分析及管理功能：</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请简要说明自动远传计量系统以及能源管理系统的设置、使用情况。</w:t>
      </w:r>
    </w:p>
    <w:tbl>
      <w:tblPr>
        <w:tblStyle w:val="13"/>
        <w:tblW w:w="0" w:type="auto"/>
        <w:jc w:val="center"/>
        <w:tblLayout w:type="autofit"/>
        <w:tblCellMar>
          <w:top w:w="0" w:type="dxa"/>
          <w:left w:w="0" w:type="dxa"/>
          <w:bottom w:w="0" w:type="dxa"/>
          <w:right w:w="0" w:type="dxa"/>
        </w:tblCellMar>
      </w:tblPr>
      <w:tblGrid>
        <w:gridCol w:w="8508"/>
      </w:tblGrid>
      <w:tr>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供暖冷热源由热泵机组提供，供暖制冷能耗以电量表计量。</w:t>
            </w:r>
          </w:p>
          <w:p>
            <w:pPr>
              <w:pStyle w:val="11"/>
              <w:spacing w:before="0" w:beforeAutospacing="0" w:after="0" w:afterAutospacing="0"/>
              <w:ind w:firstLine="400"/>
            </w:pPr>
            <w:r>
              <w:rPr>
                <w:rFonts w:hint="eastAsia"/>
                <w:sz w:val="20"/>
                <w:szCs w:val="20"/>
              </w:rPr>
              <w:t>本项目实时监测计量各部能耗。智能仪表按不同功能用电分开计量，主要有空调冷热源、照明插座、动力、特殊用电分开计量。且本项目能耗数据上传到内蒙古自治区能耗监测系统。</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）电气专业竣工图纸及设计说明，应包括用能系统、自动远传计量系统、能源管理系统、系统配置的设计内容；</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）能源系统原理图，应体现数据的传输、存储、分析功能；</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）相关产品型式检验报告；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）能源管理系统使用和维护的管理制度、历史检测数据、运行记录。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电气专业图纸及设计说明：8电气设计/ 电气设计说明.docx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6.2.7 设置PM10、PM2.5、CO2浓度的空气质量监测系统，且具有存储至少一年的监测数据和实时显示等功能。（5分）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49" w:type="dxa"/>
        <w:jc w:val="center"/>
        <w:tblLayout w:type="autofit"/>
        <w:tblCellMar>
          <w:top w:w="0" w:type="dxa"/>
          <w:left w:w="0" w:type="dxa"/>
          <w:bottom w:w="0" w:type="dxa"/>
          <w:right w:w="0" w:type="dxa"/>
        </w:tblCellMar>
      </w:tblPr>
      <w:tblGrid>
        <w:gridCol w:w="663"/>
        <w:gridCol w:w="6296"/>
        <w:gridCol w:w="1127"/>
        <w:gridCol w:w="1163"/>
      </w:tblGrid>
      <w:tr>
        <w:tblPrEx>
          <w:tblCellMar>
            <w:top w:w="0" w:type="dxa"/>
            <w:left w:w="0" w:type="dxa"/>
            <w:bottom w:w="0" w:type="dxa"/>
            <w:right w:w="0" w:type="dxa"/>
          </w:tblCellMar>
        </w:tblPrEx>
        <w:trPr>
          <w:trHeight w:val="284"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56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84"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56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设置</w:t>
            </w:r>
            <w:r>
              <w:rPr>
                <w:rFonts w:ascii="Times New Roman" w:hAnsi="Times New Roman" w:cs="Times New Roman"/>
                <w:sz w:val="21"/>
                <w:szCs w:val="21"/>
              </w:rPr>
              <w:t>PM10</w:t>
            </w:r>
            <w:r>
              <w:rPr>
                <w:rFonts w:hint="eastAsia"/>
                <w:sz w:val="21"/>
                <w:szCs w:val="21"/>
              </w:rPr>
              <w:t>、</w:t>
            </w:r>
            <w:r>
              <w:rPr>
                <w:rFonts w:ascii="Times New Roman" w:hAnsi="Times New Roman" w:cs="Times New Roman"/>
                <w:sz w:val="21"/>
                <w:szCs w:val="21"/>
              </w:rPr>
              <w:t>PM2.5</w:t>
            </w:r>
            <w:r>
              <w:rPr>
                <w:rFonts w:hint="eastAsia"/>
                <w:sz w:val="21"/>
                <w:szCs w:val="21"/>
              </w:rPr>
              <w:t>、</w:t>
            </w:r>
            <w:r>
              <w:rPr>
                <w:rFonts w:ascii="Times New Roman" w:hAnsi="Times New Roman" w:cs="Times New Roman"/>
                <w:sz w:val="21"/>
                <w:szCs w:val="21"/>
              </w:rPr>
              <w:t>CO</w:t>
            </w:r>
            <w:r>
              <w:rPr>
                <w:rFonts w:ascii="Times New Roman" w:hAnsi="Times New Roman" w:cs="Times New Roman"/>
                <w:sz w:val="14"/>
                <w:szCs w:val="14"/>
                <w:vertAlign w:val="subscript"/>
              </w:rPr>
              <w:t>2</w:t>
            </w:r>
            <w:r>
              <w:rPr>
                <w:rFonts w:hint="eastAsia"/>
                <w:sz w:val="21"/>
                <w:szCs w:val="21"/>
              </w:rPr>
              <w:t>浓度的空气质量监测系统，且具有存储至少一年的监测数据和实时显示等功能</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trHeight w:val="284"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569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设置的室内空气质量监控系统：</w:t>
      </w:r>
      <w:r>
        <w:rPr>
          <w:rStyle w:val="25"/>
          <w:rFonts w:hint="eastAsia" w:ascii="MS Mincho" w:hAnsi="MS Mincho" w:eastAsia="MS Mincho" w:cs="MS Mincho"/>
          <w:sz w:val="28"/>
          <w:szCs w:val="28"/>
        </w:rPr>
        <w:t>☑</w:t>
      </w:r>
      <w:r>
        <w:rPr>
          <w:rFonts w:hint="eastAsia"/>
          <w:sz w:val="21"/>
          <w:szCs w:val="21"/>
        </w:rPr>
        <w:t xml:space="preserve"> </w:t>
      </w:r>
      <w:r>
        <w:rPr>
          <w:rFonts w:ascii="Calibri" w:hAnsi="Calibri"/>
          <w:sz w:val="21"/>
          <w:szCs w:val="21"/>
        </w:rPr>
        <w:t xml:space="preserve">PM10 </w:t>
      </w:r>
      <w:r>
        <w:rPr>
          <w:rStyle w:val="25"/>
          <w:rFonts w:hint="eastAsia" w:ascii="MS Mincho" w:hAnsi="MS Mincho" w:eastAsia="MS Mincho" w:cs="MS Mincho"/>
          <w:sz w:val="28"/>
          <w:szCs w:val="28"/>
        </w:rPr>
        <w:t>☑</w:t>
      </w:r>
      <w:r>
        <w:rPr>
          <w:rFonts w:hint="eastAsia"/>
          <w:sz w:val="21"/>
          <w:szCs w:val="21"/>
        </w:rPr>
        <w:t xml:space="preserve"> </w:t>
      </w:r>
      <w:r>
        <w:rPr>
          <w:rFonts w:ascii="Calibri" w:hAnsi="Calibri"/>
          <w:sz w:val="21"/>
          <w:szCs w:val="21"/>
        </w:rPr>
        <w:t xml:space="preserve">PM2.5 </w:t>
      </w:r>
      <w:r>
        <w:rPr>
          <w:rStyle w:val="25"/>
          <w:rFonts w:hint="eastAsia" w:ascii="MS Mincho" w:hAnsi="MS Mincho" w:eastAsia="MS Mincho" w:cs="MS Mincho"/>
          <w:sz w:val="28"/>
          <w:szCs w:val="28"/>
        </w:rPr>
        <w:t>☑</w:t>
      </w:r>
      <w:r>
        <w:rPr>
          <w:rFonts w:hint="eastAsia"/>
          <w:sz w:val="21"/>
          <w:szCs w:val="21"/>
        </w:rPr>
        <w:t xml:space="preserve"> </w:t>
      </w:r>
      <w:r>
        <w:rPr>
          <w:rFonts w:ascii="Calibri" w:hAnsi="Calibri"/>
          <w:sz w:val="21"/>
          <w:szCs w:val="21"/>
        </w:rPr>
        <w:t>CO</w:t>
      </w:r>
      <w:r>
        <w:rPr>
          <w:rFonts w:ascii="Calibri" w:hAnsi="Calibri"/>
          <w:sz w:val="14"/>
          <w:szCs w:val="14"/>
          <w:vertAlign w:val="subscript"/>
        </w:rPr>
        <w:t>2</w:t>
      </w:r>
      <w:r>
        <w:rPr>
          <w:rFonts w:ascii="Calibri" w:hAnsi="Calibri"/>
          <w:sz w:val="21"/>
          <w:szCs w:val="21"/>
        </w:rPr>
        <w:t xml:space="preserve"> </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p>
    <w:p>
      <w:pPr>
        <w:pStyle w:val="11"/>
        <w:spacing w:before="0" w:beforeAutospacing="0" w:after="0" w:afterAutospacing="0"/>
        <w:jc w:val="both"/>
      </w:pPr>
      <w:r>
        <w:rPr>
          <w:rFonts w:hint="eastAsia"/>
          <w:sz w:val="21"/>
          <w:szCs w:val="21"/>
        </w:rPr>
        <w:t>监控系统能够实现：</w:t>
      </w:r>
      <w:r>
        <w:rPr>
          <w:rStyle w:val="25"/>
          <w:rFonts w:hint="eastAsia" w:ascii="MS Mincho" w:hAnsi="MS Mincho" w:eastAsia="MS Mincho" w:cs="MS Mincho"/>
          <w:sz w:val="28"/>
          <w:szCs w:val="28"/>
        </w:rPr>
        <w:t>☑</w:t>
      </w:r>
      <w:r>
        <w:rPr>
          <w:rFonts w:hint="eastAsia"/>
          <w:sz w:val="21"/>
          <w:szCs w:val="21"/>
        </w:rPr>
        <w:t xml:space="preserve">连续测量 </w:t>
      </w:r>
      <w:r>
        <w:rPr>
          <w:rStyle w:val="25"/>
          <w:rFonts w:hint="eastAsia" w:ascii="MS Mincho" w:hAnsi="MS Mincho" w:eastAsia="MS Mincho" w:cs="MS Mincho"/>
          <w:sz w:val="28"/>
          <w:szCs w:val="28"/>
        </w:rPr>
        <w:t>☑</w:t>
      </w:r>
      <w:r>
        <w:rPr>
          <w:rFonts w:hint="eastAsia"/>
          <w:sz w:val="21"/>
          <w:szCs w:val="21"/>
        </w:rPr>
        <w:t xml:space="preserve">显示 </w:t>
      </w:r>
      <w:r>
        <w:rPr>
          <w:rStyle w:val="25"/>
          <w:rFonts w:hint="eastAsia" w:ascii="MS Mincho" w:hAnsi="MS Mincho" w:eastAsia="MS Mincho" w:cs="MS Mincho"/>
          <w:sz w:val="28"/>
          <w:szCs w:val="28"/>
        </w:rPr>
        <w:t>☑</w:t>
      </w:r>
      <w:r>
        <w:rPr>
          <w:rFonts w:hint="eastAsia"/>
          <w:sz w:val="21"/>
          <w:szCs w:val="21"/>
        </w:rPr>
        <w:t xml:space="preserve">记录 </w:t>
      </w:r>
      <w:r>
        <w:rPr>
          <w:rStyle w:val="25"/>
          <w:rFonts w:hint="eastAsia" w:ascii="MS Mincho" w:hAnsi="MS Mincho" w:eastAsia="MS Mincho" w:cs="MS Mincho"/>
          <w:sz w:val="28"/>
          <w:szCs w:val="28"/>
        </w:rPr>
        <w:t>☑</w:t>
      </w:r>
      <w:r>
        <w:rPr>
          <w:rFonts w:hint="eastAsia"/>
          <w:sz w:val="21"/>
          <w:szCs w:val="21"/>
        </w:rPr>
        <w:t xml:space="preserve">数据传输 </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p>
    <w:p>
      <w:pPr>
        <w:pStyle w:val="11"/>
        <w:spacing w:before="0" w:beforeAutospacing="0" w:after="0" w:afterAutospacing="0"/>
        <w:jc w:val="both"/>
      </w:pPr>
      <w:r>
        <w:rPr>
          <w:rFonts w:hint="eastAsia"/>
          <w:sz w:val="21"/>
          <w:szCs w:val="21"/>
        </w:rPr>
        <w:t>监控系统对污染物浓度的读数时间间隔为：</w:t>
      </w:r>
      <w:r>
        <w:rPr>
          <w:rFonts w:hint="eastAsia"/>
          <w:sz w:val="21"/>
          <w:szCs w:val="21"/>
          <w:u w:val="single"/>
        </w:rPr>
        <w:t> 2h</w:t>
      </w:r>
    </w:p>
    <w:p>
      <w:pPr>
        <w:pStyle w:val="11"/>
        <w:spacing w:before="0" w:beforeAutospacing="0" w:after="0" w:afterAutospacing="0"/>
        <w:jc w:val="both"/>
      </w:pPr>
      <w:r>
        <w:rPr>
          <w:rFonts w:hint="eastAsia"/>
          <w:sz w:val="21"/>
          <w:szCs w:val="21"/>
        </w:rPr>
        <w:t>请简要说明室内空气质量监控系统设置情况及控制策略。</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室内新风除霾空调一体机上有空气参数显示面板，当空气参数超标时进行预警，并联动新风机进行空气处理。</w:t>
            </w:r>
          </w:p>
          <w:p>
            <w:pPr>
              <w:pStyle w:val="11"/>
              <w:spacing w:before="0" w:beforeAutospacing="0" w:after="0" w:afterAutospacing="0"/>
              <w:ind w:firstLine="400"/>
            </w:pPr>
            <w:r>
              <w:rPr>
                <w:rFonts w:hint="eastAsia"/>
                <w:sz w:val="20"/>
                <w:szCs w:val="20"/>
              </w:rPr>
              <w:t>采用窗式新风机，可实时监控室内污染物浓度，如甲醛，二氧化碳，</w:t>
            </w:r>
            <w:r>
              <w:rPr>
                <w:rFonts w:ascii="Times New Roman" w:hAnsi="Times New Roman" w:cs="Times New Roman"/>
                <w:sz w:val="20"/>
                <w:szCs w:val="20"/>
              </w:rPr>
              <w:t>PM2.5</w:t>
            </w:r>
            <w:r>
              <w:rPr>
                <w:rFonts w:hint="eastAsia"/>
                <w:sz w:val="20"/>
                <w:szCs w:val="20"/>
              </w:rPr>
              <w:t>，实现污染物超标联动新风，报警。</w:t>
            </w:r>
          </w:p>
          <w:p>
            <w:pPr>
              <w:pStyle w:val="11"/>
              <w:spacing w:before="0" w:beforeAutospacing="0" w:after="0" w:afterAutospacing="0"/>
              <w:ind w:firstLine="400"/>
            </w:pPr>
            <w:r>
              <w:rPr>
                <w:rFonts w:hint="eastAsia"/>
                <w:sz w:val="20"/>
                <w:szCs w:val="20"/>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）电气专业竣工图及设计说明，应包括监测系统的系统设置及说明、监测点位图、系统功能说明；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）相关产品型式检验报告；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）能源管理系统使用和维护的管理制度、历史检测数据、运行记录。</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电气专业图纸及设计说明：8电气设计/ 电气设计说明.docx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6.2.8设置用水远传计量系统、水质在线监测系统。（7分）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94" w:type="dxa"/>
        <w:jc w:val="center"/>
        <w:tblLayout w:type="autofit"/>
        <w:tblCellMar>
          <w:top w:w="0" w:type="dxa"/>
          <w:left w:w="0" w:type="dxa"/>
          <w:bottom w:w="0" w:type="dxa"/>
          <w:right w:w="0" w:type="dxa"/>
        </w:tblCellMar>
      </w:tblPr>
      <w:tblGrid>
        <w:gridCol w:w="647"/>
        <w:gridCol w:w="5347"/>
        <w:gridCol w:w="1753"/>
        <w:gridCol w:w="1447"/>
      </w:tblGrid>
      <w:tr>
        <w:tblPrEx>
          <w:tblCellMar>
            <w:top w:w="0" w:type="dxa"/>
            <w:left w:w="0" w:type="dxa"/>
            <w:bottom w:w="0" w:type="dxa"/>
            <w:right w:w="0" w:type="dxa"/>
          </w:tblCellMar>
        </w:tblPrEx>
        <w:trPr>
          <w:trHeight w:val="176"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序号</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评价内容</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评价分值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自评得分</w:t>
            </w:r>
          </w:p>
        </w:tc>
      </w:tr>
      <w:tr>
        <w:tblPrEx>
          <w:tblCellMar>
            <w:top w:w="0" w:type="dxa"/>
            <w:left w:w="0" w:type="dxa"/>
            <w:bottom w:w="0" w:type="dxa"/>
            <w:right w:w="0" w:type="dxa"/>
          </w:tblCellMar>
        </w:tblPrEx>
        <w:trPr>
          <w:trHeight w:val="520"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设置用水远传计量系统，能分类、分级记录、统计分析各种用水情况</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eastAsia="zh-CN"/>
              </w:rPr>
            </w:pPr>
            <w:r>
              <w:rPr>
                <w:rFonts w:hint="eastAsia" w:ascii="Times New Roman" w:hAnsi="Times New Roman" w:eastAsia="宋体" w:cs="Times New Roman"/>
                <w:sz w:val="21"/>
                <w:szCs w:val="21"/>
                <w:lang w:val="en-US" w:eastAsia="zh-CN"/>
              </w:rPr>
              <w:t>0</w:t>
            </w:r>
          </w:p>
        </w:tc>
      </w:tr>
      <w:tr>
        <w:tblPrEx>
          <w:tblCellMar>
            <w:top w:w="0" w:type="dxa"/>
            <w:left w:w="0" w:type="dxa"/>
            <w:bottom w:w="0" w:type="dxa"/>
            <w:right w:w="0" w:type="dxa"/>
          </w:tblCellMar>
        </w:tblPrEx>
        <w:trPr>
          <w:trHeight w:val="520"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利用计量数据进行管网漏损自动监测、分析与整改，管道漏损率低于</w:t>
            </w:r>
            <w:r>
              <w:rPr>
                <w:rFonts w:ascii="Times New Roman" w:hAnsi="Times New Roman" w:cs="Times New Roman"/>
                <w:sz w:val="21"/>
                <w:szCs w:val="21"/>
              </w:rPr>
              <w:t>5%</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eastAsia="zh-CN"/>
              </w:rPr>
            </w:pPr>
            <w:r>
              <w:rPr>
                <w:rFonts w:hint="eastAsia" w:ascii="Times New Roman" w:hAnsi="Times New Roman" w:eastAsia="宋体" w:cs="Times New Roman"/>
                <w:sz w:val="21"/>
                <w:szCs w:val="21"/>
                <w:lang w:val="en-US" w:eastAsia="zh-CN"/>
              </w:rPr>
              <w:t>2</w:t>
            </w:r>
          </w:p>
        </w:tc>
      </w:tr>
      <w:tr>
        <w:tblPrEx>
          <w:tblCellMar>
            <w:top w:w="0" w:type="dxa"/>
            <w:left w:w="0" w:type="dxa"/>
            <w:bottom w:w="0" w:type="dxa"/>
            <w:right w:w="0" w:type="dxa"/>
          </w:tblCellMar>
        </w:tblPrEx>
        <w:trPr>
          <w:trHeight w:val="719" w:hRule="atLeast"/>
          <w:jc w:val="center"/>
        </w:trPr>
        <w:tc>
          <w:tcPr>
            <w:tcW w:w="6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设置水质在线监测系统，监测生活饮用水、管道直饮水、游泳池水、非传统水源、空调冷却水的水质指标，记录并保存水质监测结果，且能随时供用户查询</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0</w:t>
            </w:r>
          </w:p>
        </w:tc>
      </w:tr>
      <w:tr>
        <w:tblPrEx>
          <w:tblCellMar>
            <w:top w:w="0" w:type="dxa"/>
            <w:left w:w="0" w:type="dxa"/>
            <w:bottom w:w="0" w:type="dxa"/>
            <w:right w:w="0" w:type="dxa"/>
          </w:tblCellMar>
        </w:tblPrEx>
        <w:trPr>
          <w:jc w:val="center"/>
        </w:trPr>
        <w:tc>
          <w:tcPr>
            <w:tcW w:w="5561"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合计</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是否分用途设置用水计量表：</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是否采用远传计量系统：</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是否能够分类、分级记录、统计分析各种用水情况：</w:t>
      </w:r>
      <w:r>
        <w:rPr>
          <w:rStyle w:val="25"/>
          <w:rFonts w:hint="eastAsia" w:ascii="MS Gothic" w:hAnsi="MS Gothic" w:eastAsia="MS Gothic"/>
          <w:sz w:val="21"/>
          <w:szCs w:val="21"/>
        </w:rPr>
        <w:t>☐</w:t>
      </w:r>
      <w:r>
        <w:rPr>
          <w:rFonts w:hint="eastAsia"/>
          <w:sz w:val="21"/>
          <w:szCs w:val="21"/>
        </w:rPr>
        <w:t xml:space="preserve">是 </w:t>
      </w:r>
      <w:r>
        <w:rPr>
          <w:rStyle w:val="25"/>
          <w:rFonts w:hint="eastAsia" w:ascii="MS Gothic" w:hAnsi="MS Gothic" w:eastAsia="MS Gothic"/>
          <w:sz w:val="21"/>
          <w:szCs w:val="21"/>
        </w:rPr>
        <w:t>☑</w:t>
      </w:r>
      <w:r>
        <w:rPr>
          <w:rFonts w:hint="eastAsia"/>
          <w:sz w:val="21"/>
          <w:szCs w:val="21"/>
        </w:rPr>
        <w:t>否</w:t>
      </w:r>
    </w:p>
    <w:tbl>
      <w:tblPr>
        <w:tblStyle w:val="13"/>
        <w:tblW w:w="0" w:type="auto"/>
        <w:jc w:val="center"/>
        <w:tblLayout w:type="autofit"/>
        <w:tblCellMar>
          <w:top w:w="0" w:type="dxa"/>
          <w:left w:w="0" w:type="dxa"/>
          <w:bottom w:w="0" w:type="dxa"/>
          <w:right w:w="0" w:type="dxa"/>
        </w:tblCellMar>
      </w:tblPr>
      <w:tblGrid>
        <w:gridCol w:w="1492"/>
        <w:gridCol w:w="2997"/>
        <w:gridCol w:w="2909"/>
      </w:tblGrid>
      <w:tr>
        <w:tblPrEx>
          <w:tblCellMar>
            <w:top w:w="0" w:type="dxa"/>
            <w:left w:w="0" w:type="dxa"/>
            <w:bottom w:w="0" w:type="dxa"/>
            <w:right w:w="0" w:type="dxa"/>
          </w:tblCellMar>
        </w:tblPrEx>
        <w:trPr>
          <w:jc w:val="center"/>
        </w:trPr>
        <w:tc>
          <w:tcPr>
            <w:tcW w:w="14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水表编号</w:t>
            </w:r>
          </w:p>
        </w:tc>
        <w:tc>
          <w:tcPr>
            <w:tcW w:w="29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用途</w:t>
            </w:r>
          </w:p>
        </w:tc>
        <w:tc>
          <w:tcPr>
            <w:tcW w:w="29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安装位置</w:t>
            </w:r>
          </w:p>
        </w:tc>
      </w:tr>
      <w:tr>
        <w:tblPrEx>
          <w:tblCellMar>
            <w:top w:w="0" w:type="dxa"/>
            <w:left w:w="0" w:type="dxa"/>
            <w:bottom w:w="0" w:type="dxa"/>
            <w:right w:w="0" w:type="dxa"/>
          </w:tblCellMar>
        </w:tblPrEx>
        <w:trPr>
          <w:jc w:val="center"/>
        </w:trPr>
        <w:tc>
          <w:tcPr>
            <w:tcW w:w="14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4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4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4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290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是否能够实现：</w:t>
      </w:r>
      <w:r>
        <w:rPr>
          <w:rStyle w:val="25"/>
          <w:rFonts w:hint="eastAsia" w:ascii="MS Mincho" w:hAnsi="MS Mincho" w:eastAsia="MS Mincho" w:cs="MS Mincho"/>
          <w:sz w:val="28"/>
          <w:szCs w:val="28"/>
        </w:rPr>
        <w:t>☐</w:t>
      </w:r>
      <w:r>
        <w:rPr>
          <w:rFonts w:hint="eastAsia"/>
          <w:sz w:val="21"/>
          <w:szCs w:val="21"/>
        </w:rPr>
        <w:t>管网漏损自动监测、分析与整改，管道漏损率为</w:t>
      </w:r>
      <w:r>
        <w:rPr>
          <w:rFonts w:hint="eastAsia"/>
          <w:sz w:val="21"/>
          <w:szCs w:val="21"/>
          <w:u w:val="single"/>
        </w:rPr>
        <w:t xml:space="preserve">       </w:t>
      </w:r>
      <w:r>
        <w:rPr>
          <w:rFonts w:ascii="Calibri" w:hAnsi="Calibri"/>
          <w:sz w:val="21"/>
          <w:szCs w:val="21"/>
        </w:rPr>
        <w:t>%</w:t>
      </w:r>
    </w:p>
    <w:p>
      <w:pPr>
        <w:pStyle w:val="11"/>
        <w:spacing w:before="0" w:beforeAutospacing="0" w:after="0" w:afterAutospacing="0"/>
        <w:jc w:val="both"/>
      </w:pPr>
      <w:r>
        <w:rPr>
          <w:rFonts w:hint="eastAsia"/>
          <w:color w:val="FFFFFF"/>
          <w:sz w:val="21"/>
          <w:szCs w:val="21"/>
        </w:rPr>
        <w:t>是否能够实现：</w:t>
      </w:r>
      <w:r>
        <w:rPr>
          <w:rStyle w:val="25"/>
          <w:rFonts w:hint="eastAsia" w:ascii="MS Mincho" w:hAnsi="MS Mincho" w:eastAsia="MS Mincho" w:cs="MS Mincho"/>
          <w:sz w:val="28"/>
          <w:szCs w:val="28"/>
        </w:rPr>
        <w:t>☑</w:t>
      </w:r>
      <w:r>
        <w:rPr>
          <w:rFonts w:hint="eastAsia"/>
          <w:sz w:val="21"/>
          <w:szCs w:val="21"/>
        </w:rPr>
        <w:t>各类用水水质在线监测、记录并能随时查询</w:t>
      </w:r>
    </w:p>
    <w:p>
      <w:pPr>
        <w:pStyle w:val="11"/>
        <w:spacing w:before="0" w:beforeAutospacing="0" w:after="0" w:afterAutospacing="0"/>
        <w:jc w:val="both"/>
      </w:pPr>
      <w:r>
        <w:rPr>
          <w:rFonts w:hint="eastAsia"/>
          <w:sz w:val="21"/>
          <w:szCs w:val="21"/>
        </w:rPr>
        <w:t>请简要说明用水分项计量、管网漏损及水质在线监测系统设置情况及使用效果。</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根据水平衡的要求分级安装计量水表，分级计量水表安装率达</w:t>
            </w:r>
            <w:r>
              <w:rPr>
                <w:rFonts w:ascii="Times New Roman" w:hAnsi="Times New Roman" w:cs="Times New Roman"/>
                <w:sz w:val="20"/>
                <w:szCs w:val="20"/>
              </w:rPr>
              <w:t>100%</w:t>
            </w:r>
            <w:r>
              <w:rPr>
                <w:rFonts w:hint="eastAsia"/>
                <w:sz w:val="20"/>
                <w:szCs w:val="20"/>
              </w:rPr>
              <w:t>，车库冲洗、室外绿化灌溉用水等也均设水表独立计量。</w:t>
            </w:r>
          </w:p>
          <w:p>
            <w:pPr>
              <w:pStyle w:val="11"/>
              <w:spacing w:before="0" w:beforeAutospacing="0" w:after="0" w:afterAutospacing="0"/>
              <w:ind w:firstLine="400"/>
            </w:pPr>
            <w:r>
              <w:rPr>
                <w:rFonts w:hint="eastAsia"/>
                <w:sz w:val="20"/>
                <w:szCs w:val="20"/>
              </w:rPr>
              <w:t>生活及中水给水管采用优质</w:t>
            </w:r>
            <w:r>
              <w:rPr>
                <w:rFonts w:ascii="Times New Roman" w:hAnsi="Times New Roman" w:cs="Times New Roman"/>
                <w:sz w:val="20"/>
                <w:szCs w:val="20"/>
              </w:rPr>
              <w:t>PP-R</w:t>
            </w:r>
            <w:r>
              <w:rPr>
                <w:rFonts w:hint="eastAsia"/>
                <w:sz w:val="20"/>
                <w:szCs w:val="20"/>
              </w:rPr>
              <w:t>管，热水管采用热水型管材，采用热熔连接。室内排水管</w:t>
            </w:r>
            <w:r>
              <w:rPr>
                <w:rFonts w:ascii="Times New Roman" w:hAnsi="Times New Roman" w:cs="Times New Roman"/>
                <w:sz w:val="20"/>
                <w:szCs w:val="20"/>
              </w:rPr>
              <w:t>(</w:t>
            </w:r>
            <w:r>
              <w:rPr>
                <w:rFonts w:hint="eastAsia"/>
                <w:sz w:val="20"/>
                <w:szCs w:val="20"/>
              </w:rPr>
              <w:t>含出户管</w:t>
            </w:r>
            <w:r>
              <w:rPr>
                <w:rFonts w:ascii="Times New Roman" w:hAnsi="Times New Roman" w:cs="Times New Roman"/>
                <w:sz w:val="20"/>
                <w:szCs w:val="20"/>
              </w:rPr>
              <w:t>)</w:t>
            </w:r>
            <w:r>
              <w:rPr>
                <w:rFonts w:hint="eastAsia"/>
                <w:sz w:val="20"/>
                <w:szCs w:val="20"/>
              </w:rPr>
              <w:t>采用</w:t>
            </w:r>
            <w:r>
              <w:rPr>
                <w:rFonts w:ascii="Times New Roman" w:hAnsi="Times New Roman" w:cs="Times New Roman"/>
                <w:sz w:val="20"/>
                <w:szCs w:val="20"/>
              </w:rPr>
              <w:t>UPVC</w:t>
            </w:r>
            <w:r>
              <w:rPr>
                <w:rFonts w:hint="eastAsia"/>
                <w:sz w:val="20"/>
                <w:szCs w:val="20"/>
              </w:rPr>
              <w:t>塑料排水管，承插粘接。室外埋地管采用</w:t>
            </w:r>
            <w:r>
              <w:rPr>
                <w:rFonts w:ascii="Times New Roman" w:hAnsi="Times New Roman" w:cs="Times New Roman"/>
                <w:sz w:val="20"/>
                <w:szCs w:val="20"/>
              </w:rPr>
              <w:t>HDPE</w:t>
            </w:r>
            <w:r>
              <w:rPr>
                <w:rFonts w:hint="eastAsia"/>
                <w:sz w:val="20"/>
                <w:szCs w:val="20"/>
              </w:rPr>
              <w:t>双壁波纹排水管，胶圈承插接口。承压排水管采用给水</w:t>
            </w:r>
            <w:r>
              <w:rPr>
                <w:rFonts w:ascii="Times New Roman" w:hAnsi="Times New Roman" w:cs="Times New Roman"/>
                <w:sz w:val="20"/>
                <w:szCs w:val="20"/>
              </w:rPr>
              <w:t>PE</w:t>
            </w:r>
            <w:r>
              <w:rPr>
                <w:rFonts w:hint="eastAsia"/>
                <w:sz w:val="20"/>
                <w:szCs w:val="20"/>
              </w:rPr>
              <w:t>管，热熔连接。给水管</w:t>
            </w:r>
            <w:r>
              <w:rPr>
                <w:rFonts w:ascii="Times New Roman" w:hAnsi="Times New Roman" w:cs="Times New Roman"/>
                <w:sz w:val="20"/>
                <w:szCs w:val="20"/>
              </w:rPr>
              <w:t>DN&lt;50</w:t>
            </w:r>
            <w:r>
              <w:rPr>
                <w:rFonts w:hint="eastAsia"/>
                <w:sz w:val="20"/>
                <w:szCs w:val="20"/>
              </w:rPr>
              <w:t>采用截止阀，</w:t>
            </w:r>
            <w:r>
              <w:rPr>
                <w:rFonts w:ascii="Times New Roman" w:hAnsi="Times New Roman" w:cs="Times New Roman"/>
                <w:sz w:val="20"/>
                <w:szCs w:val="20"/>
              </w:rPr>
              <w:t>DN&gt;50</w:t>
            </w:r>
            <w:r>
              <w:rPr>
                <w:rFonts w:hint="eastAsia"/>
                <w:sz w:val="20"/>
                <w:szCs w:val="20"/>
              </w:rPr>
              <w:t>采用碟阀或闸阀。消防管阀门采用碟阀或闸阀，且有明显的开启标志。</w:t>
            </w:r>
          </w:p>
          <w:p>
            <w:pPr>
              <w:pStyle w:val="11"/>
              <w:spacing w:before="0" w:beforeAutospacing="0" w:after="0" w:afterAutospacing="0"/>
              <w:ind w:firstLine="400"/>
            </w:pPr>
            <w:r>
              <w:rPr>
                <w:rFonts w:hint="eastAsia"/>
                <w:sz w:val="20"/>
                <w:szCs w:val="20"/>
              </w:rPr>
              <w:t>给水系统无超压现象，用水点供水压力均控制在</w:t>
            </w:r>
            <w:r>
              <w:rPr>
                <w:rFonts w:ascii="Times New Roman" w:hAnsi="Times New Roman" w:cs="Times New Roman"/>
                <w:sz w:val="20"/>
                <w:szCs w:val="20"/>
              </w:rPr>
              <w:t>0.1</w:t>
            </w:r>
            <w:r>
              <w:rPr>
                <w:rFonts w:hint="eastAsia"/>
                <w:sz w:val="20"/>
                <w:szCs w:val="20"/>
              </w:rPr>
              <w:t>～</w:t>
            </w:r>
            <w:r>
              <w:rPr>
                <w:rFonts w:ascii="Times New Roman" w:hAnsi="Times New Roman" w:cs="Times New Roman"/>
                <w:sz w:val="20"/>
                <w:szCs w:val="20"/>
              </w:rPr>
              <w:t>0.20MPa</w:t>
            </w:r>
            <w:r>
              <w:rPr>
                <w:rFonts w:hint="eastAsia"/>
                <w:sz w:val="20"/>
                <w:szCs w:val="20"/>
              </w:rPr>
              <w:t>之间。</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）给排水专业竣工图纸及设计说明，应包括用水量远传计量系统设置及设计、分级水表设置及位置、水质监测系统设置及点位；</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）用水远传计量系统、水质在线监测与发布系统说明；</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）远传水表、水质监测设备的产品型式检验报告；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）用水量远传计量及水质在线监测运行记录文件，应包括管理制度、历史监测数据、运行记录，以及用水量分类、分项计量记录和统计分析报告，管网漏损自动检测分析记录和整改报告。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给排水专业图纸及设计说明：6给排水设计/ 建筑施工图.dwg</w:t>
            </w:r>
          </w:p>
        </w:tc>
      </w:tr>
    </w:tbl>
    <w:p/>
    <w:p>
      <w:pPr>
        <w:rPr>
          <w:rFonts w:ascii="Times New Roman" w:hAnsi="Times New Roman"/>
          <w:b/>
          <w:bCs/>
          <w:szCs w:val="40"/>
        </w:rPr>
      </w:pPr>
      <w:r>
        <w:rPr>
          <w:szCs w:val="40"/>
        </w:rPr>
        <w:br w:type="page"/>
      </w:r>
    </w:p>
    <w:p>
      <w:pPr>
        <w:pStyle w:val="5"/>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6.2.9 具有智能化服务系统。（9分）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067" w:type="dxa"/>
        <w:jc w:val="center"/>
        <w:tblLayout w:type="autofit"/>
        <w:tblCellMar>
          <w:top w:w="0" w:type="dxa"/>
          <w:left w:w="0" w:type="dxa"/>
          <w:bottom w:w="0" w:type="dxa"/>
          <w:right w:w="0" w:type="dxa"/>
        </w:tblCellMar>
      </w:tblPr>
      <w:tblGrid>
        <w:gridCol w:w="797"/>
        <w:gridCol w:w="4969"/>
        <w:gridCol w:w="1704"/>
        <w:gridCol w:w="1597"/>
      </w:tblGrid>
      <w:tr>
        <w:tblPrEx>
          <w:tblCellMar>
            <w:top w:w="0" w:type="dxa"/>
            <w:left w:w="0" w:type="dxa"/>
            <w:bottom w:w="0" w:type="dxa"/>
            <w:right w:w="0" w:type="dxa"/>
          </w:tblCellMar>
        </w:tblPrEx>
        <w:trPr>
          <w:trHeight w:val="176" w:hRule="atLeast"/>
          <w:jc w:val="center"/>
        </w:trPr>
        <w:tc>
          <w:tcPr>
            <w:tcW w:w="5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序号</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评价分值</w:t>
            </w:r>
          </w:p>
        </w:tc>
        <w:tc>
          <w:tcPr>
            <w:tcW w:w="13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自评得分</w:t>
            </w:r>
          </w:p>
        </w:tc>
      </w:tr>
      <w:tr>
        <w:tblPrEx>
          <w:tblCellMar>
            <w:top w:w="0" w:type="dxa"/>
            <w:left w:w="0" w:type="dxa"/>
            <w:bottom w:w="0" w:type="dxa"/>
            <w:right w:w="0" w:type="dxa"/>
          </w:tblCellMar>
        </w:tblPrEx>
        <w:trPr>
          <w:trHeight w:val="520" w:hRule="atLeast"/>
          <w:jc w:val="center"/>
        </w:trPr>
        <w:tc>
          <w:tcPr>
            <w:tcW w:w="5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具有家电控制、照明控制、安全报警、环境监测、建筑设备控制、公共生活服务等</w:t>
            </w:r>
            <w:r>
              <w:rPr>
                <w:rFonts w:ascii="Times New Roman" w:hAnsi="Times New Roman" w:cs="Times New Roman"/>
                <w:sz w:val="21"/>
                <w:szCs w:val="21"/>
              </w:rPr>
              <w:t>3</w:t>
            </w:r>
            <w:r>
              <w:rPr>
                <w:rFonts w:hint="eastAsia"/>
                <w:sz w:val="21"/>
                <w:szCs w:val="21"/>
              </w:rPr>
              <w:t>种及以上的服务功能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trHeight w:val="143" w:hRule="atLeast"/>
          <w:jc w:val="center"/>
        </w:trPr>
        <w:tc>
          <w:tcPr>
            <w:tcW w:w="5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43" w:lineRule="atLeast"/>
              <w:jc w:val="center"/>
            </w:pPr>
            <w:r>
              <w:rPr>
                <w:rFonts w:ascii="Times New Roman" w:hAnsi="Times New Roman" w:cs="Times New Roman"/>
                <w:sz w:val="21"/>
                <w:szCs w:val="21"/>
              </w:rPr>
              <w:t>2</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43" w:lineRule="atLeast"/>
              <w:jc w:val="both"/>
            </w:pPr>
            <w:r>
              <w:rPr>
                <w:rFonts w:hint="eastAsia"/>
                <w:sz w:val="21"/>
                <w:szCs w:val="21"/>
              </w:rPr>
              <w:t>具有远程监控的功能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43" w:lineRule="atLeast"/>
              <w:jc w:val="center"/>
            </w:pPr>
            <w:r>
              <w:rPr>
                <w:rFonts w:ascii="Times New Roman" w:hAnsi="Times New Roman" w:cs="Times New Roman"/>
                <w:sz w:val="21"/>
                <w:szCs w:val="21"/>
              </w:rPr>
              <w:t>3</w:t>
            </w:r>
          </w:p>
        </w:tc>
        <w:tc>
          <w:tcPr>
            <w:tcW w:w="13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143" w:lineRule="atLeast"/>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trHeight w:val="77" w:hRule="atLeast"/>
          <w:jc w:val="center"/>
        </w:trPr>
        <w:tc>
          <w:tcPr>
            <w:tcW w:w="58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7" w:lineRule="atLeast"/>
              <w:jc w:val="center"/>
            </w:pPr>
            <w:r>
              <w:rPr>
                <w:rFonts w:ascii="Times New Roman" w:hAnsi="Times New Roman" w:cs="Times New Roman"/>
                <w:sz w:val="21"/>
                <w:szCs w:val="21"/>
              </w:rPr>
              <w:t>3</w:t>
            </w:r>
          </w:p>
        </w:tc>
        <w:tc>
          <w:tcPr>
            <w:tcW w:w="474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7" w:lineRule="atLeast"/>
              <w:jc w:val="both"/>
            </w:pPr>
            <w:r>
              <w:rPr>
                <w:rFonts w:hint="eastAsia"/>
                <w:sz w:val="21"/>
                <w:szCs w:val="21"/>
              </w:rPr>
              <w:t>具有接入智慧城市（城区、社区）的功能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7" w:lineRule="atLeast"/>
              <w:jc w:val="center"/>
            </w:pPr>
            <w:r>
              <w:rPr>
                <w:rFonts w:ascii="Times New Roman" w:hAnsi="Times New Roman" w:cs="Times New Roman"/>
                <w:sz w:val="21"/>
                <w:szCs w:val="21"/>
              </w:rPr>
              <w:t>3</w:t>
            </w:r>
          </w:p>
        </w:tc>
        <w:tc>
          <w:tcPr>
            <w:tcW w:w="13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77" w:lineRule="atLeast"/>
              <w:jc w:val="center"/>
            </w:pPr>
            <w:r>
              <w:rPr>
                <w:rFonts w:ascii="Times New Roman" w:hAnsi="Times New Roman" w:cs="Times New Roman"/>
                <w:sz w:val="21"/>
                <w:szCs w:val="21"/>
              </w:rPr>
              <w:t> 0</w:t>
            </w:r>
          </w:p>
        </w:tc>
      </w:tr>
      <w:tr>
        <w:tblPrEx>
          <w:tblCellMar>
            <w:top w:w="0" w:type="dxa"/>
            <w:left w:w="0" w:type="dxa"/>
            <w:bottom w:w="0" w:type="dxa"/>
            <w:right w:w="0" w:type="dxa"/>
          </w:tblCellMar>
        </w:tblPrEx>
        <w:trPr>
          <w:jc w:val="center"/>
        </w:trPr>
        <w:tc>
          <w:tcPr>
            <w:tcW w:w="5541"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9</w:t>
            </w:r>
          </w:p>
        </w:tc>
        <w:tc>
          <w:tcPr>
            <w:tcW w:w="13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6</w:t>
            </w:r>
          </w:p>
        </w:tc>
      </w:tr>
      <w:tr>
        <w:tblPrEx>
          <w:tblCellMar>
            <w:top w:w="0" w:type="dxa"/>
            <w:left w:w="0" w:type="dxa"/>
            <w:bottom w:w="0" w:type="dxa"/>
            <w:right w:w="0" w:type="dxa"/>
          </w:tblCellMar>
        </w:tblPrEx>
        <w:trPr>
          <w:jc w:val="center"/>
        </w:trPr>
        <w:tc>
          <w:tcPr>
            <w:tcW w:w="796" w:type="dxa"/>
            <w:tcBorders>
              <w:top w:val="nil"/>
              <w:left w:val="nil"/>
              <w:bottom w:val="nil"/>
              <w:right w:val="nil"/>
            </w:tcBorders>
            <w:noWrap w:val="0"/>
            <w:vAlign w:val="center"/>
          </w:tcPr>
          <w:p>
            <w:pPr>
              <w:rPr>
                <w:sz w:val="1"/>
              </w:rPr>
            </w:pPr>
          </w:p>
        </w:tc>
        <w:tc>
          <w:tcPr>
            <w:tcW w:w="4961"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594"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是否采用智能化服务系统：</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bl>
      <w:tblPr>
        <w:tblStyle w:val="13"/>
        <w:tblW w:w="0" w:type="auto"/>
        <w:jc w:val="center"/>
        <w:tblLayout w:type="autofit"/>
        <w:tblCellMar>
          <w:top w:w="0" w:type="dxa"/>
          <w:left w:w="0" w:type="dxa"/>
          <w:bottom w:w="0" w:type="dxa"/>
          <w:right w:w="0" w:type="dxa"/>
        </w:tblCellMar>
      </w:tblPr>
      <w:tblGrid>
        <w:gridCol w:w="1637"/>
        <w:gridCol w:w="1896"/>
        <w:gridCol w:w="2220"/>
        <w:gridCol w:w="1905"/>
      </w:tblGrid>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分 类</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控制方式</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技术支持</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是否可远程监控</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家电控制</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照明控制</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远程遥控​ </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安全警报</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环境监测</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建筑设备控制</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公共生活服务</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r>
        <w:tblPrEx>
          <w:tblCellMar>
            <w:top w:w="0" w:type="dxa"/>
            <w:left w:w="0" w:type="dxa"/>
            <w:bottom w:w="0" w:type="dxa"/>
            <w:right w:w="0" w:type="dxa"/>
          </w:tblCellMar>
        </w:tblPrEx>
        <w:trPr>
          <w:jc w:val="center"/>
        </w:trPr>
        <w:tc>
          <w:tcPr>
            <w:tcW w:w="16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其他</w:t>
            </w:r>
          </w:p>
        </w:tc>
        <w:tc>
          <w:tcPr>
            <w:tcW w:w="18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22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9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tc>
      </w:tr>
    </w:tbl>
    <w:p>
      <w:pPr>
        <w:pStyle w:val="11"/>
        <w:spacing w:before="0" w:beforeAutospacing="0" w:after="0" w:afterAutospacing="0"/>
        <w:jc w:val="both"/>
      </w:pPr>
      <w:r>
        <w:rPr>
          <w:rFonts w:hint="eastAsia"/>
          <w:sz w:val="21"/>
          <w:szCs w:val="21"/>
        </w:rPr>
        <w:t>是否具有接入智慧城市（城区、社区）的功能：</w:t>
      </w:r>
      <w:r>
        <w:rPr>
          <w:rStyle w:val="25"/>
          <w:rFonts w:hint="eastAsia" w:ascii="MS Gothic" w:hAnsi="MS Gothic" w:eastAsia="MS Gothic"/>
          <w:sz w:val="21"/>
          <w:szCs w:val="21"/>
        </w:rPr>
        <w:t>☐</w:t>
      </w:r>
      <w:r>
        <w:rPr>
          <w:rFonts w:hint="eastAsia"/>
          <w:sz w:val="21"/>
          <w:szCs w:val="21"/>
        </w:rPr>
        <w:t xml:space="preserve">是 </w:t>
      </w:r>
      <w:r>
        <w:rPr>
          <w:rStyle w:val="25"/>
          <w:rFonts w:hint="eastAsia" w:ascii="MS Gothic" w:hAnsi="MS Gothic" w:eastAsia="MS Gothic"/>
          <w:sz w:val="21"/>
          <w:szCs w:val="21"/>
        </w:rPr>
        <w:t>☑</w:t>
      </w:r>
      <w:r>
        <w:rPr>
          <w:rFonts w:hint="eastAsia"/>
          <w:sz w:val="21"/>
          <w:szCs w:val="21"/>
        </w:rPr>
        <w:t>否</w:t>
      </w:r>
    </w:p>
    <w:p>
      <w:pPr>
        <w:pStyle w:val="11"/>
        <w:spacing w:before="0" w:beforeAutospacing="0" w:after="0" w:afterAutospacing="0"/>
        <w:jc w:val="both"/>
      </w:pPr>
      <w:r>
        <w:rPr>
          <w:rFonts w:hint="eastAsia"/>
          <w:sz w:val="21"/>
          <w:szCs w:val="21"/>
        </w:rPr>
        <w:t>请简要说明智能化服务系统的控制策略及应用情况。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02"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ascii="Helvetica" w:hAnsi="Helvetica" w:cs="Helvetica"/>
                <w:color w:val="333333"/>
                <w:sz w:val="21"/>
                <w:szCs w:val="21"/>
                <w:shd w:val="clear" w:color="auto" w:fill="FFFFFF"/>
              </w:rPr>
              <w:t>智能控制是具有智能信息处理、智能信息反馈和智能控制决策的控制方式，是控制理论发展的高级阶段，主要用来解决那些用传统方法难以解决的复杂系统的控制问题。智能控制研究对象的主要特点是具有不确定性的数学模型、高度的非线性和复杂的任务要求。</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）智能化及装修竣工图纸及设计说明，应包括智能家居或环境设备监控系统设计方案、智能化服务平台方案；</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）智能化服务系统实现的服务功能、远程监控功能、接入上一级智慧平台功能说明文件；</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）智能化服务系统相关产品的型式检验报告；</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）智能化服务系统运行文件，应包括管理制度、历史监测数据、运行记录。</w:t>
      </w:r>
    </w:p>
    <w:p>
      <w:pPr>
        <w:pStyle w:val="11"/>
        <w:spacing w:before="0" w:beforeAutospacing="0" w:after="0" w:afterAutospacing="0"/>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83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智能化设计图纸及设计说明：8电气设计/ 智能化服务平台方案.doc</w:t>
            </w:r>
          </w:p>
        </w:tc>
      </w:tr>
    </w:tbl>
    <w:p>
      <w:pPr>
        <w:pStyle w:val="11"/>
        <w:spacing w:before="0" w:beforeAutospacing="0" w:after="0" w:afterAutospacing="0"/>
        <w:jc w:val="both"/>
      </w:pPr>
      <w:r>
        <w:rPr>
          <w:rFonts w:ascii="Calibri" w:hAnsi="Calibri"/>
          <w:sz w:val="21"/>
          <w:szCs w:val="21"/>
        </w:rPr>
        <w:t> </w:t>
      </w:r>
    </w:p>
    <w:p>
      <w:pPr>
        <w:rPr>
          <w:rFonts w:ascii="Times New Roman" w:hAnsi="Times New Roman"/>
          <w:b/>
          <w:bCs/>
          <w:szCs w:val="40"/>
        </w:rPr>
      </w:pPr>
      <w:r>
        <w:rPr>
          <w:szCs w:val="40"/>
        </w:rPr>
        <w:br w:type="page"/>
      </w:r>
    </w:p>
    <w:p>
      <w:pPr>
        <w:jc w:val="center"/>
      </w:pPr>
      <w:r>
        <w:rPr>
          <w:rFonts w:hint="eastAsia"/>
          <w:b/>
          <w:bCs/>
          <w:color w:val="000000"/>
        </w:rPr>
        <w:t>7 资源节约</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76"/>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shd w:val="clear" w:color="auto" w:fill="DCDCDC"/>
            <w:noWrap w:val="0"/>
            <w:vAlign w:val="center"/>
          </w:tcPr>
          <w:p>
            <w:pPr>
              <w:spacing w:after="3"/>
              <w:jc w:val="center"/>
            </w:pPr>
            <w:r>
              <w:rPr>
                <w:rFonts w:hint="eastAsia"/>
                <w:b/>
                <w:bCs/>
                <w:color w:val="000000"/>
                <w:sz w:val="20"/>
                <w:szCs w:val="20"/>
              </w:rPr>
              <w:t>子项</w:t>
            </w:r>
          </w:p>
        </w:tc>
        <w:tc>
          <w:tcPr>
            <w:tcW w:w="800" w:type="dxa"/>
            <w:shd w:val="clear" w:color="auto" w:fill="DCDCDC"/>
            <w:noWrap w:val="0"/>
            <w:vAlign w:val="center"/>
          </w:tcPr>
          <w:p>
            <w:pPr>
              <w:spacing w:after="3"/>
              <w:jc w:val="center"/>
            </w:pPr>
            <w:r>
              <w:rPr>
                <w:rFonts w:hint="eastAsia"/>
                <w:b/>
                <w:bCs/>
                <w:color w:val="000000"/>
                <w:sz w:val="22"/>
                <w:szCs w:val="22"/>
              </w:rPr>
              <w:t>条文编号</w:t>
            </w:r>
          </w:p>
        </w:tc>
        <w:tc>
          <w:tcPr>
            <w:tcW w:w="5000" w:type="dxa"/>
            <w:shd w:val="clear" w:color="auto" w:fill="DCDCDC"/>
            <w:noWrap w:val="0"/>
            <w:vAlign w:val="center"/>
          </w:tcPr>
          <w:p>
            <w:pPr>
              <w:spacing w:after="3"/>
              <w:jc w:val="center"/>
            </w:pPr>
            <w:r>
              <w:rPr>
                <w:rFonts w:hint="eastAsia"/>
                <w:b/>
                <w:bCs/>
                <w:color w:val="000000"/>
                <w:sz w:val="20"/>
                <w:szCs w:val="20"/>
              </w:rPr>
              <w:t>条文</w:t>
            </w:r>
          </w:p>
        </w:tc>
        <w:tc>
          <w:tcPr>
            <w:tcW w:w="800" w:type="dxa"/>
            <w:shd w:val="clear" w:color="auto" w:fill="DCDCDC"/>
            <w:noWrap w:val="0"/>
            <w:vAlign w:val="center"/>
          </w:tcPr>
          <w:p>
            <w:pPr>
              <w:spacing w:after="3"/>
              <w:jc w:val="center"/>
            </w:pPr>
            <w:r>
              <w:rPr>
                <w:rFonts w:hint="eastAsia"/>
                <w:b/>
                <w:bCs/>
                <w:color w:val="000000"/>
                <w:sz w:val="20"/>
                <w:szCs w:val="20"/>
              </w:rPr>
              <w:t>满分</w:t>
            </w:r>
          </w:p>
        </w:tc>
        <w:tc>
          <w:tcPr>
            <w:tcW w:w="800" w:type="dxa"/>
            <w:shd w:val="clear" w:color="auto" w:fill="DCDCDC"/>
            <w:noWrap w:val="0"/>
            <w:vAlign w:val="center"/>
          </w:tcPr>
          <w:p>
            <w:pPr>
              <w:spacing w:after="3"/>
              <w:jc w:val="center"/>
            </w:pPr>
            <w:r>
              <w:rPr>
                <w:rFonts w:hint="eastAsia"/>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控制项</w:t>
            </w:r>
          </w:p>
        </w:tc>
        <w:tc>
          <w:tcPr>
            <w:tcW w:w="800" w:type="dxa"/>
            <w:noWrap w:val="0"/>
            <w:vAlign w:val="center"/>
          </w:tcPr>
          <w:p>
            <w:pPr>
              <w:spacing w:after="3"/>
            </w:pPr>
            <w:r>
              <w:rPr>
                <w:rFonts w:hint="eastAsia"/>
                <w:bCs/>
                <w:color w:val="000000"/>
                <w:sz w:val="22"/>
                <w:szCs w:val="22"/>
              </w:rPr>
              <w:t>7.1.1</w:t>
            </w:r>
          </w:p>
        </w:tc>
        <w:tc>
          <w:tcPr>
            <w:tcW w:w="5000" w:type="dxa"/>
            <w:noWrap w:val="0"/>
            <w:vAlign w:val="center"/>
          </w:tcPr>
          <w:p>
            <w:pPr>
              <w:spacing w:after="3"/>
            </w:pPr>
            <w:r>
              <w:rPr>
                <w:rFonts w:hint="eastAsia"/>
                <w:bCs/>
                <w:color w:val="000000"/>
                <w:sz w:val="22"/>
                <w:szCs w:val="22"/>
              </w:rPr>
              <w:t>建筑设计优化</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7.1.2</w:t>
            </w:r>
          </w:p>
        </w:tc>
        <w:tc>
          <w:tcPr>
            <w:tcW w:w="5000" w:type="dxa"/>
            <w:noWrap w:val="0"/>
            <w:vAlign w:val="center"/>
          </w:tcPr>
          <w:p>
            <w:pPr>
              <w:spacing w:after="3"/>
            </w:pPr>
            <w:r>
              <w:rPr>
                <w:rFonts w:hint="eastAsia"/>
                <w:bCs/>
                <w:color w:val="000000"/>
                <w:sz w:val="22"/>
                <w:szCs w:val="22"/>
              </w:rPr>
              <w:t>降低负荷能耗</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7.1.3</w:t>
            </w:r>
          </w:p>
        </w:tc>
        <w:tc>
          <w:tcPr>
            <w:tcW w:w="5000" w:type="dxa"/>
            <w:noWrap w:val="0"/>
            <w:vAlign w:val="center"/>
          </w:tcPr>
          <w:p>
            <w:pPr>
              <w:spacing w:after="3"/>
            </w:pPr>
            <w:r>
              <w:rPr>
                <w:rFonts w:hint="eastAsia"/>
                <w:bCs/>
                <w:color w:val="000000"/>
                <w:sz w:val="22"/>
                <w:szCs w:val="22"/>
              </w:rPr>
              <w:t>温度分区设置</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7.1.4</w:t>
            </w:r>
          </w:p>
        </w:tc>
        <w:tc>
          <w:tcPr>
            <w:tcW w:w="5000" w:type="dxa"/>
            <w:noWrap w:val="0"/>
            <w:vAlign w:val="center"/>
          </w:tcPr>
          <w:p>
            <w:pPr>
              <w:spacing w:after="3"/>
            </w:pPr>
            <w:r>
              <w:rPr>
                <w:rFonts w:hint="eastAsia"/>
                <w:bCs/>
                <w:color w:val="000000"/>
                <w:sz w:val="22"/>
                <w:szCs w:val="22"/>
              </w:rPr>
              <w:t>照明功率密度</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7.1.5</w:t>
            </w:r>
          </w:p>
        </w:tc>
        <w:tc>
          <w:tcPr>
            <w:tcW w:w="5000" w:type="dxa"/>
            <w:noWrap w:val="0"/>
            <w:vAlign w:val="center"/>
          </w:tcPr>
          <w:p>
            <w:pPr>
              <w:spacing w:after="3"/>
            </w:pPr>
            <w:r>
              <w:rPr>
                <w:rFonts w:hint="eastAsia"/>
                <w:bCs/>
                <w:color w:val="000000"/>
                <w:sz w:val="22"/>
                <w:szCs w:val="22"/>
              </w:rPr>
              <w:t>能耗分项计量</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7.1.6</w:t>
            </w:r>
          </w:p>
        </w:tc>
        <w:tc>
          <w:tcPr>
            <w:tcW w:w="5000" w:type="dxa"/>
            <w:noWrap w:val="0"/>
            <w:vAlign w:val="center"/>
          </w:tcPr>
          <w:p>
            <w:pPr>
              <w:spacing w:after="3"/>
            </w:pPr>
            <w:r>
              <w:rPr>
                <w:rFonts w:hint="eastAsia"/>
                <w:bCs/>
                <w:color w:val="000000"/>
                <w:sz w:val="22"/>
                <w:szCs w:val="22"/>
              </w:rPr>
              <w:t>电梯扶梯节能</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7.1.7</w:t>
            </w:r>
          </w:p>
        </w:tc>
        <w:tc>
          <w:tcPr>
            <w:tcW w:w="5000" w:type="dxa"/>
            <w:noWrap w:val="0"/>
            <w:vAlign w:val="center"/>
          </w:tcPr>
          <w:p>
            <w:pPr>
              <w:spacing w:after="3"/>
            </w:pPr>
            <w:r>
              <w:rPr>
                <w:rFonts w:hint="eastAsia"/>
                <w:bCs/>
                <w:color w:val="000000"/>
                <w:sz w:val="22"/>
                <w:szCs w:val="22"/>
              </w:rPr>
              <w:t>水资源利用方案</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7.1.8</w:t>
            </w:r>
          </w:p>
        </w:tc>
        <w:tc>
          <w:tcPr>
            <w:tcW w:w="5000" w:type="dxa"/>
            <w:noWrap w:val="0"/>
            <w:vAlign w:val="center"/>
          </w:tcPr>
          <w:p>
            <w:pPr>
              <w:spacing w:after="3"/>
            </w:pPr>
            <w:r>
              <w:rPr>
                <w:rFonts w:hint="eastAsia"/>
                <w:bCs/>
                <w:color w:val="000000"/>
                <w:sz w:val="22"/>
                <w:szCs w:val="22"/>
              </w:rPr>
              <w:t>建筑形体规则</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7.1.9</w:t>
            </w:r>
          </w:p>
        </w:tc>
        <w:tc>
          <w:tcPr>
            <w:tcW w:w="5000" w:type="dxa"/>
            <w:noWrap w:val="0"/>
            <w:vAlign w:val="center"/>
          </w:tcPr>
          <w:p>
            <w:pPr>
              <w:spacing w:after="3"/>
            </w:pPr>
            <w:r>
              <w:rPr>
                <w:rFonts w:hint="eastAsia"/>
                <w:bCs/>
                <w:color w:val="000000"/>
                <w:sz w:val="22"/>
                <w:szCs w:val="22"/>
              </w:rPr>
              <w:t>建筑造型简约</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7.1.10</w:t>
            </w:r>
          </w:p>
        </w:tc>
        <w:tc>
          <w:tcPr>
            <w:tcW w:w="5000" w:type="dxa"/>
            <w:noWrap w:val="0"/>
            <w:vAlign w:val="center"/>
          </w:tcPr>
          <w:p>
            <w:pPr>
              <w:spacing w:after="3"/>
            </w:pPr>
            <w:r>
              <w:rPr>
                <w:rFonts w:hint="eastAsia"/>
                <w:bCs/>
                <w:color w:val="000000"/>
                <w:sz w:val="22"/>
                <w:szCs w:val="22"/>
              </w:rPr>
              <w:t>建材本地化</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评分项</w:t>
            </w:r>
          </w:p>
        </w:tc>
        <w:tc>
          <w:tcPr>
            <w:tcW w:w="800" w:type="dxa"/>
            <w:noWrap w:val="0"/>
            <w:vAlign w:val="center"/>
          </w:tcPr>
          <w:p>
            <w:pPr>
              <w:spacing w:after="3"/>
            </w:pPr>
            <w:r>
              <w:rPr>
                <w:rFonts w:hint="eastAsia"/>
                <w:bCs/>
                <w:color w:val="000000"/>
                <w:sz w:val="22"/>
                <w:szCs w:val="22"/>
              </w:rPr>
              <w:t>7.2.1</w:t>
            </w:r>
          </w:p>
        </w:tc>
        <w:tc>
          <w:tcPr>
            <w:tcW w:w="5000" w:type="dxa"/>
            <w:noWrap w:val="0"/>
            <w:vAlign w:val="center"/>
          </w:tcPr>
          <w:p>
            <w:pPr>
              <w:spacing w:after="3"/>
            </w:pPr>
            <w:r>
              <w:rPr>
                <w:rFonts w:hint="eastAsia"/>
                <w:bCs/>
                <w:color w:val="000000"/>
                <w:sz w:val="22"/>
                <w:szCs w:val="22"/>
              </w:rPr>
              <w:t>节约集约用地</w:t>
            </w:r>
          </w:p>
        </w:tc>
        <w:tc>
          <w:tcPr>
            <w:tcW w:w="800" w:type="dxa"/>
            <w:noWrap w:val="0"/>
            <w:vAlign w:val="center"/>
          </w:tcPr>
          <w:p>
            <w:pPr>
              <w:spacing w:after="3"/>
              <w:jc w:val="center"/>
            </w:pPr>
            <w:r>
              <w:rPr>
                <w:rFonts w:hint="eastAsia"/>
                <w:bCs/>
                <w:color w:val="000000"/>
                <w:sz w:val="22"/>
                <w:szCs w:val="22"/>
              </w:rPr>
              <w:t>20</w:t>
            </w:r>
          </w:p>
        </w:tc>
        <w:tc>
          <w:tcPr>
            <w:tcW w:w="800" w:type="dxa"/>
            <w:noWrap w:val="0"/>
            <w:vAlign w:val="center"/>
          </w:tcPr>
          <w:p>
            <w:pPr>
              <w:spacing w:after="3"/>
              <w:jc w:val="center"/>
              <w:rPr>
                <w:rFonts w:hint="default" w:eastAsia="宋体"/>
                <w:lang w:val="en-US" w:eastAsia="zh-CN"/>
              </w:rPr>
            </w:pPr>
            <w:r>
              <w:rPr>
                <w:rFonts w:hint="eastAsia" w:eastAsia="宋体"/>
                <w:bCs/>
                <w:color w:val="000000"/>
                <w:sz w:val="22"/>
                <w:szCs w:val="22"/>
                <w:lang w:val="en-US" w:eastAsia="zh-CN"/>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7.2.2</w:t>
            </w:r>
          </w:p>
        </w:tc>
        <w:tc>
          <w:tcPr>
            <w:tcW w:w="5000" w:type="dxa"/>
            <w:noWrap w:val="0"/>
            <w:vAlign w:val="center"/>
          </w:tcPr>
          <w:p>
            <w:pPr>
              <w:spacing w:after="3"/>
            </w:pPr>
            <w:r>
              <w:rPr>
                <w:rFonts w:hint="eastAsia"/>
                <w:bCs/>
                <w:color w:val="000000"/>
                <w:sz w:val="22"/>
                <w:szCs w:val="22"/>
              </w:rPr>
              <w:t>地下空间</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pPr>
            <w:r>
              <w:rPr>
                <w:rFonts w:hint="eastAsia"/>
                <w:bCs/>
                <w:color w:val="000000"/>
                <w:sz w:val="22"/>
                <w:szCs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7.2.3</w:t>
            </w:r>
          </w:p>
        </w:tc>
        <w:tc>
          <w:tcPr>
            <w:tcW w:w="5000" w:type="dxa"/>
            <w:noWrap w:val="0"/>
            <w:vAlign w:val="center"/>
          </w:tcPr>
          <w:p>
            <w:pPr>
              <w:spacing w:after="3"/>
            </w:pPr>
            <w:r>
              <w:rPr>
                <w:rFonts w:hint="eastAsia"/>
                <w:bCs/>
                <w:color w:val="000000"/>
                <w:sz w:val="22"/>
                <w:szCs w:val="22"/>
              </w:rPr>
              <w:t>停车场所</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7.2.4</w:t>
            </w:r>
          </w:p>
        </w:tc>
        <w:tc>
          <w:tcPr>
            <w:tcW w:w="5000" w:type="dxa"/>
            <w:noWrap w:val="0"/>
            <w:vAlign w:val="center"/>
          </w:tcPr>
          <w:p>
            <w:pPr>
              <w:spacing w:after="3"/>
            </w:pPr>
            <w:r>
              <w:rPr>
                <w:rFonts w:hint="eastAsia"/>
                <w:bCs/>
                <w:color w:val="000000"/>
                <w:sz w:val="22"/>
                <w:szCs w:val="22"/>
              </w:rPr>
              <w:t>热工性能优化</w:t>
            </w:r>
          </w:p>
        </w:tc>
        <w:tc>
          <w:tcPr>
            <w:tcW w:w="800" w:type="dxa"/>
            <w:noWrap w:val="0"/>
            <w:vAlign w:val="center"/>
          </w:tcPr>
          <w:p>
            <w:pPr>
              <w:spacing w:after="3"/>
              <w:jc w:val="center"/>
            </w:pPr>
            <w:r>
              <w:rPr>
                <w:rFonts w:hint="eastAsia"/>
                <w:bCs/>
                <w:color w:val="000000"/>
                <w:sz w:val="22"/>
                <w:szCs w:val="22"/>
              </w:rPr>
              <w:t>15</w:t>
            </w:r>
          </w:p>
        </w:tc>
        <w:tc>
          <w:tcPr>
            <w:tcW w:w="800" w:type="dxa"/>
            <w:noWrap w:val="0"/>
            <w:vAlign w:val="center"/>
          </w:tcPr>
          <w:p>
            <w:pPr>
              <w:spacing w:after="3"/>
              <w:jc w:val="center"/>
            </w:pPr>
            <w:r>
              <w:rPr>
                <w:rFonts w:hint="eastAsia"/>
                <w:bCs/>
                <w:color w:val="000000"/>
                <w:sz w:val="22"/>
                <w:szCs w:val="22"/>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7.2.5</w:t>
            </w:r>
          </w:p>
        </w:tc>
        <w:tc>
          <w:tcPr>
            <w:tcW w:w="5000" w:type="dxa"/>
            <w:noWrap w:val="0"/>
            <w:vAlign w:val="center"/>
          </w:tcPr>
          <w:p>
            <w:pPr>
              <w:spacing w:after="3"/>
            </w:pPr>
            <w:r>
              <w:rPr>
                <w:rFonts w:hint="eastAsia"/>
                <w:bCs/>
                <w:color w:val="000000"/>
                <w:sz w:val="22"/>
                <w:szCs w:val="22"/>
              </w:rPr>
              <w:t>空调冷热源</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default" w:eastAsia="宋体"/>
                <w:lang w:val="en-US" w:eastAsia="zh-CN"/>
              </w:rPr>
            </w:pPr>
            <w:r>
              <w:rPr>
                <w:rFonts w:hint="eastAsia" w:eastAsia="宋体"/>
                <w:bCs/>
                <w:color w:val="000000"/>
                <w:sz w:val="22"/>
                <w:szCs w:val="22"/>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7.2.6</w:t>
            </w:r>
          </w:p>
        </w:tc>
        <w:tc>
          <w:tcPr>
            <w:tcW w:w="5000" w:type="dxa"/>
            <w:noWrap w:val="0"/>
            <w:vAlign w:val="center"/>
          </w:tcPr>
          <w:p>
            <w:pPr>
              <w:spacing w:after="3"/>
            </w:pPr>
            <w:r>
              <w:rPr>
                <w:rFonts w:hint="eastAsia"/>
                <w:bCs/>
                <w:color w:val="000000"/>
                <w:sz w:val="22"/>
                <w:szCs w:val="22"/>
              </w:rPr>
              <w:t>空调末端及输配系统</w:t>
            </w:r>
          </w:p>
        </w:tc>
        <w:tc>
          <w:tcPr>
            <w:tcW w:w="800" w:type="dxa"/>
            <w:noWrap w:val="0"/>
            <w:vAlign w:val="center"/>
          </w:tcPr>
          <w:p>
            <w:pPr>
              <w:spacing w:after="3"/>
              <w:jc w:val="center"/>
            </w:pPr>
            <w:r>
              <w:rPr>
                <w:rFonts w:hint="eastAsia"/>
                <w:bCs/>
                <w:color w:val="000000"/>
                <w:sz w:val="22"/>
                <w:szCs w:val="22"/>
              </w:rPr>
              <w:t>5</w:t>
            </w:r>
          </w:p>
        </w:tc>
        <w:tc>
          <w:tcPr>
            <w:tcW w:w="800" w:type="dxa"/>
            <w:noWrap w:val="0"/>
            <w:vAlign w:val="center"/>
          </w:tcPr>
          <w:p>
            <w:pPr>
              <w:spacing w:after="3"/>
              <w:jc w:val="center"/>
            </w:pPr>
            <w:r>
              <w:rPr>
                <w:rFonts w:hint="eastAsia"/>
                <w:bCs/>
                <w:color w:val="000000"/>
                <w:sz w:val="22"/>
                <w:szCs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7.2.7</w:t>
            </w:r>
          </w:p>
        </w:tc>
        <w:tc>
          <w:tcPr>
            <w:tcW w:w="5000" w:type="dxa"/>
            <w:noWrap w:val="0"/>
            <w:vAlign w:val="center"/>
          </w:tcPr>
          <w:p>
            <w:pPr>
              <w:spacing w:after="3"/>
            </w:pPr>
            <w:r>
              <w:rPr>
                <w:rFonts w:hint="eastAsia"/>
                <w:bCs/>
                <w:color w:val="000000"/>
                <w:sz w:val="22"/>
                <w:szCs w:val="22"/>
              </w:rPr>
              <w:t>节能电气设备</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7.2.8</w:t>
            </w:r>
          </w:p>
        </w:tc>
        <w:tc>
          <w:tcPr>
            <w:tcW w:w="5000" w:type="dxa"/>
            <w:noWrap w:val="0"/>
            <w:vAlign w:val="center"/>
          </w:tcPr>
          <w:p>
            <w:pPr>
              <w:spacing w:after="3"/>
            </w:pPr>
            <w:r>
              <w:rPr>
                <w:rFonts w:hint="eastAsia"/>
                <w:bCs/>
                <w:color w:val="000000"/>
                <w:sz w:val="22"/>
                <w:szCs w:val="22"/>
              </w:rPr>
              <w:t>降低建筑能耗</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7.2.9</w:t>
            </w:r>
          </w:p>
        </w:tc>
        <w:tc>
          <w:tcPr>
            <w:tcW w:w="5000" w:type="dxa"/>
            <w:noWrap w:val="0"/>
            <w:vAlign w:val="center"/>
          </w:tcPr>
          <w:p>
            <w:pPr>
              <w:spacing w:after="3"/>
            </w:pPr>
            <w:r>
              <w:rPr>
                <w:rFonts w:hint="eastAsia"/>
                <w:bCs/>
                <w:color w:val="000000"/>
                <w:sz w:val="22"/>
                <w:szCs w:val="22"/>
              </w:rPr>
              <w:t>可再生能源利用</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default" w:eastAsia="宋体"/>
                <w:lang w:val="en-US" w:eastAsia="zh-CN"/>
              </w:rPr>
            </w:pPr>
            <w:r>
              <w:rPr>
                <w:rFonts w:hint="eastAsia" w:eastAsia="宋体"/>
                <w:bCs/>
                <w:color w:val="000000"/>
                <w:sz w:val="22"/>
                <w:szCs w:val="22"/>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7.2.10</w:t>
            </w:r>
          </w:p>
        </w:tc>
        <w:tc>
          <w:tcPr>
            <w:tcW w:w="5000" w:type="dxa"/>
            <w:noWrap w:val="0"/>
            <w:vAlign w:val="center"/>
          </w:tcPr>
          <w:p>
            <w:pPr>
              <w:spacing w:after="3"/>
            </w:pPr>
            <w:r>
              <w:rPr>
                <w:rFonts w:hint="eastAsia"/>
                <w:bCs/>
                <w:color w:val="000000"/>
                <w:sz w:val="22"/>
                <w:szCs w:val="22"/>
              </w:rPr>
              <w:t>卫生器具水效</w:t>
            </w:r>
          </w:p>
        </w:tc>
        <w:tc>
          <w:tcPr>
            <w:tcW w:w="800" w:type="dxa"/>
            <w:noWrap w:val="0"/>
            <w:vAlign w:val="center"/>
          </w:tcPr>
          <w:p>
            <w:pPr>
              <w:spacing w:after="3"/>
              <w:jc w:val="center"/>
            </w:pPr>
            <w:r>
              <w:rPr>
                <w:rFonts w:hint="eastAsia"/>
                <w:bCs/>
                <w:color w:val="000000"/>
                <w:sz w:val="22"/>
                <w:szCs w:val="22"/>
              </w:rPr>
              <w:t>15</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7.2.11</w:t>
            </w:r>
          </w:p>
        </w:tc>
        <w:tc>
          <w:tcPr>
            <w:tcW w:w="5000" w:type="dxa"/>
            <w:noWrap w:val="0"/>
            <w:vAlign w:val="center"/>
          </w:tcPr>
          <w:p>
            <w:pPr>
              <w:spacing w:after="3"/>
            </w:pPr>
            <w:r>
              <w:rPr>
                <w:rFonts w:hint="eastAsia"/>
                <w:bCs/>
                <w:color w:val="000000"/>
                <w:sz w:val="22"/>
                <w:szCs w:val="22"/>
              </w:rPr>
              <w:t>其他节水措施</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pPr>
            <w:r>
              <w:rPr>
                <w:rFonts w:hint="eastAsia"/>
                <w:bCs/>
                <w:color w:val="000000"/>
                <w:sz w:val="22"/>
                <w:szCs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7.2.12</w:t>
            </w:r>
          </w:p>
        </w:tc>
        <w:tc>
          <w:tcPr>
            <w:tcW w:w="5000" w:type="dxa"/>
            <w:noWrap w:val="0"/>
            <w:vAlign w:val="center"/>
          </w:tcPr>
          <w:p>
            <w:pPr>
              <w:spacing w:after="3"/>
            </w:pPr>
            <w:r>
              <w:rPr>
                <w:rFonts w:hint="eastAsia"/>
                <w:bCs/>
                <w:color w:val="000000"/>
                <w:sz w:val="22"/>
                <w:szCs w:val="22"/>
              </w:rPr>
              <w:t>景观水体</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7.2.13</w:t>
            </w:r>
          </w:p>
        </w:tc>
        <w:tc>
          <w:tcPr>
            <w:tcW w:w="5000" w:type="dxa"/>
            <w:noWrap w:val="0"/>
            <w:vAlign w:val="center"/>
          </w:tcPr>
          <w:p>
            <w:pPr>
              <w:spacing w:after="3"/>
            </w:pPr>
            <w:r>
              <w:rPr>
                <w:rFonts w:hint="eastAsia"/>
                <w:bCs/>
                <w:color w:val="000000"/>
                <w:sz w:val="22"/>
                <w:szCs w:val="22"/>
              </w:rPr>
              <w:t>非传统水源</w:t>
            </w:r>
          </w:p>
        </w:tc>
        <w:tc>
          <w:tcPr>
            <w:tcW w:w="800" w:type="dxa"/>
            <w:noWrap w:val="0"/>
            <w:vAlign w:val="center"/>
          </w:tcPr>
          <w:p>
            <w:pPr>
              <w:spacing w:after="3"/>
              <w:jc w:val="center"/>
            </w:pPr>
            <w:r>
              <w:rPr>
                <w:rFonts w:hint="eastAsia"/>
                <w:bCs/>
                <w:color w:val="000000"/>
                <w:sz w:val="22"/>
                <w:szCs w:val="22"/>
              </w:rPr>
              <w:t>15</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7.2.14</w:t>
            </w:r>
          </w:p>
        </w:tc>
        <w:tc>
          <w:tcPr>
            <w:tcW w:w="5000" w:type="dxa"/>
            <w:noWrap w:val="0"/>
            <w:vAlign w:val="center"/>
          </w:tcPr>
          <w:p>
            <w:pPr>
              <w:spacing w:after="3"/>
            </w:pPr>
            <w:r>
              <w:rPr>
                <w:rFonts w:hint="eastAsia"/>
                <w:bCs/>
                <w:color w:val="000000"/>
                <w:sz w:val="22"/>
                <w:szCs w:val="22"/>
              </w:rPr>
              <w:t>土建装修一体化</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7.2.15</w:t>
            </w:r>
          </w:p>
        </w:tc>
        <w:tc>
          <w:tcPr>
            <w:tcW w:w="5000" w:type="dxa"/>
            <w:noWrap w:val="0"/>
            <w:vAlign w:val="center"/>
          </w:tcPr>
          <w:p>
            <w:pPr>
              <w:spacing w:after="3"/>
            </w:pPr>
            <w:r>
              <w:rPr>
                <w:rFonts w:hint="eastAsia"/>
                <w:bCs/>
                <w:color w:val="000000"/>
                <w:sz w:val="22"/>
                <w:szCs w:val="22"/>
              </w:rPr>
              <w:t>高强结构材料</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7.2.16</w:t>
            </w:r>
          </w:p>
        </w:tc>
        <w:tc>
          <w:tcPr>
            <w:tcW w:w="5000" w:type="dxa"/>
            <w:noWrap w:val="0"/>
            <w:vAlign w:val="center"/>
          </w:tcPr>
          <w:p>
            <w:pPr>
              <w:spacing w:after="3"/>
            </w:pPr>
            <w:r>
              <w:rPr>
                <w:rFonts w:hint="eastAsia"/>
                <w:bCs/>
                <w:color w:val="000000"/>
                <w:sz w:val="22"/>
                <w:szCs w:val="22"/>
              </w:rPr>
              <w:t>工业化内装</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7.2.17</w:t>
            </w:r>
          </w:p>
        </w:tc>
        <w:tc>
          <w:tcPr>
            <w:tcW w:w="5000" w:type="dxa"/>
            <w:noWrap w:val="0"/>
            <w:vAlign w:val="center"/>
          </w:tcPr>
          <w:p>
            <w:pPr>
              <w:spacing w:after="3"/>
            </w:pPr>
            <w:r>
              <w:rPr>
                <w:rFonts w:hint="eastAsia"/>
                <w:bCs/>
                <w:color w:val="000000"/>
                <w:sz w:val="22"/>
                <w:szCs w:val="22"/>
              </w:rPr>
              <w:t>材料循环利用</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7.2.18</w:t>
            </w:r>
          </w:p>
        </w:tc>
        <w:tc>
          <w:tcPr>
            <w:tcW w:w="5000" w:type="dxa"/>
            <w:noWrap w:val="0"/>
            <w:vAlign w:val="center"/>
          </w:tcPr>
          <w:p>
            <w:pPr>
              <w:spacing w:after="3"/>
            </w:pPr>
            <w:r>
              <w:rPr>
                <w:rFonts w:hint="eastAsia"/>
                <w:bCs/>
                <w:color w:val="000000"/>
                <w:sz w:val="22"/>
                <w:szCs w:val="22"/>
              </w:rPr>
              <w:t>绿色建材</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rPr>
                <w:rFonts w:hint="eastAsia" w:eastAsia="宋体"/>
                <w:lang w:eastAsia="zh-CN"/>
              </w:rPr>
            </w:pPr>
            <w:r>
              <w:rPr>
                <w:rFonts w:hint="eastAsia" w:eastAsia="宋体"/>
                <w:bCs/>
                <w:color w:val="000000"/>
                <w:sz w:val="22"/>
                <w:szCs w:val="22"/>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gridSpan w:val="3"/>
            <w:shd w:val="clear" w:color="auto" w:fill="DCDCDC"/>
            <w:noWrap w:val="0"/>
            <w:vAlign w:val="center"/>
          </w:tcPr>
          <w:p>
            <w:pPr>
              <w:spacing w:after="3"/>
              <w:jc w:val="center"/>
            </w:pPr>
            <w:r>
              <w:rPr>
                <w:rFonts w:hint="eastAsia"/>
                <w:b/>
                <w:bCs/>
                <w:color w:val="000000"/>
                <w:sz w:val="20"/>
                <w:szCs w:val="20"/>
              </w:rPr>
              <w:t>合计</w:t>
            </w:r>
          </w:p>
        </w:tc>
        <w:tc>
          <w:tcPr>
            <w:tcW w:w="800" w:type="dxa"/>
            <w:noWrap w:val="0"/>
            <w:vAlign w:val="center"/>
          </w:tcPr>
          <w:p>
            <w:pPr>
              <w:spacing w:after="3"/>
              <w:jc w:val="center"/>
            </w:pPr>
            <w:r>
              <w:rPr>
                <w:rFonts w:hint="eastAsia"/>
                <w:bCs/>
                <w:color w:val="000000"/>
                <w:sz w:val="22"/>
                <w:szCs w:val="22"/>
              </w:rPr>
              <w:t>200.0</w:t>
            </w:r>
          </w:p>
        </w:tc>
        <w:tc>
          <w:tcPr>
            <w:tcW w:w="800" w:type="dxa"/>
            <w:noWrap w:val="0"/>
            <w:vAlign w:val="center"/>
          </w:tcPr>
          <w:p>
            <w:pPr>
              <w:spacing w:after="3"/>
              <w:jc w:val="center"/>
            </w:pPr>
            <w:r>
              <w:rPr>
                <w:rFonts w:hint="eastAsia" w:eastAsia="宋体"/>
                <w:bCs/>
                <w:color w:val="000000"/>
                <w:sz w:val="22"/>
                <w:szCs w:val="22"/>
                <w:lang w:val="en-US" w:eastAsia="zh-CN"/>
              </w:rPr>
              <w:t>93</w:t>
            </w:r>
            <w:r>
              <w:rPr>
                <w:rFonts w:hint="eastAsia"/>
                <w:bCs/>
                <w:color w:val="000000"/>
                <w:sz w:val="22"/>
                <w:szCs w:val="22"/>
              </w:rPr>
              <w:t>.0</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7.1.1 应结合场地自然条件和建筑功能需求，对建筑的体形、平面布局、空间尺度、围护结构等进行节能设计，且应符合国家有关节能设计的要求。</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建筑所处城市的建筑热工气候分区：</w:t>
      </w:r>
      <w:r>
        <w:rPr>
          <w:rFonts w:hint="eastAsia"/>
          <w:sz w:val="21"/>
          <w:szCs w:val="21"/>
          <w:u w:val="single"/>
        </w:rPr>
        <w:t xml:space="preserve">      夏热冬冷           </w:t>
      </w:r>
      <w:r>
        <w:br w:type="textWrapping"/>
      </w:r>
      <w:r>
        <w:rPr>
          <w:rFonts w:hint="eastAsia"/>
          <w:sz w:val="21"/>
          <w:szCs w:val="21"/>
        </w:rPr>
        <w:t>建筑体形系数：</w:t>
      </w:r>
      <w:r>
        <w:rPr>
          <w:rFonts w:hint="eastAsia"/>
          <w:sz w:val="21"/>
          <w:szCs w:val="21"/>
          <w:u w:val="single"/>
        </w:rPr>
        <w:t xml:space="preserve">   0.3    </w:t>
      </w:r>
    </w:p>
    <w:p>
      <w:pPr>
        <w:pStyle w:val="11"/>
        <w:spacing w:before="0" w:beforeAutospacing="0" w:after="0" w:afterAutospacing="0"/>
        <w:jc w:val="both"/>
      </w:pPr>
      <w:r>
        <w:rPr>
          <w:rFonts w:hint="eastAsia"/>
          <w:sz w:val="21"/>
          <w:szCs w:val="21"/>
        </w:rPr>
        <w:t>执行的建筑节能标准：</w:t>
      </w:r>
      <w:r>
        <w:rPr>
          <w:rFonts w:hint="eastAsia"/>
          <w:sz w:val="21"/>
          <w:szCs w:val="21"/>
          <w:u w:val="single"/>
        </w:rPr>
        <w:t>        节能70%</w:t>
      </w:r>
      <w:r>
        <w:rPr>
          <w:rFonts w:hint="eastAsia" w:ascii="MS Mincho" w:hAnsi="MS Mincho" w:eastAsia="MS Mincho" w:cs="MS Mincho"/>
          <w:sz w:val="21"/>
          <w:szCs w:val="21"/>
          <w:u w:val="single"/>
        </w:rPr>
        <w:t>​</w:t>
      </w:r>
      <w:r>
        <w:rPr>
          <w:rFonts w:hint="eastAsia"/>
          <w:sz w:val="21"/>
          <w:szCs w:val="21"/>
          <w:u w:val="single"/>
        </w:rPr>
        <w:t xml:space="preserve">         </w:t>
      </w:r>
      <w:r>
        <w:br w:type="textWrapping"/>
      </w:r>
      <w:r>
        <w:rPr>
          <w:rFonts w:hint="eastAsia"/>
          <w:sz w:val="21"/>
          <w:szCs w:val="21"/>
        </w:rPr>
        <w:t>建筑朝向：</w:t>
      </w:r>
      <w:r>
        <w:rPr>
          <w:rFonts w:hint="eastAsia"/>
          <w:sz w:val="21"/>
          <w:szCs w:val="21"/>
          <w:u w:val="single"/>
        </w:rPr>
        <w:t xml:space="preserve">       南向为主           </w:t>
      </w:r>
    </w:p>
    <w:p>
      <w:pPr>
        <w:pStyle w:val="11"/>
        <w:spacing w:before="0" w:beforeAutospacing="0" w:after="0" w:afterAutospacing="0"/>
        <w:jc w:val="both"/>
      </w:pPr>
      <w:r>
        <w:rPr>
          <w:rFonts w:hint="eastAsia"/>
          <w:sz w:val="21"/>
          <w:szCs w:val="21"/>
        </w:rPr>
        <w:t>围护结构热工性能指标：</w:t>
      </w:r>
    </w:p>
    <w:tbl>
      <w:tblPr>
        <w:tblStyle w:val="13"/>
        <w:tblW w:w="4993" w:type="pct"/>
        <w:jc w:val="center"/>
        <w:tblLayout w:type="autofit"/>
        <w:tblCellMar>
          <w:top w:w="0" w:type="dxa"/>
          <w:left w:w="0" w:type="dxa"/>
          <w:bottom w:w="0" w:type="dxa"/>
          <w:right w:w="0" w:type="dxa"/>
        </w:tblCellMar>
      </w:tblPr>
      <w:tblGrid>
        <w:gridCol w:w="1982"/>
        <w:gridCol w:w="573"/>
        <w:gridCol w:w="1036"/>
        <w:gridCol w:w="1023"/>
        <w:gridCol w:w="676"/>
        <w:gridCol w:w="800"/>
        <w:gridCol w:w="800"/>
        <w:gridCol w:w="958"/>
        <w:gridCol w:w="642"/>
      </w:tblGrid>
      <w:tr>
        <w:tblPrEx>
          <w:tblCellMar>
            <w:top w:w="0" w:type="dxa"/>
            <w:left w:w="0" w:type="dxa"/>
            <w:bottom w:w="0" w:type="dxa"/>
            <w:right w:w="0" w:type="dxa"/>
          </w:tblCellMar>
        </w:tblPrEx>
        <w:trPr>
          <w:trHeight w:val="285" w:hRule="atLeast"/>
          <w:jc w:val="center"/>
        </w:trPr>
        <w:tc>
          <w:tcPr>
            <w:tcW w:w="0" w:type="auto"/>
            <w:gridSpan w:val="3"/>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热工参数</w:t>
            </w:r>
          </w:p>
        </w:tc>
        <w:tc>
          <w:tcPr>
            <w:tcW w:w="554"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单位</w:t>
            </w:r>
          </w:p>
        </w:tc>
        <w:tc>
          <w:tcPr>
            <w:tcW w:w="0" w:type="auto"/>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参评建筑</w:t>
            </w:r>
          </w:p>
        </w:tc>
        <w:tc>
          <w:tcPr>
            <w:tcW w:w="570"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参照建筑</w:t>
            </w:r>
          </w:p>
        </w:tc>
        <w:tc>
          <w:tcPr>
            <w:tcW w:w="384"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是否满足</w:t>
            </w:r>
          </w:p>
        </w:tc>
      </w:tr>
      <w:tr>
        <w:tblPrEx>
          <w:tblCellMar>
            <w:top w:w="0" w:type="dxa"/>
            <w:left w:w="0" w:type="dxa"/>
            <w:bottom w:w="0" w:type="dxa"/>
            <w:right w:w="0" w:type="dxa"/>
          </w:tblCellMar>
        </w:tblPrEx>
        <w:trPr>
          <w:trHeight w:val="285" w:hRule="atLeast"/>
          <w:jc w:val="center"/>
        </w:trPr>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类型</w:t>
            </w:r>
            <w:r>
              <w:rPr>
                <w:rFonts w:ascii="Times New Roman" w:hAnsi="Times New Roman" w:cs="Times New Roman"/>
                <w:sz w:val="21"/>
                <w:szCs w:val="21"/>
              </w:rPr>
              <w:t>I</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类型</w:t>
            </w:r>
            <w:r>
              <w:rPr>
                <w:rFonts w:ascii="Times New Roman" w:hAnsi="Times New Roman" w:cs="Times New Roman"/>
                <w:sz w:val="21"/>
                <w:szCs w:val="21"/>
              </w:rPr>
              <w:t>II</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类型</w:t>
            </w:r>
            <w:r>
              <w:rPr>
                <w:rFonts w:ascii="Times New Roman" w:hAnsi="Times New Roman" w:cs="Times New Roman"/>
                <w:sz w:val="21"/>
                <w:szCs w:val="21"/>
              </w:rPr>
              <w:t>III</w:t>
            </w: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r>
      <w:tr>
        <w:tblPrEx>
          <w:tblCellMar>
            <w:top w:w="0" w:type="dxa"/>
            <w:left w:w="0" w:type="dxa"/>
            <w:bottom w:w="0" w:type="dxa"/>
            <w:right w:w="0" w:type="dxa"/>
          </w:tblCellMar>
        </w:tblPrEx>
        <w:trPr>
          <w:trHeight w:val="285" w:hRule="atLeast"/>
          <w:jc w:val="center"/>
        </w:trPr>
        <w:tc>
          <w:tcPr>
            <w:tcW w:w="0" w:type="auto"/>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体形系数</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窗墙比</w:t>
            </w: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东向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南向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西向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北向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屋顶透明部分面积比例</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屋面传热系数</w:t>
            </w:r>
            <w:r>
              <w:rPr>
                <w:rFonts w:ascii="Times New Roman" w:hAnsi="Times New Roman" w:cs="Times New Roman"/>
                <w:sz w:val="21"/>
                <w:szCs w:val="21"/>
              </w:rPr>
              <w:t>K</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外墙（包括非透明幕墙）传热系数</w:t>
            </w:r>
            <w:r>
              <w:rPr>
                <w:rFonts w:ascii="Times New Roman" w:hAnsi="Times New Roman" w:cs="Times New Roman"/>
                <w:sz w:val="21"/>
                <w:szCs w:val="21"/>
              </w:rPr>
              <w:t>k</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底面接触室外空气的架空或外挑楼板传热系数</w:t>
            </w:r>
            <w:r>
              <w:rPr>
                <w:rFonts w:ascii="Times New Roman" w:hAnsi="Times New Roman" w:cs="Times New Roman"/>
                <w:sz w:val="21"/>
                <w:szCs w:val="21"/>
              </w:rPr>
              <w:t>K</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1174"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外窗（包括透明幕墙）</w:t>
            </w:r>
          </w:p>
        </w:tc>
        <w:tc>
          <w:tcPr>
            <w:tcW w:w="344"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东向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南向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西向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北向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344"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东向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南向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西向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616"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北向</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1174" w:type="pct"/>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屋顶透明部分</w:t>
            </w:r>
          </w:p>
        </w:tc>
        <w:tc>
          <w:tcPr>
            <w:tcW w:w="0" w:type="auto"/>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117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地面</w:t>
            </w:r>
          </w:p>
        </w:tc>
        <w:tc>
          <w:tcPr>
            <w:tcW w:w="0" w:type="auto"/>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r>
      <w:tr>
        <w:tblPrEx>
          <w:tblCellMar>
            <w:top w:w="0" w:type="dxa"/>
            <w:left w:w="0" w:type="dxa"/>
            <w:bottom w:w="0" w:type="dxa"/>
            <w:right w:w="0" w:type="dxa"/>
          </w:tblCellMar>
        </w:tblPrEx>
        <w:trPr>
          <w:trHeight w:val="300" w:hRule="atLeast"/>
          <w:jc w:val="center"/>
        </w:trPr>
        <w:tc>
          <w:tcPr>
            <w:tcW w:w="117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地下室外墙</w:t>
            </w:r>
          </w:p>
        </w:tc>
        <w:tc>
          <w:tcPr>
            <w:tcW w:w="0" w:type="auto"/>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55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40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477"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570"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384" w:type="pc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注：参评建筑下的列分类“类型</w:t>
      </w:r>
      <w:r>
        <w:rPr>
          <w:rFonts w:ascii="Calibri" w:hAnsi="Calibri"/>
          <w:sz w:val="21"/>
          <w:szCs w:val="21"/>
        </w:rPr>
        <w:t>I</w:t>
      </w:r>
      <w:r>
        <w:rPr>
          <w:rFonts w:hint="eastAsia"/>
          <w:sz w:val="21"/>
          <w:szCs w:val="21"/>
        </w:rPr>
        <w:t>、类型</w:t>
      </w:r>
      <w:r>
        <w:rPr>
          <w:rFonts w:ascii="Calibri" w:hAnsi="Calibri"/>
          <w:sz w:val="21"/>
          <w:szCs w:val="21"/>
        </w:rPr>
        <w:t>II</w:t>
      </w:r>
      <w:r>
        <w:rPr>
          <w:rFonts w:hint="eastAsia"/>
          <w:sz w:val="21"/>
          <w:szCs w:val="21"/>
        </w:rPr>
        <w:t>、类型</w:t>
      </w:r>
      <w:r>
        <w:rPr>
          <w:rFonts w:ascii="Calibri" w:hAnsi="Calibri"/>
          <w:sz w:val="21"/>
          <w:szCs w:val="21"/>
        </w:rPr>
        <w:t>III</w:t>
      </w:r>
      <w:r>
        <w:rPr>
          <w:rFonts w:hint="eastAsia"/>
          <w:sz w:val="21"/>
          <w:szCs w:val="21"/>
        </w:rPr>
        <w:t>”指一栋建筑中存在多种围护结构或一个项目存在多个参评建筑时的区别表示方式。</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line="288" w:lineRule="auto"/>
        <w:rPr>
          <w:sz w:val="21"/>
          <w:szCs w:val="21"/>
        </w:rPr>
      </w:pPr>
      <w:r>
        <w:rPr>
          <w:rFonts w:ascii="Times New Roman" w:hAnsi="Times New Roman" w:cs="Times New Roman"/>
          <w:sz w:val="21"/>
          <w:szCs w:val="21"/>
        </w:rPr>
        <w:t>1</w:t>
      </w:r>
      <w:r>
        <w:rPr>
          <w:rFonts w:hint="eastAsia"/>
          <w:sz w:val="21"/>
          <w:szCs w:val="21"/>
        </w:rPr>
        <w:t>）建筑竣工总图及设计说明，多栋建筑应注明楼间距；日照模拟计算报告；</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2</w:t>
      </w:r>
      <w:r>
        <w:rPr>
          <w:rFonts w:hint="eastAsia"/>
          <w:sz w:val="21"/>
          <w:szCs w:val="21"/>
        </w:rPr>
        <w:t>）建筑专业竣工图及设计说明，应明确建筑围护结构的构造做法等内容；建筑优化设计分析报告；</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3</w:t>
      </w:r>
      <w:r>
        <w:rPr>
          <w:rFonts w:hint="eastAsia"/>
          <w:sz w:val="21"/>
          <w:szCs w:val="21"/>
        </w:rPr>
        <w:t>）建筑节能计算书、幕墙热工性能计算书（若为幕墙体系），当地建筑节能审查相关文件；</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4</w:t>
      </w:r>
      <w:r>
        <w:rPr>
          <w:rFonts w:hint="eastAsia"/>
          <w:sz w:val="21"/>
          <w:szCs w:val="21"/>
        </w:rPr>
        <w:t>）节能工程验收记录。</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Style w:val="26"/>
              </w:rPr>
              <w:t>日照分析报告：3建筑设计/ 日照.png</w:t>
            </w:r>
            <w:r>
              <w:br w:type="textWrapping"/>
            </w:r>
            <w:r>
              <w:rPr>
                <w:rStyle w:val="26"/>
              </w:rPr>
              <w:t>建筑总平面图：3建筑设计/ 总平面.jpg</w:t>
            </w:r>
            <w:r>
              <w:br w:type="textWrapping"/>
            </w:r>
            <w:r>
              <w:rPr>
                <w:rStyle w:val="26"/>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7.1.2 应采取措施降低部分负荷、部分空间使用下的供暖、空调系统能耗。</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请简要说明建筑功能分区、空调系统分区原则、空调系统分区设计说明。</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室内供暖采用低温热水地板辐射式采暖系统，系统按照分房间布置环路，分朝向区分盘管间距，首顶层增加盘管密度原则，实现分区调控，精准供暖。</w:t>
            </w:r>
          </w:p>
          <w:p>
            <w:pPr>
              <w:pStyle w:val="11"/>
              <w:spacing w:before="0" w:beforeAutospacing="0" w:after="0" w:afterAutospacing="0"/>
              <w:ind w:firstLine="400"/>
            </w:pPr>
            <w:r>
              <w:rPr>
                <w:rFonts w:hint="eastAsia"/>
                <w:sz w:val="20"/>
                <w:szCs w:val="20"/>
              </w:rPr>
              <w:t>本项目采用多联机空调系统及局部采用单体空调及直膨式空调机组，能够根据房间朝向等分区灵活控制；多联机机组性能符合现行国家标准。供暖采用市政热源的散热器采暖系统，每组散热器上均安装恒温控制阀，可单独控制该房间温度，以达到节能要求。</w:t>
            </w:r>
          </w:p>
        </w:tc>
      </w:tr>
    </w:tbl>
    <w:p>
      <w:pPr>
        <w:pStyle w:val="11"/>
        <w:spacing w:before="0" w:beforeAutospacing="0" w:after="0" w:afterAutospacing="0"/>
        <w:jc w:val="both"/>
      </w:pPr>
      <w:r>
        <w:rPr>
          <w:rFonts w:hint="eastAsia"/>
          <w:sz w:val="21"/>
          <w:szCs w:val="21"/>
        </w:rPr>
        <w:t>请简要说明部分负荷、部分空间使用下的运行策略。</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各房间设电动风口，可根据房间使用时间、温度、湿度的不同进行分区控制</w:t>
            </w:r>
            <w:r>
              <w:rPr>
                <w:rFonts w:ascii="Times New Roman" w:hAnsi="Times New Roman" w:cs="Times New Roman"/>
                <w:sz w:val="20"/>
                <w:szCs w:val="20"/>
              </w:rPr>
              <w:t>,</w:t>
            </w:r>
            <w:r>
              <w:rPr>
                <w:rFonts w:hint="eastAsia"/>
                <w:sz w:val="20"/>
                <w:szCs w:val="20"/>
              </w:rPr>
              <w:t>风系统采用变频技术，且设置电动可调风口。</w:t>
            </w:r>
          </w:p>
          <w:p>
            <w:pPr>
              <w:pStyle w:val="11"/>
              <w:spacing w:before="0" w:beforeAutospacing="0" w:after="0" w:afterAutospacing="0"/>
              <w:ind w:firstLine="400"/>
            </w:pPr>
            <w:r>
              <w:rPr>
                <w:rFonts w:hint="eastAsia"/>
                <w:sz w:val="20"/>
                <w:szCs w:val="20"/>
              </w:rPr>
              <w:t>机组容量配置及台数满足部分负荷要求，</w:t>
            </w:r>
            <w:r>
              <w:rPr>
                <w:rFonts w:ascii="Times New Roman" w:hAnsi="Times New Roman" w:cs="Times New Roman"/>
                <w:sz w:val="20"/>
                <w:szCs w:val="20"/>
              </w:rPr>
              <w:t>IPLV</w:t>
            </w:r>
            <w:r>
              <w:rPr>
                <w:rFonts w:hint="eastAsia"/>
                <w:sz w:val="20"/>
                <w:szCs w:val="20"/>
              </w:rPr>
              <w:t>满足标准要求。</w:t>
            </w:r>
          </w:p>
          <w:p>
            <w:pPr>
              <w:pStyle w:val="11"/>
              <w:spacing w:before="0" w:beforeAutospacing="0" w:after="0" w:afterAutospacing="0"/>
              <w:ind w:firstLine="400"/>
            </w:pPr>
            <w:r>
              <w:rPr>
                <w:rFonts w:hint="eastAsia"/>
                <w:sz w:val="20"/>
                <w:szCs w:val="20"/>
              </w:rPr>
              <w:t>制冷机房控制室作为空调控制中心。冷水机组、冷水泵、冷却水泵、冷却塔、空调机组及新风机组除设就地控制开关外，全部进入自动控制系统进行运行。</w:t>
            </w:r>
          </w:p>
          <w:p>
            <w:pPr>
              <w:pStyle w:val="11"/>
              <w:spacing w:before="0" w:beforeAutospacing="0" w:after="0" w:afterAutospacing="0"/>
              <w:ind w:firstLine="400"/>
            </w:pPr>
            <w:r>
              <w:rPr>
                <w:rFonts w:hint="eastAsia"/>
                <w:sz w:val="20"/>
                <w:szCs w:val="20"/>
              </w:rPr>
              <w:t>空调机组、新风机组的出水管上均安装电动比例积分调节阀，通过改变水流量来控制多需的空气温度，空调机组以回风温度作为控制信号，新风机组以送风温度作为控制信号。风机盘管表冷器出水管上均安装电动二通阀，室内安装恒温器带风机三速开关，通过三速开关调节风机转速来调节风机盘管的制冷量。</w:t>
            </w:r>
          </w:p>
          <w:p>
            <w:pPr>
              <w:pStyle w:val="11"/>
              <w:spacing w:before="0" w:beforeAutospacing="0" w:after="0" w:afterAutospacing="0"/>
              <w:ind w:firstLine="400"/>
            </w:pPr>
            <w:r>
              <w:rPr>
                <w:rFonts w:hint="eastAsia"/>
                <w:sz w:val="20"/>
                <w:szCs w:val="20"/>
              </w:rPr>
              <w:t>空调水系统的分集水器间安装压差控制器和电动调节阀，通过改变供回水旁路来适应系统水量的变化。冷水机组及配用冷水泵、冷却水泵和冷却塔连锁运行。空调自动控制系统根据供回水总管的温度、流量信号，计算系统的实际空调负荷，并控制冷水机组及其配用的空调水泵的运行台数和运行组合。</w:t>
            </w:r>
          </w:p>
        </w:tc>
      </w:tr>
    </w:tbl>
    <w:p>
      <w:pPr>
        <w:pStyle w:val="11"/>
        <w:spacing w:before="0" w:beforeAutospacing="0" w:after="0" w:afterAutospacing="0"/>
        <w:jc w:val="both"/>
      </w:pPr>
      <w:r>
        <w:rPr>
          <w:rFonts w:hint="eastAsia"/>
          <w:sz w:val="21"/>
          <w:szCs w:val="21"/>
        </w:rPr>
        <w:t>空调冷热源机组的部分负荷性能系数（</w:t>
      </w:r>
      <w:r>
        <w:rPr>
          <w:rFonts w:ascii="Times New Roman" w:hAnsi="Times New Roman" w:cs="Times New Roman"/>
          <w:sz w:val="21"/>
          <w:szCs w:val="21"/>
        </w:rPr>
        <w:t>IPLV</w:t>
      </w:r>
      <w:r>
        <w:rPr>
          <w:rFonts w:hint="eastAsia"/>
          <w:sz w:val="21"/>
          <w:szCs w:val="21"/>
        </w:rPr>
        <w:t>）</w:t>
      </w:r>
    </w:p>
    <w:tbl>
      <w:tblPr>
        <w:tblStyle w:val="13"/>
        <w:tblW w:w="9109" w:type="dxa"/>
        <w:jc w:val="center"/>
        <w:tblLayout w:type="autofit"/>
        <w:tblCellMar>
          <w:top w:w="0" w:type="dxa"/>
          <w:left w:w="0" w:type="dxa"/>
          <w:bottom w:w="0" w:type="dxa"/>
          <w:right w:w="0" w:type="dxa"/>
        </w:tblCellMar>
      </w:tblPr>
      <w:tblGrid>
        <w:gridCol w:w="4358"/>
        <w:gridCol w:w="4751"/>
      </w:tblGrid>
      <w:tr>
        <w:tblPrEx>
          <w:tblCellMar>
            <w:top w:w="0" w:type="dxa"/>
            <w:left w:w="0" w:type="dxa"/>
            <w:bottom w:w="0" w:type="dxa"/>
            <w:right w:w="0" w:type="dxa"/>
          </w:tblCellMar>
        </w:tblPrEx>
        <w:trPr>
          <w:jc w:val="center"/>
        </w:trPr>
        <w:tc>
          <w:tcPr>
            <w:tcW w:w="41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负荷比例</w:t>
            </w:r>
          </w:p>
        </w:tc>
        <w:tc>
          <w:tcPr>
            <w:tcW w:w="45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性能系数（</w:t>
            </w:r>
            <w:r>
              <w:rPr>
                <w:rFonts w:ascii="Times New Roman" w:hAnsi="Times New Roman" w:cs="Times New Roman"/>
                <w:sz w:val="21"/>
                <w:szCs w:val="21"/>
              </w:rPr>
              <w:t>W/W</w:t>
            </w:r>
            <w:r>
              <w:rPr>
                <w:rFonts w:hint="eastAsia"/>
                <w:sz w:val="21"/>
                <w:szCs w:val="21"/>
              </w:rPr>
              <w:t>）</w:t>
            </w:r>
          </w:p>
        </w:tc>
      </w:tr>
      <w:tr>
        <w:tblPrEx>
          <w:tblCellMar>
            <w:top w:w="0" w:type="dxa"/>
            <w:left w:w="0" w:type="dxa"/>
            <w:bottom w:w="0" w:type="dxa"/>
            <w:right w:w="0" w:type="dxa"/>
          </w:tblCellMar>
        </w:tblPrEx>
        <w:trPr>
          <w:jc w:val="center"/>
        </w:trPr>
        <w:tc>
          <w:tcPr>
            <w:tcW w:w="41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100%</w:t>
            </w:r>
          </w:p>
        </w:tc>
        <w:tc>
          <w:tcPr>
            <w:tcW w:w="45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75%</w:t>
            </w:r>
          </w:p>
        </w:tc>
        <w:tc>
          <w:tcPr>
            <w:tcW w:w="45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w:t>
            </w:r>
          </w:p>
        </w:tc>
        <w:tc>
          <w:tcPr>
            <w:tcW w:w="45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25%</w:t>
            </w:r>
          </w:p>
        </w:tc>
        <w:tc>
          <w:tcPr>
            <w:tcW w:w="45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4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IPLV</w:t>
            </w:r>
          </w:p>
        </w:tc>
        <w:tc>
          <w:tcPr>
            <w:tcW w:w="45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空调系统的电冷源综合制冷性能系数（</w:t>
      </w:r>
      <w:r>
        <w:rPr>
          <w:rFonts w:ascii="Times New Roman" w:hAnsi="Times New Roman" w:cs="Times New Roman"/>
          <w:sz w:val="21"/>
          <w:szCs w:val="21"/>
        </w:rPr>
        <w:t>SCOP</w:t>
      </w:r>
      <w:r>
        <w:rPr>
          <w:rFonts w:hint="eastAsia"/>
          <w:sz w:val="21"/>
          <w:szCs w:val="21"/>
        </w:rPr>
        <w:t>）</w:t>
      </w:r>
    </w:p>
    <w:tbl>
      <w:tblPr>
        <w:tblStyle w:val="13"/>
        <w:tblW w:w="9206" w:type="dxa"/>
        <w:jc w:val="center"/>
        <w:tblLayout w:type="autofit"/>
        <w:tblCellMar>
          <w:top w:w="0" w:type="dxa"/>
          <w:left w:w="0" w:type="dxa"/>
          <w:bottom w:w="0" w:type="dxa"/>
          <w:right w:w="0" w:type="dxa"/>
        </w:tblCellMar>
      </w:tblPr>
      <w:tblGrid>
        <w:gridCol w:w="4407"/>
        <w:gridCol w:w="4799"/>
      </w:tblGrid>
      <w:tr>
        <w:tblPrEx>
          <w:tblCellMar>
            <w:top w:w="0" w:type="dxa"/>
            <w:left w:w="0" w:type="dxa"/>
            <w:bottom w:w="0" w:type="dxa"/>
            <w:right w:w="0" w:type="dxa"/>
          </w:tblCellMar>
        </w:tblPrEx>
        <w:trPr>
          <w:jc w:val="center"/>
        </w:trPr>
        <w:tc>
          <w:tcPr>
            <w:tcW w:w="41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负荷比例</w:t>
            </w:r>
          </w:p>
        </w:tc>
        <w:tc>
          <w:tcPr>
            <w:tcW w:w="456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性能系数（</w:t>
            </w:r>
            <w:r>
              <w:rPr>
                <w:rFonts w:ascii="Times New Roman" w:hAnsi="Times New Roman" w:cs="Times New Roman"/>
                <w:sz w:val="21"/>
                <w:szCs w:val="21"/>
              </w:rPr>
              <w:t>W/W</w:t>
            </w:r>
            <w:r>
              <w:rPr>
                <w:rFonts w:hint="eastAsia"/>
                <w:sz w:val="21"/>
                <w:szCs w:val="21"/>
              </w:rPr>
              <w:t>）</w:t>
            </w:r>
          </w:p>
        </w:tc>
      </w:tr>
      <w:tr>
        <w:tblPrEx>
          <w:tblCellMar>
            <w:top w:w="0" w:type="dxa"/>
            <w:left w:w="0" w:type="dxa"/>
            <w:bottom w:w="0" w:type="dxa"/>
            <w:right w:w="0" w:type="dxa"/>
          </w:tblCellMar>
        </w:tblPrEx>
        <w:trPr>
          <w:jc w:val="center"/>
        </w:trPr>
        <w:tc>
          <w:tcPr>
            <w:tcW w:w="41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100%</w:t>
            </w:r>
          </w:p>
        </w:tc>
        <w:tc>
          <w:tcPr>
            <w:tcW w:w="456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75%</w:t>
            </w:r>
          </w:p>
        </w:tc>
        <w:tc>
          <w:tcPr>
            <w:tcW w:w="456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w:t>
            </w:r>
          </w:p>
        </w:tc>
        <w:tc>
          <w:tcPr>
            <w:tcW w:w="456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25%</w:t>
            </w:r>
          </w:p>
        </w:tc>
        <w:tc>
          <w:tcPr>
            <w:tcW w:w="456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1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SCOP</w:t>
            </w:r>
          </w:p>
        </w:tc>
        <w:tc>
          <w:tcPr>
            <w:tcW w:w="456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）暖通专业竣工图及设计说明，应包含设备表、风系统图、水系统图、空调系统分区及控制策略等；</w:t>
      </w:r>
    </w:p>
    <w:p>
      <w:pPr>
        <w:pStyle w:val="11"/>
        <w:spacing w:before="0" w:beforeAutospacing="0" w:after="0" w:afterAutospacing="0"/>
        <w:jc w:val="both"/>
      </w:pPr>
      <w:r>
        <w:rPr>
          <w:rFonts w:ascii="Calibri" w:hAnsi="Calibri"/>
          <w:sz w:val="21"/>
          <w:szCs w:val="21"/>
        </w:rPr>
        <w:t>2</w:t>
      </w:r>
      <w:r>
        <w:rPr>
          <w:rFonts w:hint="eastAsia"/>
          <w:sz w:val="21"/>
          <w:szCs w:val="21"/>
        </w:rPr>
        <w:t>）部分负荷性能系数（</w:t>
      </w:r>
      <w:r>
        <w:rPr>
          <w:rFonts w:ascii="Calibri" w:hAnsi="Calibri"/>
          <w:sz w:val="21"/>
          <w:szCs w:val="21"/>
        </w:rPr>
        <w:t>IPLV</w:t>
      </w:r>
      <w:r>
        <w:rPr>
          <w:rFonts w:hint="eastAsia"/>
          <w:sz w:val="21"/>
          <w:szCs w:val="21"/>
        </w:rPr>
        <w:t>）计算书、电冷源综合制冷性能系数（</w:t>
      </w:r>
      <w:r>
        <w:rPr>
          <w:rFonts w:ascii="Calibri" w:hAnsi="Calibri"/>
          <w:sz w:val="21"/>
          <w:szCs w:val="21"/>
        </w:rPr>
        <w:t>SCOP</w:t>
      </w:r>
      <w:r>
        <w:rPr>
          <w:rFonts w:hint="eastAsia"/>
          <w:sz w:val="21"/>
          <w:szCs w:val="21"/>
        </w:rPr>
        <w:t>）计算书。</w:t>
      </w:r>
    </w:p>
    <w:p>
      <w:pPr>
        <w:pStyle w:val="11"/>
        <w:spacing w:before="0" w:beforeAutospacing="0" w:after="0" w:afterAutospacing="0"/>
        <w:jc w:val="both"/>
      </w:pPr>
      <w:r>
        <w:rPr>
          <w:rFonts w:ascii="Calibri" w:hAnsi="Calibri"/>
          <w:sz w:val="21"/>
          <w:szCs w:val="21"/>
        </w:rPr>
        <w:t>3</w:t>
      </w:r>
      <w:r>
        <w:rPr>
          <w:rFonts w:hint="eastAsia"/>
          <w:sz w:val="21"/>
          <w:szCs w:val="21"/>
        </w:rPr>
        <w:t>）暖通系统能耗监测记录。</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部分负荷性能系数(LPLV)计算书：5暖通设计/ LPLV计算书.docx</w:t>
            </w:r>
            <w:r>
              <w:rPr>
                <w:rFonts w:ascii="Times New Roman" w:hAnsi="Times New Roman" w:cs="Times New Roman"/>
                <w:sz w:val="20"/>
                <w:szCs w:val="20"/>
              </w:rPr>
              <w:br w:type="textWrapping"/>
            </w:r>
            <w:r>
              <w:rPr>
                <w:rStyle w:val="26"/>
                <w:rFonts w:ascii="Times New Roman" w:hAnsi="Times New Roman" w:cs="Times New Roman"/>
                <w:sz w:val="20"/>
                <w:szCs w:val="20"/>
              </w:rPr>
              <w:t>电冷源综合制冷性能系数（SCOP）计算书：5暖通设计/ SCOP计算书.docx</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 xml:space="preserve">7.1.3 应根据建筑空间功能设置分区温度，合理降低室内过渡区空间的温度设定标准。 </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pPr>
        <w:pStyle w:val="11"/>
        <w:spacing w:before="0" w:beforeAutospacing="0" w:after="0" w:afterAutospacing="0"/>
        <w:jc w:val="both"/>
      </w:pPr>
      <w:r>
        <w:rPr>
          <w:rStyle w:val="25"/>
          <w:rFonts w:hint="eastAsia" w:ascii="MS Mincho" w:hAnsi="MS Mincho" w:eastAsia="MS Mincho" w:cs="MS Mincho"/>
          <w:sz w:val="28"/>
          <w:szCs w:val="28"/>
        </w:rPr>
        <w:t>☑</w:t>
      </w:r>
      <w:r>
        <w:t xml:space="preserve"> </w:t>
      </w:r>
      <w:r>
        <w:rPr>
          <w:rFonts w:hint="eastAsia"/>
          <w:sz w:val="21"/>
          <w:szCs w:val="21"/>
        </w:rPr>
        <w:t>达标；</w:t>
      </w:r>
      <w:r>
        <w:t xml:space="preserve"> </w:t>
      </w:r>
      <w:r>
        <w:rPr>
          <w:rStyle w:val="25"/>
          <w:rFonts w:hint="eastAsia" w:ascii="MS Mincho" w:hAnsi="MS Mincho" w:eastAsia="MS Mincho" w:cs="MS Mincho"/>
          <w:sz w:val="28"/>
          <w:szCs w:val="28"/>
        </w:rPr>
        <w:t>☐</w:t>
      </w:r>
      <w:r>
        <w:t xml:space="preserve"> </w:t>
      </w:r>
      <w:r>
        <w:rPr>
          <w:rFonts w:hint="eastAsia"/>
          <w:sz w:val="21"/>
          <w:szCs w:val="21"/>
        </w:rPr>
        <w:t>不达标</w:t>
      </w:r>
      <w:r>
        <w:t xml:space="preserve"> </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pPr>
        <w:pStyle w:val="11"/>
        <w:spacing w:before="0" w:beforeAutospacing="0" w:after="0" w:afterAutospacing="0"/>
        <w:jc w:val="both"/>
      </w:pPr>
      <w:r>
        <w:rPr>
          <w:rFonts w:hint="eastAsia"/>
          <w:sz w:val="21"/>
          <w:szCs w:val="21"/>
        </w:rPr>
        <w:t>长期逗留区域空气调节室内参数：</w:t>
      </w:r>
      <w:r>
        <w:t xml:space="preserve"> </w:t>
      </w:r>
    </w:p>
    <w:tbl>
      <w:tblPr>
        <w:tblStyle w:val="13"/>
        <w:tblW w:w="4862" w:type="pct"/>
        <w:jc w:val="center"/>
        <w:tblLayout w:type="autofit"/>
        <w:tblCellMar>
          <w:top w:w="0" w:type="dxa"/>
          <w:left w:w="0" w:type="dxa"/>
          <w:bottom w:w="0" w:type="dxa"/>
          <w:right w:w="0" w:type="dxa"/>
        </w:tblCellMar>
      </w:tblPr>
      <w:tblGrid>
        <w:gridCol w:w="1301"/>
        <w:gridCol w:w="1581"/>
        <w:gridCol w:w="1768"/>
        <w:gridCol w:w="1837"/>
        <w:gridCol w:w="1786"/>
      </w:tblGrid>
      <w:tr>
        <w:tblPrEx>
          <w:tblCellMar>
            <w:top w:w="0" w:type="dxa"/>
            <w:left w:w="0" w:type="dxa"/>
            <w:bottom w:w="0" w:type="dxa"/>
            <w:right w:w="0" w:type="dxa"/>
          </w:tblCellMar>
        </w:tblPrEx>
        <w:trPr>
          <w:trHeight w:val="211" w:hRule="atLeast"/>
          <w:jc w:val="center"/>
        </w:trPr>
        <w:tc>
          <w:tcPr>
            <w:tcW w:w="78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参数</w:t>
            </w:r>
            <w:r>
              <w:rPr>
                <w:sz w:val="21"/>
                <w:szCs w:val="21"/>
              </w:rPr>
              <w:t xml:space="preserve"> </w:t>
            </w:r>
          </w:p>
        </w:tc>
        <w:tc>
          <w:tcPr>
            <w:tcW w:w="9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舒适度等级</w:t>
            </w:r>
            <w:r>
              <w:rPr>
                <w:sz w:val="21"/>
                <w:szCs w:val="21"/>
              </w:rPr>
              <w:t xml:space="preserve"> </w:t>
            </w:r>
          </w:p>
        </w:tc>
        <w:tc>
          <w:tcPr>
            <w:tcW w:w="10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温度</w:t>
            </w:r>
            <w:r>
              <w:rPr>
                <w:sz w:val="21"/>
                <w:szCs w:val="21"/>
              </w:rPr>
              <w:t xml:space="preserve"> </w:t>
            </w:r>
            <w:r>
              <w:rPr>
                <w:rFonts w:ascii="Times New Roman" w:hAnsi="Times New Roman" w:cs="Times New Roman"/>
                <w:sz w:val="21"/>
                <w:szCs w:val="21"/>
              </w:rPr>
              <w:t>(</w:t>
            </w:r>
            <w:r>
              <w:rPr>
                <w:rFonts w:hint="eastAsia"/>
                <w:sz w:val="21"/>
                <w:szCs w:val="21"/>
              </w:rPr>
              <w:t>℃</w:t>
            </w:r>
            <w:r>
              <w:rPr>
                <w:rFonts w:ascii="Times New Roman" w:hAnsi="Times New Roman" w:cs="Times New Roman"/>
                <w:sz w:val="21"/>
                <w:szCs w:val="21"/>
              </w:rPr>
              <w:t>)</w:t>
            </w:r>
            <w:r>
              <w:rPr>
                <w:sz w:val="21"/>
                <w:szCs w:val="21"/>
              </w:rPr>
              <w:t xml:space="preserve"> </w:t>
            </w:r>
          </w:p>
        </w:tc>
        <w:tc>
          <w:tcPr>
            <w:tcW w:w="111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相对湿度</w:t>
            </w:r>
            <w:r>
              <w:rPr>
                <w:sz w:val="21"/>
                <w:szCs w:val="21"/>
              </w:rPr>
              <w:t xml:space="preserve"> </w:t>
            </w:r>
            <w:r>
              <w:rPr>
                <w:rFonts w:ascii="Times New Roman" w:hAnsi="Times New Roman" w:cs="Times New Roman"/>
                <w:sz w:val="21"/>
                <w:szCs w:val="21"/>
              </w:rPr>
              <w:t>(%)</w:t>
            </w:r>
            <w:r>
              <w:rPr>
                <w:sz w:val="21"/>
                <w:szCs w:val="21"/>
              </w:rPr>
              <w:t xml:space="preserve"> </w:t>
            </w:r>
          </w:p>
        </w:tc>
        <w:tc>
          <w:tcPr>
            <w:tcW w:w="10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风速</w:t>
            </w:r>
            <w:r>
              <w:rPr>
                <w:sz w:val="21"/>
                <w:szCs w:val="21"/>
              </w:rPr>
              <w:t xml:space="preserve"> </w:t>
            </w:r>
            <w:r>
              <w:rPr>
                <w:rFonts w:ascii="Times New Roman" w:hAnsi="Times New Roman" w:cs="Times New Roman"/>
                <w:sz w:val="21"/>
                <w:szCs w:val="21"/>
              </w:rPr>
              <w:t>(m/s)</w:t>
            </w:r>
            <w:r>
              <w:rPr>
                <w:sz w:val="21"/>
                <w:szCs w:val="21"/>
              </w:rPr>
              <w:t xml:space="preserve"> </w:t>
            </w:r>
          </w:p>
        </w:tc>
      </w:tr>
      <w:tr>
        <w:tblPrEx>
          <w:tblCellMar>
            <w:top w:w="0" w:type="dxa"/>
            <w:left w:w="0" w:type="dxa"/>
            <w:bottom w:w="0" w:type="dxa"/>
            <w:right w:w="0" w:type="dxa"/>
          </w:tblCellMar>
        </w:tblPrEx>
        <w:trPr>
          <w:trHeight w:val="175" w:hRule="atLeast"/>
          <w:jc w:val="center"/>
        </w:trPr>
        <w:tc>
          <w:tcPr>
            <w:tcW w:w="78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hint="eastAsia"/>
                <w:sz w:val="21"/>
                <w:szCs w:val="21"/>
              </w:rPr>
              <w:t>冬季</w:t>
            </w:r>
            <w:r>
              <w:rPr>
                <w:sz w:val="21"/>
                <w:szCs w:val="21"/>
              </w:rPr>
              <w:t xml:space="preserve"> </w:t>
            </w:r>
          </w:p>
        </w:tc>
        <w:tc>
          <w:tcPr>
            <w:tcW w:w="9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8级 </w:t>
            </w:r>
            <w:r>
              <w:rPr>
                <w:sz w:val="21"/>
                <w:szCs w:val="21"/>
              </w:rPr>
              <w:t xml:space="preserve"> </w:t>
            </w:r>
          </w:p>
        </w:tc>
        <w:tc>
          <w:tcPr>
            <w:tcW w:w="10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 20</w:t>
            </w:r>
          </w:p>
        </w:tc>
        <w:tc>
          <w:tcPr>
            <w:tcW w:w="111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 30%-60%</w:t>
            </w:r>
          </w:p>
        </w:tc>
        <w:tc>
          <w:tcPr>
            <w:tcW w:w="10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 </w:t>
            </w:r>
            <w:r>
              <w:rPr>
                <w:sz w:val="21"/>
                <w:szCs w:val="21"/>
              </w:rPr>
              <w:t xml:space="preserve"> </w:t>
            </w:r>
          </w:p>
        </w:tc>
      </w:tr>
      <w:tr>
        <w:tblPrEx>
          <w:tblCellMar>
            <w:top w:w="0" w:type="dxa"/>
            <w:left w:w="0" w:type="dxa"/>
            <w:bottom w:w="0" w:type="dxa"/>
            <w:right w:w="0" w:type="dxa"/>
          </w:tblCellMar>
        </w:tblPrEx>
        <w:trPr>
          <w:trHeight w:val="300" w:hRule="atLeast"/>
          <w:jc w:val="center"/>
        </w:trPr>
        <w:tc>
          <w:tcPr>
            <w:tcW w:w="78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夏季</w:t>
            </w:r>
            <w:r>
              <w:rPr>
                <w:sz w:val="21"/>
                <w:szCs w:val="21"/>
              </w:rPr>
              <w:t xml:space="preserve"> </w:t>
            </w:r>
          </w:p>
        </w:tc>
        <w:tc>
          <w:tcPr>
            <w:tcW w:w="9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8级</w:t>
            </w:r>
          </w:p>
        </w:tc>
        <w:tc>
          <w:tcPr>
            <w:tcW w:w="10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25</w:t>
            </w:r>
          </w:p>
        </w:tc>
        <w:tc>
          <w:tcPr>
            <w:tcW w:w="111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40%-80%</w:t>
            </w:r>
          </w:p>
        </w:tc>
        <w:tc>
          <w:tcPr>
            <w:tcW w:w="10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r>
              <w:rPr>
                <w:sz w:val="21"/>
                <w:szCs w:val="21"/>
              </w:rPr>
              <w:t xml:space="preserve"> </w:t>
            </w:r>
          </w:p>
        </w:tc>
      </w:tr>
    </w:tbl>
    <w:p>
      <w:pPr>
        <w:pStyle w:val="11"/>
        <w:spacing w:before="0" w:beforeAutospacing="0" w:after="0" w:afterAutospacing="0"/>
        <w:jc w:val="both"/>
      </w:pPr>
      <w:r>
        <w:rPr>
          <w:rFonts w:hint="eastAsia"/>
          <w:sz w:val="21"/>
          <w:szCs w:val="21"/>
        </w:rPr>
        <w:t>过渡空间空气调节室内参数：</w:t>
      </w:r>
      <w:r>
        <w:t xml:space="preserve"> </w:t>
      </w:r>
    </w:p>
    <w:p>
      <w:pPr>
        <w:pStyle w:val="11"/>
        <w:spacing w:before="0" w:beforeAutospacing="0" w:after="0" w:afterAutospacing="0"/>
        <w:jc w:val="both"/>
      </w:pPr>
      <w:r>
        <w:rPr>
          <w:rFonts w:hint="eastAsia"/>
          <w:sz w:val="21"/>
          <w:szCs w:val="21"/>
        </w:rPr>
        <w:t>活动类型：</w:t>
      </w:r>
      <w:r>
        <w:t xml:space="preserve"> </w:t>
      </w:r>
      <w:r>
        <w:rPr>
          <w:rFonts w:hint="eastAsia"/>
          <w:sz w:val="21"/>
          <w:szCs w:val="21"/>
          <w:u w:val="single"/>
        </w:rPr>
        <w:t xml:space="preserve">                   </w:t>
      </w:r>
      <w:r>
        <w:rPr>
          <w:rFonts w:hint="eastAsia"/>
          <w:sz w:val="21"/>
          <w:szCs w:val="21"/>
        </w:rPr>
        <w:t>代谢率：</w:t>
      </w:r>
      <w:r>
        <w:t xml:space="preserve"> </w:t>
      </w:r>
      <w:r>
        <w:rPr>
          <w:rFonts w:hint="eastAsia"/>
          <w:sz w:val="21"/>
          <w:szCs w:val="21"/>
          <w:u w:val="single"/>
        </w:rPr>
        <w:t xml:space="preserve">                 </w:t>
      </w:r>
      <w:r>
        <w:rPr>
          <w:rFonts w:hint="eastAsia"/>
          <w:sz w:val="21"/>
          <w:szCs w:val="21"/>
        </w:rPr>
        <w:t>冬季温度设定：</w:t>
      </w:r>
      <w:r>
        <w:t xml:space="preserve"> </w:t>
      </w:r>
      <w:r>
        <w:rPr>
          <w:rFonts w:hint="eastAsia"/>
          <w:sz w:val="21"/>
          <w:szCs w:val="21"/>
          <w:u w:val="single"/>
        </w:rPr>
        <w:t xml:space="preserve">         </w:t>
      </w:r>
    </w:p>
    <w:tbl>
      <w:tblPr>
        <w:tblStyle w:val="13"/>
        <w:tblW w:w="4862" w:type="pct"/>
        <w:jc w:val="center"/>
        <w:tblLayout w:type="autofit"/>
        <w:tblCellMar>
          <w:top w:w="0" w:type="dxa"/>
          <w:left w:w="0" w:type="dxa"/>
          <w:bottom w:w="0" w:type="dxa"/>
          <w:right w:w="0" w:type="dxa"/>
        </w:tblCellMar>
      </w:tblPr>
      <w:tblGrid>
        <w:gridCol w:w="1301"/>
        <w:gridCol w:w="1581"/>
        <w:gridCol w:w="1768"/>
        <w:gridCol w:w="1837"/>
        <w:gridCol w:w="1786"/>
      </w:tblGrid>
      <w:tr>
        <w:tblPrEx>
          <w:tblCellMar>
            <w:top w:w="0" w:type="dxa"/>
            <w:left w:w="0" w:type="dxa"/>
            <w:bottom w:w="0" w:type="dxa"/>
            <w:right w:w="0" w:type="dxa"/>
          </w:tblCellMar>
        </w:tblPrEx>
        <w:trPr>
          <w:trHeight w:val="211" w:hRule="atLeast"/>
          <w:jc w:val="center"/>
        </w:trPr>
        <w:tc>
          <w:tcPr>
            <w:tcW w:w="78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参数</w:t>
            </w:r>
            <w:r>
              <w:rPr>
                <w:sz w:val="21"/>
                <w:szCs w:val="21"/>
              </w:rPr>
              <w:t xml:space="preserve"> </w:t>
            </w:r>
          </w:p>
        </w:tc>
        <w:tc>
          <w:tcPr>
            <w:tcW w:w="9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舒适度等级</w:t>
            </w:r>
            <w:r>
              <w:rPr>
                <w:sz w:val="21"/>
                <w:szCs w:val="21"/>
              </w:rPr>
              <w:t xml:space="preserve"> </w:t>
            </w:r>
          </w:p>
        </w:tc>
        <w:tc>
          <w:tcPr>
            <w:tcW w:w="10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温度</w:t>
            </w:r>
            <w:r>
              <w:rPr>
                <w:sz w:val="21"/>
                <w:szCs w:val="21"/>
              </w:rPr>
              <w:t xml:space="preserve"> </w:t>
            </w:r>
            <w:r>
              <w:rPr>
                <w:rFonts w:ascii="Times New Roman" w:hAnsi="Times New Roman" w:cs="Times New Roman"/>
                <w:sz w:val="21"/>
                <w:szCs w:val="21"/>
              </w:rPr>
              <w:t>(</w:t>
            </w:r>
            <w:r>
              <w:rPr>
                <w:rFonts w:hint="eastAsia"/>
                <w:sz w:val="21"/>
                <w:szCs w:val="21"/>
              </w:rPr>
              <w:t>℃</w:t>
            </w:r>
            <w:r>
              <w:rPr>
                <w:rFonts w:ascii="Times New Roman" w:hAnsi="Times New Roman" w:cs="Times New Roman"/>
                <w:sz w:val="21"/>
                <w:szCs w:val="21"/>
              </w:rPr>
              <w:t>)</w:t>
            </w:r>
            <w:r>
              <w:rPr>
                <w:sz w:val="21"/>
                <w:szCs w:val="21"/>
              </w:rPr>
              <w:t xml:space="preserve"> </w:t>
            </w:r>
          </w:p>
        </w:tc>
        <w:tc>
          <w:tcPr>
            <w:tcW w:w="111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相对湿度</w:t>
            </w:r>
            <w:r>
              <w:rPr>
                <w:sz w:val="21"/>
                <w:szCs w:val="21"/>
              </w:rPr>
              <w:t xml:space="preserve"> </w:t>
            </w:r>
            <w:r>
              <w:rPr>
                <w:rFonts w:ascii="Times New Roman" w:hAnsi="Times New Roman" w:cs="Times New Roman"/>
                <w:sz w:val="21"/>
                <w:szCs w:val="21"/>
              </w:rPr>
              <w:t>(%)</w:t>
            </w:r>
            <w:r>
              <w:rPr>
                <w:sz w:val="21"/>
                <w:szCs w:val="21"/>
              </w:rPr>
              <w:t xml:space="preserve"> </w:t>
            </w:r>
          </w:p>
        </w:tc>
        <w:tc>
          <w:tcPr>
            <w:tcW w:w="10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风速</w:t>
            </w:r>
            <w:r>
              <w:rPr>
                <w:sz w:val="21"/>
                <w:szCs w:val="21"/>
              </w:rPr>
              <w:t xml:space="preserve"> </w:t>
            </w:r>
            <w:r>
              <w:rPr>
                <w:rFonts w:ascii="Times New Roman" w:hAnsi="Times New Roman" w:cs="Times New Roman"/>
                <w:sz w:val="21"/>
                <w:szCs w:val="21"/>
              </w:rPr>
              <w:t>(m/s)</w:t>
            </w:r>
            <w:r>
              <w:rPr>
                <w:sz w:val="21"/>
                <w:szCs w:val="21"/>
              </w:rPr>
              <w:t xml:space="preserve"> </w:t>
            </w:r>
          </w:p>
        </w:tc>
      </w:tr>
      <w:tr>
        <w:tblPrEx>
          <w:tblCellMar>
            <w:top w:w="0" w:type="dxa"/>
            <w:left w:w="0" w:type="dxa"/>
            <w:bottom w:w="0" w:type="dxa"/>
            <w:right w:w="0" w:type="dxa"/>
          </w:tblCellMar>
        </w:tblPrEx>
        <w:trPr>
          <w:trHeight w:val="175" w:hRule="atLeast"/>
          <w:jc w:val="center"/>
        </w:trPr>
        <w:tc>
          <w:tcPr>
            <w:tcW w:w="78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hint="eastAsia"/>
                <w:sz w:val="21"/>
                <w:szCs w:val="21"/>
              </w:rPr>
              <w:t>冬季</w:t>
            </w:r>
            <w:r>
              <w:rPr>
                <w:sz w:val="21"/>
                <w:szCs w:val="21"/>
              </w:rPr>
              <w:t xml:space="preserve"> </w:t>
            </w:r>
          </w:p>
        </w:tc>
        <w:tc>
          <w:tcPr>
            <w:tcW w:w="9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8级 </w:t>
            </w:r>
            <w:r>
              <w:rPr>
                <w:sz w:val="21"/>
                <w:szCs w:val="21"/>
              </w:rPr>
              <w:t xml:space="preserve"> </w:t>
            </w:r>
          </w:p>
        </w:tc>
        <w:tc>
          <w:tcPr>
            <w:tcW w:w="10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20 </w:t>
            </w:r>
            <w:r>
              <w:rPr>
                <w:sz w:val="21"/>
                <w:szCs w:val="21"/>
              </w:rPr>
              <w:t xml:space="preserve"> </w:t>
            </w:r>
          </w:p>
        </w:tc>
        <w:tc>
          <w:tcPr>
            <w:tcW w:w="111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  30%-60%​</w:t>
            </w:r>
            <w:r>
              <w:rPr>
                <w:sz w:val="21"/>
                <w:szCs w:val="21"/>
              </w:rPr>
              <w:t xml:space="preserve"> </w:t>
            </w:r>
          </w:p>
        </w:tc>
        <w:tc>
          <w:tcPr>
            <w:tcW w:w="10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5" w:lineRule="atLeast"/>
              <w:jc w:val="center"/>
              <w:rPr>
                <w:sz w:val="21"/>
                <w:szCs w:val="21"/>
              </w:rPr>
            </w:pPr>
            <w:r>
              <w:rPr>
                <w:rFonts w:ascii="Times New Roman" w:hAnsi="Times New Roman" w:cs="Times New Roman"/>
                <w:sz w:val="21"/>
                <w:szCs w:val="21"/>
              </w:rPr>
              <w:t> </w:t>
            </w:r>
            <w:r>
              <w:rPr>
                <w:sz w:val="21"/>
                <w:szCs w:val="21"/>
              </w:rPr>
              <w:t xml:space="preserve"> </w:t>
            </w:r>
          </w:p>
        </w:tc>
      </w:tr>
      <w:tr>
        <w:tblPrEx>
          <w:tblCellMar>
            <w:top w:w="0" w:type="dxa"/>
            <w:left w:w="0" w:type="dxa"/>
            <w:bottom w:w="0" w:type="dxa"/>
            <w:right w:w="0" w:type="dxa"/>
          </w:tblCellMar>
        </w:tblPrEx>
        <w:trPr>
          <w:trHeight w:val="300" w:hRule="atLeast"/>
          <w:jc w:val="center"/>
        </w:trPr>
        <w:tc>
          <w:tcPr>
            <w:tcW w:w="78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夏季</w:t>
            </w:r>
            <w:r>
              <w:rPr>
                <w:sz w:val="21"/>
                <w:szCs w:val="21"/>
              </w:rPr>
              <w:t xml:space="preserve"> </w:t>
            </w:r>
          </w:p>
        </w:tc>
        <w:tc>
          <w:tcPr>
            <w:tcW w:w="9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8级</w:t>
            </w:r>
          </w:p>
        </w:tc>
        <w:tc>
          <w:tcPr>
            <w:tcW w:w="106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25</w:t>
            </w:r>
          </w:p>
        </w:tc>
        <w:tc>
          <w:tcPr>
            <w:tcW w:w="111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40%-80%​</w:t>
            </w:r>
            <w:r>
              <w:rPr>
                <w:sz w:val="21"/>
                <w:szCs w:val="21"/>
              </w:rPr>
              <w:t xml:space="preserve"> </w:t>
            </w:r>
          </w:p>
        </w:tc>
        <w:tc>
          <w:tcPr>
            <w:tcW w:w="107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r>
              <w:rPr>
                <w:sz w:val="21"/>
                <w:szCs w:val="21"/>
              </w:rPr>
              <w:t xml:space="preserve"> </w:t>
            </w:r>
          </w:p>
        </w:tc>
      </w:tr>
    </w:tbl>
    <w:p>
      <w:pPr>
        <w:pStyle w:val="11"/>
        <w:spacing w:before="0" w:beforeAutospacing="0" w:after="0" w:afterAutospacing="0"/>
        <w:jc w:val="both"/>
      </w:pPr>
      <w:r>
        <w:rPr>
          <w:rFonts w:hint="eastAsia"/>
          <w:sz w:val="21"/>
          <w:szCs w:val="21"/>
        </w:rPr>
        <w:t>请简要说明根据建筑空间功能的不同，分区温度的设置情况。</w:t>
      </w:r>
      <w:r>
        <w:t xml:space="preserve"> </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421"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ascii="Helvetica" w:hAnsi="Helvetica" w:cs="Helvetica"/>
                <w:color w:val="333333"/>
                <w:sz w:val="21"/>
                <w:szCs w:val="21"/>
                <w:shd w:val="clear" w:color="auto" w:fill="FFFFFF"/>
              </w:rPr>
              <w:t>建筑的功能问题包括以下几个主要方面：</w:t>
            </w:r>
            <w:r>
              <w:rPr>
                <w:sz w:val="20"/>
                <w:szCs w:val="20"/>
              </w:rPr>
              <w:fldChar w:fldCharType="begin"/>
            </w:r>
            <w:r>
              <w:rPr>
                <w:sz w:val="20"/>
                <w:szCs w:val="20"/>
              </w:rPr>
              <w:instrText xml:space="preserve"> HYPERLINK "https://baike.baidu.com/item/%E7%A9%BA%E9%97%B4%E6%9E%84%E6%88%90/4146637?fromModule=lemma_inlink" \t "_blank" </w:instrText>
            </w:r>
            <w:r>
              <w:rPr>
                <w:sz w:val="20"/>
                <w:szCs w:val="20"/>
              </w:rPr>
              <w:fldChar w:fldCharType="separate"/>
            </w:r>
            <w:r>
              <w:rPr>
                <w:rStyle w:val="17"/>
                <w:rFonts w:ascii="Helvetica" w:hAnsi="Helvetica" w:cs="Helvetica"/>
                <w:color w:val="136EC2"/>
                <w:sz w:val="21"/>
                <w:szCs w:val="21"/>
                <w:shd w:val="clear" w:color="auto" w:fill="FFFFFF"/>
              </w:rPr>
              <w:t>空间构成</w:t>
            </w:r>
            <w:r>
              <w:rPr>
                <w:sz w:val="20"/>
                <w:szCs w:val="20"/>
              </w:rPr>
              <w:fldChar w:fldCharType="end"/>
            </w:r>
            <w:r>
              <w:rPr>
                <w:rFonts w:ascii="Helvetica" w:hAnsi="Helvetica" w:cs="Helvetica"/>
                <w:color w:val="333333"/>
                <w:sz w:val="21"/>
                <w:szCs w:val="21"/>
                <w:shd w:val="clear" w:color="auto" w:fill="FFFFFF"/>
              </w:rPr>
              <w:t>、功能分区、人流组织与疏散以及空间的量度、形状和</w:t>
            </w:r>
            <w:r>
              <w:rPr>
                <w:sz w:val="20"/>
                <w:szCs w:val="20"/>
              </w:rPr>
              <w:fldChar w:fldCharType="begin"/>
            </w:r>
            <w:r>
              <w:rPr>
                <w:sz w:val="20"/>
                <w:szCs w:val="20"/>
              </w:rPr>
              <w:instrText xml:space="preserve"> HYPERLINK "https://baike.baidu.com/item/%E7%89%A9%E7%90%86%E7%8E%AF%E5%A2%83/4498502?fromModule=lemma_inlink" \t "_blank" </w:instrText>
            </w:r>
            <w:r>
              <w:rPr>
                <w:sz w:val="20"/>
                <w:szCs w:val="20"/>
              </w:rPr>
              <w:fldChar w:fldCharType="separate"/>
            </w:r>
            <w:r>
              <w:rPr>
                <w:rStyle w:val="17"/>
                <w:rFonts w:ascii="Helvetica" w:hAnsi="Helvetica" w:cs="Helvetica"/>
                <w:color w:val="136EC2"/>
                <w:sz w:val="21"/>
                <w:szCs w:val="21"/>
                <w:shd w:val="clear" w:color="auto" w:fill="FFFFFF"/>
              </w:rPr>
              <w:t>物理环境</w:t>
            </w:r>
            <w:r>
              <w:rPr>
                <w:sz w:val="20"/>
                <w:szCs w:val="20"/>
              </w:rPr>
              <w:fldChar w:fldCharType="end"/>
            </w:r>
            <w:r>
              <w:rPr>
                <w:rFonts w:ascii="Helvetica" w:hAnsi="Helvetica" w:cs="Helvetica"/>
                <w:color w:val="333333"/>
                <w:sz w:val="21"/>
                <w:szCs w:val="21"/>
                <w:shd w:val="clear" w:color="auto" w:fill="FFFFFF"/>
              </w:rPr>
              <w:t>（量、形、质）</w:t>
            </w:r>
            <w:r>
              <w:rPr>
                <w:rFonts w:hint="eastAsia"/>
                <w:sz w:val="20"/>
                <w:szCs w:val="20"/>
              </w:rPr>
              <w:br w:type="textWrapping"/>
            </w:r>
            <w:r>
              <w:rPr>
                <w:rFonts w:hint="eastAsia" w:ascii="MS Mincho" w:hAnsi="MS Mincho" w:eastAsia="MS Mincho" w:cs="MS Mincho"/>
                <w:sz w:val="20"/>
                <w:szCs w:val="20"/>
              </w:rPr>
              <w:t>​</w:t>
            </w:r>
            <w:r>
              <w:rPr>
                <w:rFonts w:ascii="Helvetica" w:hAnsi="Helvetica" w:cs="Helvetica"/>
                <w:color w:val="333333"/>
                <w:sz w:val="21"/>
                <w:szCs w:val="21"/>
                <w:shd w:val="clear" w:color="auto" w:fill="FFFFFF"/>
              </w:rPr>
              <w:t>交通联系部分一般可分为：水平交通、垂直交通和枢纽交通三种基本空间形式。1、走道（水平交通空间）布置要点：应直截了当，防曲折多变，与各部分空间有密切联系，宜有较好的采光和照明。2、</w:t>
            </w:r>
            <w:r>
              <w:rPr>
                <w:sz w:val="20"/>
                <w:szCs w:val="20"/>
              </w:rPr>
              <w:fldChar w:fldCharType="begin"/>
            </w:r>
            <w:r>
              <w:rPr>
                <w:sz w:val="20"/>
                <w:szCs w:val="20"/>
              </w:rPr>
              <w:instrText xml:space="preserve"> HYPERLINK "https://baike.baidu.com/item/%E6%A5%BC%E6%A2%AF?fromModule=lemma_inlink" \t "_blank" </w:instrText>
            </w:r>
            <w:r>
              <w:rPr>
                <w:sz w:val="20"/>
                <w:szCs w:val="20"/>
              </w:rPr>
              <w:fldChar w:fldCharType="separate"/>
            </w:r>
            <w:r>
              <w:rPr>
                <w:rStyle w:val="17"/>
                <w:rFonts w:ascii="Helvetica" w:hAnsi="Helvetica" w:cs="Helvetica"/>
                <w:color w:val="136EC2"/>
                <w:sz w:val="21"/>
                <w:szCs w:val="21"/>
                <w:shd w:val="clear" w:color="auto" w:fill="FFFFFF"/>
              </w:rPr>
              <w:t>楼梯</w:t>
            </w:r>
            <w:r>
              <w:rPr>
                <w:sz w:val="20"/>
                <w:szCs w:val="20"/>
              </w:rPr>
              <w:fldChar w:fldCharType="end"/>
            </w:r>
            <w:r>
              <w:rPr>
                <w:rFonts w:ascii="Helvetica" w:hAnsi="Helvetica" w:cs="Helvetica"/>
                <w:color w:val="333333"/>
                <w:sz w:val="21"/>
                <w:szCs w:val="21"/>
                <w:shd w:val="clear" w:color="auto" w:fill="FFFFFF"/>
              </w:rPr>
              <w:t>（垂直交通空间）布置要点：位置与数量依功能需要和消防要求而定，应靠近交通枢纽，布置均匀并有主次，与使用人流数量相适应。3、门厅或称大堂（交通枢纽空间）布置要点：使用方便、空间得体、结构合理、装修适当、经济有效。应兼顾使用功能和空间意境的创造。</w:t>
            </w:r>
            <w:r>
              <w:rPr>
                <w:rFonts w:hint="eastAsia" w:ascii="MS Mincho" w:hAnsi="MS Mincho" w:eastAsia="MS Mincho" w:cs="MS Mincho"/>
                <w:sz w:val="20"/>
                <w:szCs w:val="20"/>
              </w:rPr>
              <w:t>​​</w:t>
            </w:r>
            <w:r>
              <w:t xml:space="preserve"> </w:t>
            </w:r>
          </w:p>
        </w:tc>
      </w:tr>
    </w:tbl>
    <w:p>
      <w:pPr>
        <w:pStyle w:val="11"/>
        <w:spacing w:before="156" w:beforeAutospacing="0" w:after="156" w:afterAutospacing="0" w:line="300" w:lineRule="atLeast"/>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pPr>
        <w:pStyle w:val="11"/>
        <w:spacing w:before="0" w:beforeAutospacing="0" w:after="0" w:afterAutospacing="0" w:line="300" w:lineRule="atLeast"/>
        <w:jc w:val="both"/>
      </w:pPr>
      <w:r>
        <w:rPr>
          <w:rFonts w:hint="eastAsia"/>
          <w:sz w:val="21"/>
          <w:szCs w:val="21"/>
        </w:rPr>
        <w:t>提交材料及要求：</w:t>
      </w:r>
      <w:r>
        <w:t xml:space="preserve"> </w:t>
      </w:r>
    </w:p>
    <w:p>
      <w:pPr>
        <w:pStyle w:val="11"/>
        <w:spacing w:before="0" w:beforeAutospacing="0" w:after="0" w:afterAutospacing="0" w:line="300" w:lineRule="atLeast"/>
        <w:jc w:val="both"/>
      </w:pPr>
      <w:r>
        <w:rPr>
          <w:rFonts w:ascii="Times New Roman" w:hAnsi="Times New Roman" w:cs="Times New Roman"/>
          <w:sz w:val="21"/>
          <w:szCs w:val="21"/>
        </w:rPr>
        <w:t>1</w:t>
      </w:r>
      <w:r>
        <w:t xml:space="preserve"> </w:t>
      </w:r>
      <w:r>
        <w:rPr>
          <w:rFonts w:hint="eastAsia"/>
          <w:sz w:val="21"/>
          <w:szCs w:val="21"/>
        </w:rPr>
        <w:t>）暖通专业竣工图及设计说明，应包含建筑各功能空间分区温度的设置情况；</w:t>
      </w:r>
      <w:r>
        <w:t xml:space="preserve"> </w:t>
      </w:r>
    </w:p>
    <w:p>
      <w:pPr>
        <w:pStyle w:val="11"/>
        <w:spacing w:before="0" w:beforeAutospacing="0" w:after="0" w:afterAutospacing="0" w:line="300" w:lineRule="atLeast"/>
        <w:jc w:val="both"/>
      </w:pPr>
      <w:r>
        <w:rPr>
          <w:rFonts w:ascii="Times New Roman" w:hAnsi="Times New Roman" w:cs="Times New Roman"/>
          <w:sz w:val="21"/>
          <w:szCs w:val="21"/>
        </w:rPr>
        <w:t>2</w:t>
      </w:r>
      <w:r>
        <w:t xml:space="preserve"> </w:t>
      </w:r>
      <w:r>
        <w:rPr>
          <w:rFonts w:hint="eastAsia"/>
          <w:sz w:val="21"/>
          <w:szCs w:val="21"/>
        </w:rPr>
        <w:t>）建筑各功能空间温湿度检测报告，数据应覆盖三个季度（夏季、冬季、过渡季），且连续数据不少于两周；</w:t>
      </w:r>
      <w:r>
        <w:t xml:space="preserve"> </w:t>
      </w:r>
    </w:p>
    <w:p>
      <w:pPr>
        <w:pStyle w:val="11"/>
        <w:spacing w:before="0" w:beforeAutospacing="0" w:after="0" w:afterAutospacing="0" w:line="300" w:lineRule="atLeast"/>
        <w:jc w:val="both"/>
      </w:pPr>
      <w:r>
        <w:rPr>
          <w:rFonts w:ascii="Times New Roman" w:hAnsi="Times New Roman" w:cs="Times New Roman"/>
          <w:sz w:val="21"/>
          <w:szCs w:val="21"/>
        </w:rPr>
        <w:t>3</w:t>
      </w:r>
      <w:r>
        <w:t xml:space="preserve"> </w:t>
      </w:r>
      <w:r>
        <w:rPr>
          <w:rFonts w:hint="eastAsia"/>
          <w:sz w:val="21"/>
          <w:szCs w:val="21"/>
        </w:rPr>
        <w:t>）暖通空调专业设计说明、暖通设计计算书等。</w:t>
      </w:r>
      <w:r>
        <w:t xml:space="preserve"> </w:t>
      </w:r>
    </w:p>
    <w:p>
      <w:pPr>
        <w:pStyle w:val="11"/>
        <w:spacing w:before="0" w:beforeAutospacing="0" w:after="0" w:afterAutospacing="0" w:line="300" w:lineRule="atLeast"/>
        <w:jc w:val="both"/>
      </w:pPr>
      <w:r>
        <w:rPr>
          <w:rFonts w:hint="eastAsia"/>
          <w:sz w:val="21"/>
          <w:szCs w:val="21"/>
        </w:rPr>
        <w:t>实际提交材料：</w:t>
      </w:r>
      <w:r>
        <w:t xml:space="preserve"> </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400"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暖通设计计算书：5暖通设计/ 暖通设计计算书.docx</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7.1.4 主要功能房间的照明功率密度值不应高于现行国家标准《建筑照明设计标准》GB 50034规定的现行值；公共区域的照明系统应采用分区、定时、感应等节能控制；采光区域的照明控制应独立于其他区域的照明控制。</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简要说明照明系统灯具选型原则、主要灯具型号和参数以及照明节能的控制措施。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341"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支架灯、灯盘采用</w:t>
            </w:r>
            <w:r>
              <w:rPr>
                <w:rFonts w:ascii="Times New Roman" w:hAnsi="Times New Roman" w:cs="Times New Roman"/>
                <w:sz w:val="20"/>
                <w:szCs w:val="20"/>
              </w:rPr>
              <w:t>T5</w:t>
            </w:r>
            <w:r>
              <w:rPr>
                <w:rFonts w:hint="eastAsia"/>
                <w:sz w:val="20"/>
                <w:szCs w:val="20"/>
              </w:rPr>
              <w:t>管</w:t>
            </w:r>
            <w:r>
              <w:rPr>
                <w:rFonts w:ascii="Times New Roman" w:hAnsi="Times New Roman" w:cs="Times New Roman"/>
                <w:sz w:val="20"/>
                <w:szCs w:val="20"/>
              </w:rPr>
              <w:t>LED</w:t>
            </w:r>
            <w:r>
              <w:rPr>
                <w:rFonts w:hint="eastAsia"/>
                <w:sz w:val="20"/>
                <w:szCs w:val="20"/>
              </w:rPr>
              <w:t>灯。</w:t>
            </w:r>
            <w:r>
              <w:rPr>
                <w:rFonts w:ascii="Times New Roman" w:hAnsi="Times New Roman" w:cs="Times New Roman"/>
                <w:sz w:val="20"/>
                <w:szCs w:val="20"/>
              </w:rPr>
              <w:t>LED</w:t>
            </w:r>
            <w:r>
              <w:rPr>
                <w:rFonts w:hint="eastAsia"/>
                <w:sz w:val="20"/>
                <w:szCs w:val="20"/>
              </w:rPr>
              <w:t>的光效值不低于</w:t>
            </w:r>
            <w:r>
              <w:rPr>
                <w:rFonts w:ascii="Times New Roman" w:hAnsi="Times New Roman" w:cs="Times New Roman"/>
                <w:sz w:val="20"/>
                <w:szCs w:val="20"/>
              </w:rPr>
              <w:t>90Lm/W</w:t>
            </w:r>
            <w:r>
              <w:rPr>
                <w:rFonts w:hint="eastAsia"/>
                <w:sz w:val="20"/>
                <w:szCs w:val="20"/>
              </w:rPr>
              <w:t>。显色指数</w:t>
            </w:r>
            <w:r>
              <w:rPr>
                <w:rFonts w:ascii="Times New Roman" w:hAnsi="Times New Roman" w:cs="Times New Roman"/>
                <w:sz w:val="20"/>
                <w:szCs w:val="20"/>
              </w:rPr>
              <w:t>Ra</w:t>
            </w:r>
            <w:r>
              <w:rPr>
                <w:rFonts w:hint="eastAsia"/>
                <w:sz w:val="20"/>
                <w:szCs w:val="20"/>
              </w:rPr>
              <w:t>≥</w:t>
            </w:r>
            <w:r>
              <w:rPr>
                <w:rFonts w:ascii="Times New Roman" w:hAnsi="Times New Roman" w:cs="Times New Roman"/>
                <w:sz w:val="20"/>
                <w:szCs w:val="20"/>
              </w:rPr>
              <w:t>80</w:t>
            </w:r>
            <w:r>
              <w:rPr>
                <w:rFonts w:hint="eastAsia"/>
                <w:sz w:val="20"/>
                <w:szCs w:val="20"/>
              </w:rPr>
              <w:t>；吸顶灯采用</w:t>
            </w:r>
            <w:r>
              <w:rPr>
                <w:rFonts w:ascii="Times New Roman" w:hAnsi="Times New Roman" w:cs="Times New Roman"/>
                <w:sz w:val="20"/>
                <w:szCs w:val="20"/>
              </w:rPr>
              <w:t>T5</w:t>
            </w:r>
            <w:r>
              <w:rPr>
                <w:rFonts w:hint="eastAsia"/>
                <w:sz w:val="20"/>
                <w:szCs w:val="20"/>
              </w:rPr>
              <w:t>环形</w:t>
            </w:r>
            <w:r>
              <w:rPr>
                <w:rFonts w:ascii="Times New Roman" w:hAnsi="Times New Roman" w:cs="Times New Roman"/>
                <w:sz w:val="20"/>
                <w:szCs w:val="20"/>
              </w:rPr>
              <w:t>LED</w:t>
            </w:r>
            <w:r>
              <w:rPr>
                <w:rFonts w:hint="eastAsia"/>
                <w:sz w:val="20"/>
                <w:szCs w:val="20"/>
              </w:rPr>
              <w:t>灯管。首层大堂、电梯厅等公共场所的照明采用自熄式节能开关控制，节能开关选用声光控延时开关。每个房间的灯的开关数不宜少于二个（只设置一个光源的除外），房间或场所装设有两列或多列灯具时，所控灯列宜与侧窗平行，以充分利用自然光。</w:t>
            </w:r>
          </w:p>
        </w:tc>
      </w:tr>
    </w:tbl>
    <w:p>
      <w:pPr>
        <w:pStyle w:val="11"/>
        <w:spacing w:before="0" w:beforeAutospacing="0" w:after="0" w:afterAutospacing="0" w:line="288" w:lineRule="auto"/>
        <w:jc w:val="both"/>
        <w:rPr>
          <w:sz w:val="21"/>
          <w:szCs w:val="21"/>
        </w:rPr>
      </w:pPr>
      <w:r>
        <w:rPr>
          <w:rFonts w:hint="eastAsia"/>
          <w:sz w:val="21"/>
          <w:szCs w:val="21"/>
        </w:rPr>
        <w:t>照明功率设计值：</w:t>
      </w:r>
    </w:p>
    <w:tbl>
      <w:tblPr>
        <w:tblStyle w:val="13"/>
        <w:tblW w:w="4871" w:type="pct"/>
        <w:jc w:val="center"/>
        <w:tblLayout w:type="autofit"/>
        <w:tblCellMar>
          <w:top w:w="0" w:type="dxa"/>
          <w:left w:w="0" w:type="dxa"/>
          <w:bottom w:w="0" w:type="dxa"/>
          <w:right w:w="0" w:type="dxa"/>
        </w:tblCellMar>
      </w:tblPr>
      <w:tblGrid>
        <w:gridCol w:w="1949"/>
        <w:gridCol w:w="1426"/>
        <w:gridCol w:w="1416"/>
        <w:gridCol w:w="1556"/>
        <w:gridCol w:w="1941"/>
      </w:tblGrid>
      <w:tr>
        <w:tblPrEx>
          <w:tblCellMar>
            <w:top w:w="0" w:type="dxa"/>
            <w:left w:w="0" w:type="dxa"/>
            <w:bottom w:w="0" w:type="dxa"/>
            <w:right w:w="0" w:type="dxa"/>
          </w:tblCellMar>
        </w:tblPrEx>
        <w:trPr>
          <w:trHeight w:val="285" w:hRule="atLeast"/>
          <w:jc w:val="center"/>
        </w:trPr>
        <w:tc>
          <w:tcPr>
            <w:tcW w:w="1176"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0"/>
                <w:szCs w:val="20"/>
              </w:rPr>
              <w:t>房间类型</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0"/>
                <w:szCs w:val="20"/>
              </w:rPr>
              <w:t>设计照度值（</w:t>
            </w:r>
            <w:r>
              <w:rPr>
                <w:rFonts w:ascii="Times New Roman" w:hAnsi="Times New Roman" w:cs="Times New Roman"/>
                <w:sz w:val="20"/>
                <w:szCs w:val="20"/>
              </w:rPr>
              <w:t>Lx</w:t>
            </w:r>
            <w:r>
              <w:rPr>
                <w:rFonts w:hint="eastAsia"/>
                <w:sz w:val="20"/>
                <w:szCs w:val="20"/>
              </w:rPr>
              <w:t>）</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0"/>
                <w:szCs w:val="20"/>
              </w:rPr>
              <w:t>照明功率密度（</w:t>
            </w:r>
            <w:r>
              <w:rPr>
                <w:rFonts w:ascii="Times New Roman" w:hAnsi="Times New Roman" w:cs="Times New Roman"/>
                <w:sz w:val="20"/>
                <w:szCs w:val="20"/>
              </w:rPr>
              <w:t>W/m</w:t>
            </w:r>
            <w:r>
              <w:rPr>
                <w:rFonts w:ascii="Times New Roman" w:hAnsi="Times New Roman" w:cs="Times New Roman"/>
                <w:sz w:val="13"/>
                <w:szCs w:val="13"/>
                <w:vertAlign w:val="superscript"/>
              </w:rPr>
              <w:t>2</w:t>
            </w:r>
            <w:r>
              <w:rPr>
                <w:rFonts w:ascii="Times New Roman" w:hAnsi="Times New Roman" w:cs="Times New Roman"/>
                <w:sz w:val="20"/>
                <w:szCs w:val="20"/>
              </w:rPr>
              <w:t>)</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860"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0"/>
                <w:szCs w:val="20"/>
              </w:rPr>
              <w:t>实际值</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0"/>
                <w:szCs w:val="20"/>
              </w:rPr>
              <w:t>标准值</w:t>
            </w:r>
          </w:p>
        </w:tc>
        <w:tc>
          <w:tcPr>
            <w:tcW w:w="939"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0"/>
                <w:szCs w:val="20"/>
              </w:rPr>
              <w:t>实际值</w:t>
            </w:r>
          </w:p>
        </w:tc>
        <w:tc>
          <w:tcPr>
            <w:tcW w:w="1171" w:type="pct"/>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0"/>
                <w:szCs w:val="20"/>
              </w:rPr>
              <w:t>现行值</w:t>
            </w:r>
          </w:p>
        </w:tc>
      </w:tr>
      <w:tr>
        <w:tblPrEx>
          <w:tblCellMar>
            <w:top w:w="0" w:type="dxa"/>
            <w:left w:w="0" w:type="dxa"/>
            <w:bottom w:w="0" w:type="dxa"/>
            <w:right w:w="0" w:type="dxa"/>
          </w:tblCellMar>
        </w:tblPrEx>
        <w:trPr>
          <w:trHeight w:val="285" w:hRule="atLeast"/>
          <w:jc w:val="center"/>
        </w:trPr>
        <w:tc>
          <w:tcPr>
            <w:tcW w:w="1176"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活动室 </w:t>
            </w:r>
          </w:p>
        </w:tc>
        <w:tc>
          <w:tcPr>
            <w:tcW w:w="860"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150 </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200 </w:t>
            </w:r>
          </w:p>
        </w:tc>
        <w:tc>
          <w:tcPr>
            <w:tcW w:w="939"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9.78</w:t>
            </w:r>
          </w:p>
        </w:tc>
        <w:tc>
          <w:tcPr>
            <w:tcW w:w="117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11</w:t>
            </w:r>
          </w:p>
        </w:tc>
      </w:tr>
      <w:tr>
        <w:tblPrEx>
          <w:tblCellMar>
            <w:top w:w="0" w:type="dxa"/>
            <w:left w:w="0" w:type="dxa"/>
            <w:bottom w:w="0" w:type="dxa"/>
            <w:right w:w="0" w:type="dxa"/>
          </w:tblCellMar>
        </w:tblPrEx>
        <w:trPr>
          <w:trHeight w:val="285" w:hRule="atLeast"/>
          <w:jc w:val="center"/>
        </w:trPr>
        <w:tc>
          <w:tcPr>
            <w:tcW w:w="1176"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多功能厅 </w:t>
            </w:r>
          </w:p>
        </w:tc>
        <w:tc>
          <w:tcPr>
            <w:tcW w:w="860"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150</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200</w:t>
            </w:r>
          </w:p>
        </w:tc>
        <w:tc>
          <w:tcPr>
            <w:tcW w:w="939"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9.85</w:t>
            </w:r>
          </w:p>
        </w:tc>
        <w:tc>
          <w:tcPr>
            <w:tcW w:w="117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11</w:t>
            </w:r>
          </w:p>
        </w:tc>
      </w:tr>
      <w:tr>
        <w:tblPrEx>
          <w:tblCellMar>
            <w:top w:w="0" w:type="dxa"/>
            <w:left w:w="0" w:type="dxa"/>
            <w:bottom w:w="0" w:type="dxa"/>
            <w:right w:w="0" w:type="dxa"/>
          </w:tblCellMar>
        </w:tblPrEx>
        <w:trPr>
          <w:trHeight w:val="285" w:hRule="atLeast"/>
          <w:jc w:val="center"/>
        </w:trPr>
        <w:tc>
          <w:tcPr>
            <w:tcW w:w="1176"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办公室</w:t>
            </w:r>
          </w:p>
        </w:tc>
        <w:tc>
          <w:tcPr>
            <w:tcW w:w="860"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300</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300 </w:t>
            </w:r>
          </w:p>
        </w:tc>
        <w:tc>
          <w:tcPr>
            <w:tcW w:w="939"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9.26</w:t>
            </w:r>
          </w:p>
        </w:tc>
        <w:tc>
          <w:tcPr>
            <w:tcW w:w="117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11</w:t>
            </w:r>
          </w:p>
        </w:tc>
      </w:tr>
      <w:tr>
        <w:tblPrEx>
          <w:tblCellMar>
            <w:top w:w="0" w:type="dxa"/>
            <w:left w:w="0" w:type="dxa"/>
            <w:bottom w:w="0" w:type="dxa"/>
            <w:right w:w="0" w:type="dxa"/>
          </w:tblCellMar>
        </w:tblPrEx>
        <w:trPr>
          <w:trHeight w:val="285" w:hRule="atLeast"/>
          <w:jc w:val="center"/>
        </w:trPr>
        <w:tc>
          <w:tcPr>
            <w:tcW w:w="1176"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60"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939"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17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5" w:hRule="atLeast"/>
          <w:jc w:val="center"/>
        </w:trPr>
        <w:tc>
          <w:tcPr>
            <w:tcW w:w="11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60"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93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171"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5" w:hRule="atLeast"/>
          <w:jc w:val="center"/>
        </w:trPr>
        <w:tc>
          <w:tcPr>
            <w:tcW w:w="11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60"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93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171"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r>
        <w:tblPrEx>
          <w:tblCellMar>
            <w:top w:w="0" w:type="dxa"/>
            <w:left w:w="0" w:type="dxa"/>
            <w:bottom w:w="0" w:type="dxa"/>
            <w:right w:w="0" w:type="dxa"/>
          </w:tblCellMar>
        </w:tblPrEx>
        <w:trPr>
          <w:trHeight w:val="285" w:hRule="atLeast"/>
          <w:jc w:val="center"/>
        </w:trPr>
        <w:tc>
          <w:tcPr>
            <w:tcW w:w="1176"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60"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854"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939"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171"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）电气专业竣工图及设计说明；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）与照明相关的装修竣工图及设计说明，应包含照明设计要求、照明设计标准、照明控制措施；</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）灯具产品说明书；</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）照明功率密度计算分析报告、现场检测报告。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75"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电气专业设计图及设计说明：8电气设计/ 电气设计说明.docx</w:t>
            </w:r>
          </w:p>
        </w:tc>
      </w:tr>
    </w:tbl>
    <w:p>
      <w:pPr>
        <w:rPr>
          <w:rFonts w:ascii="Times New Roman" w:hAnsi="Times New Roman" w:cs="Times New Roman"/>
          <w:b/>
          <w:bCs/>
        </w:rPr>
      </w:pP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7.1.5冷热源、输配系统和照明等各部分能耗应进行独立分项计量。</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8"/>
          <w:szCs w:val="28"/>
        </w:rPr>
      </w:pPr>
      <w:r>
        <w:rPr>
          <w:rFonts w:hint="eastAsia"/>
          <w:sz w:val="21"/>
          <w:szCs w:val="21"/>
        </w:rPr>
        <w:t>分项计量内容：</w:t>
      </w:r>
      <w:r>
        <w:rPr>
          <w:rStyle w:val="25"/>
          <w:rFonts w:hint="eastAsia" w:ascii="MS Mincho" w:hAnsi="MS Mincho" w:eastAsia="MS Mincho" w:cs="MS Mincho"/>
          <w:sz w:val="28"/>
          <w:szCs w:val="28"/>
        </w:rPr>
        <w:t>☑</w:t>
      </w:r>
      <w:r>
        <w:rPr>
          <w:rFonts w:hint="eastAsia"/>
          <w:sz w:val="21"/>
          <w:szCs w:val="21"/>
        </w:rPr>
        <w:t xml:space="preserve">冷热源  </w:t>
      </w:r>
      <w:r>
        <w:rPr>
          <w:rStyle w:val="25"/>
          <w:rFonts w:hint="eastAsia" w:ascii="MS Mincho" w:hAnsi="MS Mincho" w:eastAsia="MS Mincho" w:cs="MS Mincho"/>
          <w:sz w:val="28"/>
          <w:szCs w:val="28"/>
        </w:rPr>
        <w:t>☑</w:t>
      </w:r>
      <w:r>
        <w:rPr>
          <w:rFonts w:hint="eastAsia"/>
          <w:sz w:val="21"/>
          <w:szCs w:val="21"/>
        </w:rPr>
        <w:t xml:space="preserve">输配系统  </w:t>
      </w:r>
      <w:r>
        <w:rPr>
          <w:rStyle w:val="25"/>
          <w:rFonts w:hint="eastAsia" w:ascii="MS Mincho" w:hAnsi="MS Mincho" w:eastAsia="MS Mincho" w:cs="MS Mincho"/>
          <w:sz w:val="28"/>
          <w:szCs w:val="28"/>
        </w:rPr>
        <w:t>☑</w:t>
      </w:r>
      <w:r>
        <w:rPr>
          <w:rFonts w:hint="eastAsia"/>
          <w:sz w:val="21"/>
          <w:szCs w:val="21"/>
        </w:rPr>
        <w:t xml:space="preserve">照明  </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p>
    <w:p>
      <w:pPr>
        <w:pStyle w:val="11"/>
        <w:spacing w:before="0" w:beforeAutospacing="0" w:after="0" w:afterAutospacing="0"/>
        <w:jc w:val="both"/>
      </w:pPr>
      <w:r>
        <w:rPr>
          <w:rFonts w:hint="eastAsia"/>
          <w:sz w:val="21"/>
          <w:szCs w:val="21"/>
        </w:rPr>
        <w:t>简要说明独立分项计量系统的设计、应用情况。</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供暖热源由市政热力管网提供，经小区换热站换热后进入楼栋热力小室，再经过分层水暖井计量小室分户计量后进入各个供暖用户。</w:t>
            </w:r>
          </w:p>
          <w:p>
            <w:pPr>
              <w:pStyle w:val="11"/>
              <w:spacing w:before="0" w:beforeAutospacing="0" w:after="0" w:afterAutospacing="0"/>
              <w:ind w:firstLine="400"/>
            </w:pPr>
            <w:r>
              <w:rPr>
                <w:rFonts w:hint="eastAsia"/>
                <w:sz w:val="20"/>
                <w:szCs w:val="20"/>
              </w:rPr>
              <w:t>本工程每户采用一台全热回收除霾抗菌新风空调一体机。该机组利用空气源热泵作为冷热源，对各房间进行供冷、供热、新风供给与净化，耗能为电能，可设置独立电表记录。</w:t>
            </w:r>
          </w:p>
          <w:p>
            <w:pPr>
              <w:pStyle w:val="11"/>
              <w:spacing w:before="0" w:beforeAutospacing="0" w:after="0" w:afterAutospacing="0"/>
              <w:ind w:firstLine="400"/>
            </w:pPr>
            <w:r>
              <w:rPr>
                <w:rFonts w:hint="eastAsia"/>
                <w:sz w:val="20"/>
                <w:szCs w:val="20"/>
              </w:rPr>
              <w:t>供暖冷热源由热泵机组提供，供暖制冷能耗以电量表计量。</w:t>
            </w:r>
          </w:p>
          <w:p>
            <w:pPr>
              <w:pStyle w:val="11"/>
              <w:spacing w:before="0" w:beforeAutospacing="0" w:after="0" w:afterAutospacing="0"/>
              <w:ind w:firstLine="400"/>
            </w:pPr>
            <w:r>
              <w:rPr>
                <w:rFonts w:hint="eastAsia"/>
                <w:sz w:val="20"/>
                <w:szCs w:val="20"/>
              </w:rPr>
              <w:t>本工程供热热源、输配系统、照明插座用电系统、动力用电、特殊用电系统等均实行能耗分项计量，分别设置计量装置。</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与分项计量相关的电气、给排水、暖通专业竣工图及设计说明，应包含分项计量的内容、系统图、给水、热水、中水系统图、供暖空调系统水系统图、电气计量表计所涉及的电气低压配电系统图、配电箱系统图、暖通空调冷热源机房、计量小室及其控制系统图、各类计量表计的设置要求及位置等；</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）计量表的产品采购清单及产品说明、设备材料表；</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）与分项计量相关的竣工验收记录、现场检查记录、运行调试记录。</w:t>
      </w:r>
    </w:p>
    <w:p>
      <w:pPr>
        <w:pStyle w:val="11"/>
        <w:spacing w:before="0" w:beforeAutospacing="0" w:after="0" w:afterAutospacing="0"/>
        <w:ind w:left="36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电气专业设计图及设计说明：8电气设计/ 电气设计说明.docx</w:t>
            </w:r>
            <w:r>
              <w:rPr>
                <w:rFonts w:ascii="Times New Roman" w:hAnsi="Times New Roman" w:cs="Times New Roman"/>
                <w:sz w:val="20"/>
                <w:szCs w:val="20"/>
              </w:rPr>
              <w:br w:type="textWrapping"/>
            </w:r>
            <w:r>
              <w:rPr>
                <w:rStyle w:val="26"/>
                <w:rFonts w:ascii="Times New Roman" w:hAnsi="Times New Roman" w:cs="Times New Roman"/>
                <w:sz w:val="20"/>
                <w:szCs w:val="20"/>
              </w:rPr>
              <w:t>给排水专业图纸及设计说明：6给排水设计/ 建筑施工图.dwg</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7.1.6 垂直电梯应采取群控、变频调速或能量反馈等节能措施；自动扶梯应采用变频感应启动等节能控制措施。</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8"/>
          <w:szCs w:val="28"/>
        </w:rPr>
      </w:pPr>
      <w:r>
        <w:rPr>
          <w:rFonts w:hint="eastAsia"/>
          <w:sz w:val="21"/>
          <w:szCs w:val="21"/>
        </w:rPr>
        <w:t>垂直电梯节能措施：</w:t>
      </w:r>
      <w:r>
        <w:rPr>
          <w:rStyle w:val="25"/>
          <w:rFonts w:hint="eastAsia" w:ascii="MS Mincho" w:hAnsi="MS Mincho" w:eastAsia="MS Mincho" w:cs="MS Mincho"/>
          <w:sz w:val="28"/>
          <w:szCs w:val="28"/>
        </w:rPr>
        <w:t>☑</w:t>
      </w:r>
      <w:r>
        <w:rPr>
          <w:rFonts w:hint="eastAsia"/>
          <w:sz w:val="21"/>
          <w:szCs w:val="21"/>
        </w:rPr>
        <w:t xml:space="preserve">群控   </w:t>
      </w:r>
      <w:r>
        <w:rPr>
          <w:rStyle w:val="25"/>
          <w:rFonts w:hint="eastAsia" w:ascii="MS Mincho" w:hAnsi="MS Mincho" w:eastAsia="MS Mincho" w:cs="MS Mincho"/>
          <w:sz w:val="28"/>
          <w:szCs w:val="28"/>
        </w:rPr>
        <w:t>☑</w:t>
      </w:r>
      <w:r>
        <w:rPr>
          <w:rFonts w:hint="eastAsia"/>
          <w:sz w:val="21"/>
          <w:szCs w:val="21"/>
        </w:rPr>
        <w:t xml:space="preserve">变频调速   </w:t>
      </w:r>
      <w:r>
        <w:rPr>
          <w:rStyle w:val="25"/>
          <w:rFonts w:hint="eastAsia" w:ascii="MS Mincho" w:hAnsi="MS Mincho" w:eastAsia="MS Mincho" w:cs="MS Mincho"/>
          <w:sz w:val="28"/>
          <w:szCs w:val="28"/>
        </w:rPr>
        <w:t>☑</w:t>
      </w:r>
      <w:r>
        <w:rPr>
          <w:rFonts w:hint="eastAsia"/>
          <w:sz w:val="21"/>
          <w:szCs w:val="21"/>
        </w:rPr>
        <w:t xml:space="preserve">能量反馈   </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p>
    <w:p>
      <w:pPr>
        <w:pStyle w:val="11"/>
        <w:spacing w:before="0" w:beforeAutospacing="0" w:after="0" w:afterAutospacing="0" w:line="288" w:lineRule="auto"/>
        <w:jc w:val="both"/>
        <w:rPr>
          <w:sz w:val="28"/>
          <w:szCs w:val="28"/>
        </w:rPr>
      </w:pPr>
      <w:r>
        <w:rPr>
          <w:rFonts w:hint="eastAsia"/>
          <w:sz w:val="21"/>
          <w:szCs w:val="21"/>
        </w:rPr>
        <w:t>自动扶梯节能措施：</w:t>
      </w:r>
      <w:r>
        <w:rPr>
          <w:rStyle w:val="25"/>
          <w:rFonts w:hint="eastAsia" w:ascii="MS Mincho" w:hAnsi="MS Mincho" w:eastAsia="MS Mincho" w:cs="MS Mincho"/>
          <w:sz w:val="28"/>
          <w:szCs w:val="28"/>
        </w:rPr>
        <w:t>☑</w:t>
      </w:r>
      <w:r>
        <w:rPr>
          <w:rFonts w:hint="eastAsia"/>
          <w:sz w:val="21"/>
          <w:szCs w:val="21"/>
        </w:rPr>
        <w:t xml:space="preserve">变频感应启停   </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p>
    <w:p>
      <w:pPr>
        <w:pStyle w:val="11"/>
        <w:spacing w:before="0" w:beforeAutospacing="0" w:after="0" w:afterAutospacing="0"/>
        <w:jc w:val="both"/>
      </w:pPr>
      <w:r>
        <w:rPr>
          <w:rFonts w:hint="eastAsia"/>
          <w:sz w:val="21"/>
          <w:szCs w:val="21"/>
        </w:rPr>
        <w:t>请简要说明电梯和自动扶梯的节能控制措施。</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两台电梯采用并联控制方式。</w:t>
            </w:r>
          </w:p>
          <w:p>
            <w:pPr>
              <w:pStyle w:val="11"/>
              <w:spacing w:before="0" w:beforeAutospacing="0" w:after="0" w:afterAutospacing="0"/>
              <w:ind w:firstLine="400"/>
            </w:pPr>
            <w:r>
              <w:rPr>
                <w:rFonts w:hint="eastAsia"/>
                <w:sz w:val="20"/>
                <w:szCs w:val="20"/>
              </w:rPr>
              <w:t>电梯无厅外召唤信号，且在一段时间内也没有轿内指令时，自动切断照明、风扇电源，以利节能。</w:t>
            </w:r>
          </w:p>
          <w:p>
            <w:pPr>
              <w:pStyle w:val="11"/>
              <w:spacing w:before="0" w:beforeAutospacing="0" w:after="0" w:afterAutospacing="0"/>
              <w:ind w:firstLine="400"/>
            </w:pPr>
            <w:r>
              <w:rPr>
                <w:rFonts w:hint="eastAsia"/>
                <w:sz w:val="20"/>
                <w:szCs w:val="20"/>
              </w:rPr>
              <w:t>电梯采用无齿轮永磁同步电梯；电梯安装电能回馈装置，使得损耗的电能得以回收、利用，消除电阻发热原件，大大降低机房温度；在电梯中安装变频驱动装置；制定合理的电梯运行规程，在日常工作中尽量合理疏导乘客集中乘梯，减少电梯运行次数，通过疏导尽量平衡各电梯使用时间。</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）建筑专业竣工图及设计说明，应包含设备表等设计文件；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）电梯及扶梯订货清单及产品资料、电梯产品性能检测报告；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）电梯与自动扶梯人流平衡计算分析报告。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7.1.7应制定水资源利用方案，统筹利用各种水资源。</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请简要说明水系统利用方案的内容。</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水源：本项目以市政给水管网为水源，从西面市政路引入一路</w:t>
            </w:r>
            <w:r>
              <w:rPr>
                <w:rFonts w:ascii="Times New Roman" w:hAnsi="Times New Roman" w:cs="Times New Roman"/>
                <w:sz w:val="20"/>
                <w:szCs w:val="20"/>
              </w:rPr>
              <w:t xml:space="preserve">DN100 </w:t>
            </w:r>
            <w:r>
              <w:rPr>
                <w:rFonts w:hint="eastAsia"/>
                <w:sz w:val="20"/>
                <w:szCs w:val="20"/>
              </w:rPr>
              <w:t>的给水管，并向室内各用水点供水，甲方提供基本水压为</w:t>
            </w:r>
            <w:r>
              <w:rPr>
                <w:rFonts w:ascii="Times New Roman" w:hAnsi="Times New Roman" w:cs="Times New Roman"/>
                <w:sz w:val="20"/>
                <w:szCs w:val="20"/>
              </w:rPr>
              <w:t>0.25MPa</w:t>
            </w:r>
            <w:r>
              <w:rPr>
                <w:rFonts w:hint="eastAsia"/>
                <w:sz w:val="20"/>
                <w:szCs w:val="20"/>
              </w:rPr>
              <w:t>。从西面市政路和南面市政给水管引入两路</w:t>
            </w:r>
            <w:r>
              <w:rPr>
                <w:rFonts w:ascii="Times New Roman" w:hAnsi="Times New Roman" w:cs="Times New Roman"/>
                <w:sz w:val="20"/>
                <w:szCs w:val="20"/>
              </w:rPr>
              <w:t xml:space="preserve">DN100 </w:t>
            </w:r>
            <w:r>
              <w:rPr>
                <w:rFonts w:hint="eastAsia"/>
                <w:sz w:val="20"/>
                <w:szCs w:val="20"/>
              </w:rPr>
              <w:t>的给水管与小区内形成环网，按照消防规范在环网管道适当位置设置室外消火栓，确保本小区的消防用水。</w:t>
            </w:r>
          </w:p>
          <w:p>
            <w:pPr>
              <w:pStyle w:val="11"/>
              <w:spacing w:before="0" w:beforeAutospacing="0" w:after="0" w:afterAutospacing="0"/>
              <w:ind w:firstLine="400"/>
            </w:pPr>
            <w:r>
              <w:rPr>
                <w:rFonts w:hint="eastAsia"/>
                <w:sz w:val="20"/>
                <w:szCs w:val="20"/>
              </w:rPr>
              <w:t>给水系统：生活给水系统分为市政直供及加压供水系统。本工程生活给水系统：</w:t>
            </w:r>
            <w:r>
              <w:rPr>
                <w:rFonts w:ascii="Times New Roman" w:hAnsi="Times New Roman" w:cs="Times New Roman"/>
                <w:sz w:val="20"/>
                <w:szCs w:val="20"/>
              </w:rPr>
              <w:t xml:space="preserve">-1F </w:t>
            </w:r>
            <w:r>
              <w:rPr>
                <w:rFonts w:hint="eastAsia"/>
                <w:sz w:val="20"/>
                <w:szCs w:val="20"/>
              </w:rPr>
              <w:t>至</w:t>
            </w:r>
            <w:r>
              <w:rPr>
                <w:rFonts w:ascii="Times New Roman" w:hAnsi="Times New Roman" w:cs="Times New Roman"/>
                <w:sz w:val="20"/>
                <w:szCs w:val="20"/>
              </w:rPr>
              <w:t xml:space="preserve">1F </w:t>
            </w:r>
            <w:r>
              <w:rPr>
                <w:rFonts w:hint="eastAsia"/>
                <w:sz w:val="20"/>
                <w:szCs w:val="20"/>
              </w:rPr>
              <w:t>直接由市政供水，</w:t>
            </w:r>
            <w:r>
              <w:rPr>
                <w:rFonts w:ascii="Times New Roman" w:hAnsi="Times New Roman" w:cs="Times New Roman"/>
                <w:sz w:val="20"/>
                <w:szCs w:val="20"/>
              </w:rPr>
              <w:t xml:space="preserve">2F </w:t>
            </w:r>
            <w:r>
              <w:rPr>
                <w:rFonts w:hint="eastAsia"/>
                <w:sz w:val="20"/>
                <w:szCs w:val="20"/>
              </w:rPr>
              <w:t>至</w:t>
            </w:r>
            <w:r>
              <w:rPr>
                <w:rFonts w:ascii="Times New Roman" w:hAnsi="Times New Roman" w:cs="Times New Roman"/>
                <w:sz w:val="20"/>
                <w:szCs w:val="20"/>
              </w:rPr>
              <w:t xml:space="preserve">7F </w:t>
            </w:r>
            <w:r>
              <w:rPr>
                <w:rFonts w:hint="eastAsia"/>
                <w:sz w:val="20"/>
                <w:szCs w:val="20"/>
              </w:rPr>
              <w:t>设于负一层泵房内的变频泵组加压供水，采用支管减压措施，阀后压力为</w:t>
            </w:r>
            <w:r>
              <w:rPr>
                <w:rFonts w:ascii="Times New Roman" w:hAnsi="Times New Roman" w:cs="Times New Roman"/>
                <w:sz w:val="20"/>
                <w:szCs w:val="20"/>
              </w:rPr>
              <w:t>0.20MPa</w:t>
            </w:r>
            <w:r>
              <w:rPr>
                <w:rFonts w:hint="eastAsia"/>
                <w:sz w:val="20"/>
                <w:szCs w:val="20"/>
              </w:rPr>
              <w:t>。</w:t>
            </w:r>
          </w:p>
          <w:p>
            <w:pPr>
              <w:pStyle w:val="11"/>
              <w:spacing w:before="0" w:beforeAutospacing="0" w:after="0" w:afterAutospacing="0"/>
              <w:ind w:firstLine="400"/>
            </w:pPr>
            <w:r>
              <w:rPr>
                <w:rFonts w:hint="eastAsia"/>
                <w:sz w:val="20"/>
                <w:szCs w:val="20"/>
              </w:rPr>
              <w:t>排水系统：本项目室内生活污、废水合流排放，生活污水与废水分流排放，室外采用雨污</w:t>
            </w:r>
          </w:p>
          <w:p>
            <w:pPr>
              <w:pStyle w:val="11"/>
              <w:spacing w:before="0" w:beforeAutospacing="0" w:after="0" w:afterAutospacing="0"/>
            </w:pPr>
            <w:r>
              <w:rPr>
                <w:rFonts w:hint="eastAsia"/>
                <w:sz w:val="20"/>
                <w:szCs w:val="20"/>
              </w:rPr>
              <w:t>分流、污废合流体制。污废水直接排至室外化粪池，室外污废水收集经化粪池处理后再排入市政污水管道，厨房废水经隔油池处理后再排入市政污水管道；室内地下车库冲洗废水汇集至地下室各集水坑</w:t>
            </w:r>
            <w:r>
              <w:rPr>
                <w:rFonts w:ascii="Times New Roman" w:hAnsi="Times New Roman" w:cs="Times New Roman"/>
                <w:sz w:val="20"/>
                <w:szCs w:val="20"/>
              </w:rPr>
              <w:t xml:space="preserve">, </w:t>
            </w:r>
            <w:r>
              <w:rPr>
                <w:rFonts w:hint="eastAsia"/>
                <w:sz w:val="20"/>
                <w:szCs w:val="20"/>
              </w:rPr>
              <w:t>由潜污泵提升至室外污水井；雨水经室外雨水检查井最终排至周边市政道路雨水管网面，雨水按重力、满流雨水排水系统设计，屋面雨水由</w:t>
            </w:r>
            <w:r>
              <w:rPr>
                <w:rFonts w:ascii="Times New Roman" w:hAnsi="Times New Roman" w:cs="Times New Roman"/>
                <w:sz w:val="20"/>
                <w:szCs w:val="20"/>
              </w:rPr>
              <w:t xml:space="preserve">87 </w:t>
            </w:r>
            <w:r>
              <w:rPr>
                <w:rFonts w:hint="eastAsia"/>
                <w:sz w:val="20"/>
                <w:szCs w:val="20"/>
              </w:rPr>
              <w:t>型雨水斗、侧墙式雨水斗收集，经雨水立管排至室外雨水管道。</w:t>
            </w:r>
          </w:p>
          <w:p>
            <w:pPr>
              <w:pStyle w:val="11"/>
              <w:spacing w:before="0" w:beforeAutospacing="0" w:after="0" w:afterAutospacing="0"/>
              <w:ind w:firstLine="400"/>
            </w:pPr>
            <w:r>
              <w:rPr>
                <w:rFonts w:hint="eastAsia"/>
                <w:sz w:val="20"/>
                <w:szCs w:val="20"/>
              </w:rPr>
              <w:t>管材：合理选择供水的材质及管径，选用良好的卫生器具，控制其漏水量，选用性能好的</w:t>
            </w:r>
          </w:p>
          <w:p>
            <w:pPr>
              <w:pStyle w:val="11"/>
              <w:spacing w:before="0" w:beforeAutospacing="0" w:after="0" w:afterAutospacing="0"/>
            </w:pPr>
            <w:r>
              <w:rPr>
                <w:rFonts w:hint="eastAsia"/>
                <w:sz w:val="20"/>
                <w:szCs w:val="20"/>
              </w:rPr>
              <w:t>阀门，并在阀前增设软密封闭阀，合理设置检修阀门的位置。各用水部门采用计量收费</w:t>
            </w:r>
            <w:r>
              <w:rPr>
                <w:rFonts w:ascii="Times New Roman" w:hAnsi="Times New Roman" w:cs="Times New Roman"/>
                <w:sz w:val="20"/>
                <w:szCs w:val="20"/>
              </w:rPr>
              <w:t>,</w:t>
            </w:r>
            <w:r>
              <w:rPr>
                <w:rFonts w:hint="eastAsia"/>
                <w:sz w:val="20"/>
                <w:szCs w:val="20"/>
              </w:rPr>
              <w:t>不</w:t>
            </w:r>
          </w:p>
          <w:p>
            <w:pPr>
              <w:pStyle w:val="11"/>
              <w:spacing w:before="0" w:beforeAutospacing="0" w:after="0" w:afterAutospacing="0"/>
            </w:pPr>
            <w:r>
              <w:rPr>
                <w:rFonts w:hint="eastAsia"/>
                <w:sz w:val="20"/>
                <w:szCs w:val="20"/>
              </w:rPr>
              <w:t>同用途的用水单设水表，水表安装率达</w:t>
            </w:r>
            <w:r>
              <w:rPr>
                <w:rFonts w:ascii="Times New Roman" w:hAnsi="Times New Roman" w:cs="Times New Roman"/>
                <w:sz w:val="20"/>
                <w:szCs w:val="20"/>
              </w:rPr>
              <w:t>100%</w:t>
            </w:r>
            <w:r>
              <w:rPr>
                <w:rFonts w:hint="eastAsia"/>
                <w:sz w:val="20"/>
                <w:szCs w:val="20"/>
              </w:rPr>
              <w:t>。</w:t>
            </w:r>
          </w:p>
          <w:p>
            <w:pPr>
              <w:pStyle w:val="11"/>
              <w:spacing w:before="0" w:beforeAutospacing="0" w:after="0" w:afterAutospacing="0"/>
              <w:ind w:firstLine="400"/>
            </w:pPr>
            <w:r>
              <w:rPr>
                <w:rFonts w:hint="eastAsia"/>
                <w:sz w:val="20"/>
                <w:szCs w:val="20"/>
              </w:rPr>
              <w:t>节水器具：用较高用水效率等级的卫生器具，用水效率等级达到一级。坐便器采用设有大、小便分档的冲洗水箱（</w:t>
            </w:r>
            <w:r>
              <w:rPr>
                <w:rFonts w:ascii="Times New Roman" w:hAnsi="Times New Roman" w:cs="Times New Roman"/>
                <w:sz w:val="20"/>
                <w:szCs w:val="20"/>
              </w:rPr>
              <w:t>3L/4.5L</w:t>
            </w:r>
            <w:r>
              <w:rPr>
                <w:rFonts w:hint="eastAsia"/>
                <w:sz w:val="20"/>
                <w:szCs w:val="20"/>
              </w:rPr>
              <w:t>）</w:t>
            </w:r>
            <w:r>
              <w:rPr>
                <w:rFonts w:ascii="Times New Roman" w:hAnsi="Times New Roman" w:cs="Times New Roman"/>
                <w:sz w:val="20"/>
                <w:szCs w:val="20"/>
              </w:rPr>
              <w:t>;</w:t>
            </w:r>
            <w:r>
              <w:rPr>
                <w:rFonts w:hint="eastAsia"/>
                <w:sz w:val="20"/>
                <w:szCs w:val="20"/>
              </w:rPr>
              <w:t>蹲便器采用延时自闭式冲洗阀；小便器采用应在</w:t>
            </w:r>
            <w:r>
              <w:rPr>
                <w:rFonts w:ascii="Times New Roman" w:hAnsi="Times New Roman" w:cs="Times New Roman"/>
                <w:sz w:val="20"/>
                <w:szCs w:val="20"/>
              </w:rPr>
              <w:t>2S</w:t>
            </w:r>
            <w:r>
              <w:rPr>
                <w:rFonts w:hint="eastAsia"/>
                <w:sz w:val="20"/>
                <w:szCs w:val="20"/>
              </w:rPr>
              <w:t>内自动止水的感应式冲洗阀</w:t>
            </w:r>
            <w:r>
              <w:rPr>
                <w:rFonts w:ascii="Times New Roman" w:hAnsi="Times New Roman" w:cs="Times New Roman"/>
                <w:sz w:val="20"/>
                <w:szCs w:val="20"/>
              </w:rPr>
              <w:t>,</w:t>
            </w:r>
            <w:r>
              <w:rPr>
                <w:rFonts w:hint="eastAsia"/>
                <w:sz w:val="20"/>
                <w:szCs w:val="20"/>
              </w:rPr>
              <w:t>非正常供电电压下应自动断水</w:t>
            </w:r>
            <w:r>
              <w:rPr>
                <w:rFonts w:ascii="Times New Roman" w:hAnsi="Times New Roman" w:cs="Times New Roman"/>
                <w:sz w:val="20"/>
                <w:szCs w:val="20"/>
              </w:rPr>
              <w:t>,</w:t>
            </w:r>
            <w:r>
              <w:rPr>
                <w:rFonts w:hint="eastAsia"/>
                <w:sz w:val="20"/>
                <w:szCs w:val="20"/>
              </w:rPr>
              <w:t>一次冲水量不大于</w:t>
            </w:r>
            <w:r>
              <w:rPr>
                <w:rFonts w:ascii="Times New Roman" w:hAnsi="Times New Roman" w:cs="Times New Roman"/>
                <w:sz w:val="20"/>
                <w:szCs w:val="20"/>
              </w:rPr>
              <w:t>2.0L</w:t>
            </w:r>
            <w:r>
              <w:rPr>
                <w:rFonts w:hint="eastAsia"/>
                <w:sz w:val="20"/>
                <w:szCs w:val="20"/>
              </w:rPr>
              <w:t>；公共场所洗手盆采用充气式感应龙头、其它洗手盆采用节能水龙头最大流量不大于</w:t>
            </w:r>
            <w:r>
              <w:rPr>
                <w:rFonts w:ascii="Times New Roman" w:hAnsi="Times New Roman" w:cs="Times New Roman"/>
                <w:sz w:val="20"/>
                <w:szCs w:val="20"/>
              </w:rPr>
              <w:t>0.1L/S</w:t>
            </w:r>
            <w:r>
              <w:rPr>
                <w:rFonts w:hint="eastAsia"/>
                <w:sz w:val="20"/>
                <w:szCs w:val="20"/>
              </w:rPr>
              <w:t>）</w:t>
            </w:r>
            <w:r>
              <w:rPr>
                <w:rFonts w:ascii="Times New Roman" w:hAnsi="Times New Roman" w:cs="Times New Roman"/>
                <w:sz w:val="20"/>
                <w:szCs w:val="20"/>
              </w:rPr>
              <w:t xml:space="preserve">; </w:t>
            </w:r>
            <w:r>
              <w:rPr>
                <w:rFonts w:hint="eastAsia"/>
                <w:sz w:val="20"/>
                <w:szCs w:val="20"/>
              </w:rPr>
              <w:t>校区内</w:t>
            </w:r>
            <w:r>
              <w:rPr>
                <w:rFonts w:ascii="Times New Roman" w:hAnsi="Times New Roman" w:cs="Times New Roman"/>
                <w:sz w:val="20"/>
                <w:szCs w:val="20"/>
              </w:rPr>
              <w:t>80%</w:t>
            </w:r>
            <w:r>
              <w:rPr>
                <w:rFonts w:hint="eastAsia"/>
                <w:sz w:val="20"/>
                <w:szCs w:val="20"/>
              </w:rPr>
              <w:t>面积以上地下车库以及道路冲洗采用高压水枪</w:t>
            </w:r>
            <w:r>
              <w:rPr>
                <w:rFonts w:ascii="Times New Roman" w:hAnsi="Times New Roman" w:cs="Times New Roman"/>
                <w:sz w:val="20"/>
                <w:szCs w:val="20"/>
              </w:rPr>
              <w:t>。</w:t>
            </w:r>
          </w:p>
        </w:tc>
      </w:tr>
    </w:tbl>
    <w:p>
      <w:pPr>
        <w:pStyle w:val="11"/>
        <w:spacing w:before="0" w:beforeAutospacing="0" w:after="0" w:afterAutospacing="0" w:line="360" w:lineRule="auto"/>
        <w:jc w:val="both"/>
        <w:rPr>
          <w:sz w:val="21"/>
          <w:szCs w:val="21"/>
        </w:rPr>
      </w:pPr>
      <w:r>
        <w:rPr>
          <w:rFonts w:hint="eastAsia"/>
          <w:sz w:val="21"/>
          <w:szCs w:val="21"/>
        </w:rPr>
        <w:t>用水计量表按</w:t>
      </w:r>
      <w:r>
        <w:rPr>
          <w:rStyle w:val="25"/>
          <w:rFonts w:hint="eastAsia" w:ascii="MS Mincho" w:hAnsi="MS Mincho" w:eastAsia="MS Mincho" w:cs="MS Mincho"/>
          <w:sz w:val="28"/>
          <w:szCs w:val="28"/>
        </w:rPr>
        <w:t>☑</w:t>
      </w:r>
      <w:r>
        <w:rPr>
          <w:rFonts w:hint="eastAsia"/>
          <w:sz w:val="21"/>
          <w:szCs w:val="21"/>
        </w:rPr>
        <w:t xml:space="preserve">用途 </w:t>
      </w:r>
      <w:r>
        <w:rPr>
          <w:rStyle w:val="25"/>
          <w:rFonts w:hint="eastAsia" w:ascii="MS Mincho" w:hAnsi="MS Mincho" w:eastAsia="MS Mincho" w:cs="MS Mincho"/>
          <w:sz w:val="28"/>
          <w:szCs w:val="28"/>
        </w:rPr>
        <w:t>☑</w:t>
      </w:r>
      <w:r>
        <w:rPr>
          <w:rFonts w:hint="eastAsia"/>
          <w:sz w:val="21"/>
          <w:szCs w:val="21"/>
        </w:rPr>
        <w:t xml:space="preserve">付费 </w:t>
      </w:r>
      <w:r>
        <w:rPr>
          <w:rStyle w:val="25"/>
          <w:rFonts w:hint="eastAsia" w:ascii="MS Mincho" w:hAnsi="MS Mincho" w:eastAsia="MS Mincho" w:cs="MS Mincho"/>
          <w:sz w:val="28"/>
          <w:szCs w:val="28"/>
        </w:rPr>
        <w:t>☑</w:t>
      </w:r>
      <w:r>
        <w:rPr>
          <w:rFonts w:hint="eastAsia"/>
          <w:sz w:val="21"/>
          <w:szCs w:val="21"/>
        </w:rPr>
        <w:t>管理单元 设置：</w:t>
      </w:r>
    </w:p>
    <w:p>
      <w:pPr>
        <w:pStyle w:val="11"/>
        <w:spacing w:before="0" w:beforeAutospacing="0" w:after="0" w:afterAutospacing="0" w:line="288" w:lineRule="auto"/>
        <w:jc w:val="center"/>
        <w:rPr>
          <w:sz w:val="21"/>
          <w:szCs w:val="21"/>
        </w:rPr>
      </w:pPr>
      <w:r>
        <w:rPr>
          <w:rFonts w:hint="eastAsia"/>
          <w:sz w:val="21"/>
          <w:szCs w:val="21"/>
        </w:rPr>
        <w:t>用水计量水表主要信息</w:t>
      </w:r>
    </w:p>
    <w:tbl>
      <w:tblPr>
        <w:tblStyle w:val="13"/>
        <w:tblW w:w="8220" w:type="dxa"/>
        <w:jc w:val="center"/>
        <w:tblLayout w:type="autofit"/>
        <w:tblCellMar>
          <w:top w:w="0" w:type="dxa"/>
          <w:left w:w="0" w:type="dxa"/>
          <w:bottom w:w="0" w:type="dxa"/>
          <w:right w:w="0" w:type="dxa"/>
        </w:tblCellMar>
      </w:tblPr>
      <w:tblGrid>
        <w:gridCol w:w="1751"/>
        <w:gridCol w:w="4046"/>
        <w:gridCol w:w="2423"/>
      </w:tblGrid>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水表编号</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用途</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安装位置</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r>
        <w:tblPrEx>
          <w:tblCellMar>
            <w:top w:w="0" w:type="dxa"/>
            <w:left w:w="0" w:type="dxa"/>
            <w:bottom w:w="0" w:type="dxa"/>
            <w:right w:w="0" w:type="dxa"/>
          </w:tblCellMar>
        </w:tblPrEx>
        <w:trPr>
          <w:jc w:val="center"/>
        </w:trPr>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37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 </w:t>
            </w:r>
          </w:p>
        </w:tc>
        <w:tc>
          <w:tcPr>
            <w:tcW w:w="22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 </w:t>
            </w:r>
          </w:p>
        </w:tc>
      </w:tr>
    </w:tbl>
    <w:p>
      <w:pPr>
        <w:pStyle w:val="11"/>
        <w:spacing w:before="0" w:beforeAutospacing="0" w:after="0" w:afterAutospacing="0" w:line="288" w:lineRule="auto"/>
        <w:jc w:val="both"/>
        <w:rPr>
          <w:sz w:val="21"/>
          <w:szCs w:val="21"/>
        </w:rPr>
      </w:pPr>
      <w:r>
        <w:rPr>
          <w:rFonts w:hint="eastAsia"/>
          <w:sz w:val="21"/>
          <w:szCs w:val="21"/>
        </w:rPr>
        <w:t>用水点供水压力最大为</w:t>
      </w:r>
      <w:r>
        <w:rPr>
          <w:rFonts w:hint="eastAsia"/>
          <w:sz w:val="21"/>
          <w:szCs w:val="21"/>
          <w:u w:val="single"/>
        </w:rPr>
        <w:t xml:space="preserve">      0.35      </w:t>
      </w:r>
      <w:r>
        <w:rPr>
          <w:rFonts w:ascii="Times New Roman" w:hAnsi="Times New Roman" w:cs="Times New Roman"/>
          <w:sz w:val="21"/>
          <w:szCs w:val="21"/>
        </w:rPr>
        <w:t>MPa</w:t>
      </w:r>
      <w:r>
        <w:rPr>
          <w:rFonts w:hint="eastAsia"/>
          <w:sz w:val="21"/>
          <w:szCs w:val="21"/>
        </w:rPr>
        <w:t>。</w:t>
      </w:r>
    </w:p>
    <w:p>
      <w:pPr>
        <w:pStyle w:val="11"/>
        <w:spacing w:before="0" w:beforeAutospacing="0" w:after="0" w:afterAutospacing="0"/>
        <w:jc w:val="both"/>
      </w:pPr>
      <w:r>
        <w:rPr>
          <w:rFonts w:hint="eastAsia"/>
          <w:sz w:val="21"/>
          <w:szCs w:val="21"/>
        </w:rPr>
        <w:t>请简要说明市政供水压力、水系统压力分区、用水器具的水压要求。</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本项目给水系统竖向分</w:t>
            </w:r>
            <w:r>
              <w:rPr>
                <w:rFonts w:ascii="Times New Roman" w:hAnsi="Times New Roman" w:cs="Times New Roman"/>
                <w:sz w:val="20"/>
                <w:szCs w:val="20"/>
              </w:rPr>
              <w:t>2</w:t>
            </w:r>
            <w:r>
              <w:rPr>
                <w:rFonts w:hint="eastAsia"/>
                <w:sz w:val="20"/>
                <w:szCs w:val="20"/>
              </w:rPr>
              <w:t>个区：其中</w:t>
            </w:r>
            <w:r>
              <w:rPr>
                <w:rFonts w:ascii="Times New Roman" w:hAnsi="Times New Roman" w:cs="Times New Roman"/>
                <w:sz w:val="20"/>
                <w:szCs w:val="20"/>
              </w:rPr>
              <w:t>-1F</w:t>
            </w:r>
            <w:r>
              <w:rPr>
                <w:rFonts w:hint="eastAsia"/>
                <w:sz w:val="20"/>
                <w:szCs w:val="20"/>
              </w:rPr>
              <w:t>至</w:t>
            </w:r>
            <w:r>
              <w:rPr>
                <w:rFonts w:ascii="Times New Roman" w:hAnsi="Times New Roman" w:cs="Times New Roman"/>
                <w:sz w:val="20"/>
                <w:szCs w:val="20"/>
              </w:rPr>
              <w:t>1F</w:t>
            </w:r>
            <w:r>
              <w:rPr>
                <w:rFonts w:hint="eastAsia"/>
                <w:sz w:val="20"/>
                <w:szCs w:val="20"/>
              </w:rPr>
              <w:t>层由市政水直接供给，</w:t>
            </w:r>
            <w:r>
              <w:rPr>
                <w:rFonts w:ascii="Times New Roman" w:hAnsi="Times New Roman" w:cs="Times New Roman"/>
                <w:sz w:val="20"/>
                <w:szCs w:val="20"/>
              </w:rPr>
              <w:t>2F</w:t>
            </w:r>
            <w:r>
              <w:rPr>
                <w:rFonts w:hint="eastAsia"/>
                <w:sz w:val="20"/>
                <w:szCs w:val="20"/>
              </w:rPr>
              <w:t>至</w:t>
            </w:r>
            <w:r>
              <w:rPr>
                <w:rFonts w:ascii="Times New Roman" w:hAnsi="Times New Roman" w:cs="Times New Roman"/>
                <w:sz w:val="20"/>
                <w:szCs w:val="20"/>
              </w:rPr>
              <w:t>12F</w:t>
            </w:r>
            <w:r>
              <w:rPr>
                <w:rFonts w:hint="eastAsia"/>
                <w:sz w:val="20"/>
                <w:szCs w:val="20"/>
              </w:rPr>
              <w:t>层为加压高区，每区供水范围内每层用水点处供水压力均控制在</w:t>
            </w:r>
            <w:r>
              <w:rPr>
                <w:rFonts w:ascii="Times New Roman" w:hAnsi="Times New Roman" w:cs="Times New Roman"/>
                <w:sz w:val="20"/>
                <w:szCs w:val="20"/>
              </w:rPr>
              <w:t>0.10</w:t>
            </w:r>
            <w:r>
              <w:rPr>
                <w:rFonts w:hint="eastAsia"/>
                <w:sz w:val="20"/>
                <w:szCs w:val="20"/>
              </w:rPr>
              <w:t>～</w:t>
            </w:r>
            <w:r>
              <w:rPr>
                <w:rFonts w:ascii="Times New Roman" w:hAnsi="Times New Roman" w:cs="Times New Roman"/>
                <w:sz w:val="20"/>
                <w:szCs w:val="20"/>
              </w:rPr>
              <w:t>0.20MPa</w:t>
            </w:r>
            <w:r>
              <w:rPr>
                <w:rFonts w:hint="eastAsia"/>
                <w:sz w:val="20"/>
                <w:szCs w:val="20"/>
              </w:rPr>
              <w:t>之间。</w:t>
            </w:r>
          </w:p>
          <w:p>
            <w:pPr>
              <w:pStyle w:val="11"/>
              <w:spacing w:before="0" w:beforeAutospacing="0" w:after="0" w:afterAutospacing="0"/>
              <w:ind w:firstLine="400"/>
            </w:pPr>
            <w:r>
              <w:rPr>
                <w:rFonts w:hint="eastAsia"/>
                <w:sz w:val="20"/>
                <w:szCs w:val="20"/>
              </w:rPr>
              <w:t>入户管水压大于</w:t>
            </w:r>
            <w:r>
              <w:rPr>
                <w:rFonts w:ascii="Times New Roman" w:hAnsi="Times New Roman" w:cs="Times New Roman"/>
                <w:sz w:val="20"/>
                <w:szCs w:val="20"/>
              </w:rPr>
              <w:t>0.35MPa</w:t>
            </w:r>
            <w:r>
              <w:rPr>
                <w:rFonts w:hint="eastAsia"/>
                <w:sz w:val="20"/>
                <w:szCs w:val="20"/>
              </w:rPr>
              <w:t>者设减压阀减压至</w:t>
            </w:r>
            <w:r>
              <w:rPr>
                <w:rFonts w:ascii="Times New Roman" w:hAnsi="Times New Roman" w:cs="Times New Roman"/>
                <w:sz w:val="20"/>
                <w:szCs w:val="20"/>
              </w:rPr>
              <w:t>0.2MPa</w:t>
            </w:r>
            <w:r>
              <w:rPr>
                <w:rFonts w:hint="eastAsia"/>
                <w:sz w:val="20"/>
                <w:szCs w:val="20"/>
              </w:rPr>
              <w:t>以内；入户管水压小于</w:t>
            </w:r>
            <w:r>
              <w:rPr>
                <w:rFonts w:ascii="Times New Roman" w:hAnsi="Times New Roman" w:cs="Times New Roman"/>
                <w:sz w:val="20"/>
                <w:szCs w:val="20"/>
              </w:rPr>
              <w:t>0.35MPa</w:t>
            </w:r>
            <w:r>
              <w:rPr>
                <w:rFonts w:hint="eastAsia"/>
                <w:sz w:val="20"/>
                <w:szCs w:val="20"/>
              </w:rPr>
              <w:t>但大于</w:t>
            </w:r>
            <w:r>
              <w:rPr>
                <w:rFonts w:ascii="Times New Roman" w:hAnsi="Times New Roman" w:cs="Times New Roman"/>
                <w:sz w:val="20"/>
                <w:szCs w:val="20"/>
              </w:rPr>
              <w:t>0.2MPa</w:t>
            </w:r>
            <w:r>
              <w:rPr>
                <w:rFonts w:hint="eastAsia"/>
                <w:sz w:val="20"/>
                <w:szCs w:val="20"/>
              </w:rPr>
              <w:t>者采用截止阀调至</w:t>
            </w:r>
            <w:r>
              <w:rPr>
                <w:rFonts w:ascii="Times New Roman" w:hAnsi="Times New Roman" w:cs="Times New Roman"/>
                <w:sz w:val="20"/>
                <w:szCs w:val="20"/>
              </w:rPr>
              <w:t>0.2MPa</w:t>
            </w:r>
            <w:r>
              <w:rPr>
                <w:rFonts w:hint="eastAsia"/>
                <w:sz w:val="20"/>
                <w:szCs w:val="20"/>
              </w:rPr>
              <w:t>以内，且满足给水配件最低工作压力的要求。</w:t>
            </w:r>
          </w:p>
          <w:p>
            <w:pPr>
              <w:pStyle w:val="11"/>
              <w:spacing w:before="0" w:beforeAutospacing="0" w:after="0" w:afterAutospacing="0"/>
              <w:ind w:firstLine="400"/>
            </w:pPr>
            <w:r>
              <w:rPr>
                <w:rFonts w:hint="eastAsia"/>
                <w:sz w:val="20"/>
                <w:szCs w:val="20"/>
              </w:rPr>
              <w:t>给水水源为市政给水管网及中水给水管网，供水压力均为</w:t>
            </w:r>
            <w:r>
              <w:rPr>
                <w:rFonts w:ascii="Times New Roman" w:hAnsi="Times New Roman" w:cs="Times New Roman"/>
                <w:sz w:val="20"/>
                <w:szCs w:val="20"/>
              </w:rPr>
              <w:t>0.17MPa</w:t>
            </w:r>
            <w:r>
              <w:rPr>
                <w:rFonts w:hint="eastAsia"/>
                <w:sz w:val="20"/>
                <w:szCs w:val="20"/>
              </w:rPr>
              <w:t>。自来水给水系统</w:t>
            </w:r>
            <w:r>
              <w:rPr>
                <w:rFonts w:ascii="Times New Roman" w:hAnsi="Times New Roman" w:cs="Times New Roman"/>
                <w:sz w:val="20"/>
                <w:szCs w:val="20"/>
              </w:rPr>
              <w:t>1~2</w:t>
            </w:r>
            <w:r>
              <w:rPr>
                <w:rFonts w:hint="eastAsia"/>
                <w:sz w:val="20"/>
                <w:szCs w:val="20"/>
              </w:rPr>
              <w:t>层由市政直供，入户管工作压力</w:t>
            </w:r>
            <w:r>
              <w:rPr>
                <w:rFonts w:ascii="Times New Roman" w:hAnsi="Times New Roman" w:cs="Times New Roman"/>
                <w:sz w:val="20"/>
                <w:szCs w:val="20"/>
              </w:rPr>
              <w:t>0.17MPa;3~6</w:t>
            </w:r>
            <w:r>
              <w:rPr>
                <w:rFonts w:hint="eastAsia"/>
                <w:sz w:val="20"/>
                <w:szCs w:val="20"/>
              </w:rPr>
              <w:t>层无负压自来水供水设备供水</w:t>
            </w:r>
            <w:r>
              <w:rPr>
                <w:rFonts w:ascii="Times New Roman" w:hAnsi="Times New Roman" w:cs="Times New Roman"/>
                <w:sz w:val="20"/>
                <w:szCs w:val="20"/>
              </w:rPr>
              <w:t>,</w:t>
            </w:r>
            <w:r>
              <w:rPr>
                <w:rFonts w:hint="eastAsia"/>
                <w:sz w:val="20"/>
                <w:szCs w:val="20"/>
              </w:rPr>
              <w:t>入户管工作压力</w:t>
            </w:r>
            <w:r>
              <w:rPr>
                <w:rFonts w:ascii="Times New Roman" w:hAnsi="Times New Roman" w:cs="Times New Roman"/>
                <w:sz w:val="20"/>
                <w:szCs w:val="20"/>
              </w:rPr>
              <w:t xml:space="preserve">0.30MPa. </w:t>
            </w:r>
            <w:r>
              <w:rPr>
                <w:rFonts w:hint="eastAsia"/>
                <w:sz w:val="20"/>
                <w:szCs w:val="20"/>
              </w:rPr>
              <w:t>中水给水系统</w:t>
            </w:r>
            <w:r>
              <w:rPr>
                <w:rFonts w:ascii="Times New Roman" w:hAnsi="Times New Roman" w:cs="Times New Roman"/>
                <w:sz w:val="20"/>
                <w:szCs w:val="20"/>
              </w:rPr>
              <w:t>1</w:t>
            </w:r>
            <w:r>
              <w:rPr>
                <w:rFonts w:hint="eastAsia"/>
                <w:sz w:val="20"/>
                <w:szCs w:val="20"/>
              </w:rPr>
              <w:t>层由市政中水管网直供，入户管工作压力</w:t>
            </w:r>
            <w:r>
              <w:rPr>
                <w:rFonts w:ascii="Times New Roman" w:hAnsi="Times New Roman" w:cs="Times New Roman"/>
                <w:sz w:val="20"/>
                <w:szCs w:val="20"/>
              </w:rPr>
              <w:t>0.17MPa; 2~6</w:t>
            </w:r>
            <w:r>
              <w:rPr>
                <w:rFonts w:hint="eastAsia"/>
                <w:sz w:val="20"/>
                <w:szCs w:val="20"/>
              </w:rPr>
              <w:t>层由无负压中水供水设备供水</w:t>
            </w:r>
            <w:r>
              <w:rPr>
                <w:rFonts w:ascii="Times New Roman" w:hAnsi="Times New Roman" w:cs="Times New Roman"/>
                <w:sz w:val="20"/>
                <w:szCs w:val="20"/>
              </w:rPr>
              <w:t>,</w:t>
            </w:r>
            <w:r>
              <w:rPr>
                <w:rFonts w:hint="eastAsia"/>
                <w:sz w:val="20"/>
                <w:szCs w:val="20"/>
              </w:rPr>
              <w:t>入户管工作压力</w:t>
            </w:r>
            <w:r>
              <w:rPr>
                <w:rFonts w:ascii="Times New Roman" w:hAnsi="Times New Roman" w:cs="Times New Roman"/>
                <w:sz w:val="20"/>
                <w:szCs w:val="20"/>
              </w:rPr>
              <w:t>0.35MPa</w:t>
            </w:r>
            <w:r>
              <w:rPr>
                <w:rFonts w:hint="eastAsia"/>
                <w:sz w:val="20"/>
                <w:szCs w:val="20"/>
              </w:rPr>
              <w:t>。无负压供水设备采用全变频恒压供水设备。各层支管供水压力均不大于</w:t>
            </w:r>
            <w:r>
              <w:rPr>
                <w:rFonts w:ascii="Times New Roman" w:hAnsi="Times New Roman" w:cs="Times New Roman"/>
                <w:sz w:val="20"/>
                <w:szCs w:val="20"/>
              </w:rPr>
              <w:t>0.20MPa</w:t>
            </w:r>
            <w:r>
              <w:rPr>
                <w:rFonts w:hint="eastAsia"/>
                <w:sz w:val="20"/>
                <w:szCs w:val="20"/>
              </w:rPr>
              <w:t>，满足各用水器具的水压要求。</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）水资源利用方案；</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）给排水竣工图及设计说明，应包含水表分类计量的设计内容；</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）节水器具、设备和系统的产品说明书、用水器具产品节水性能检测报告。</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水资源利用方案：6给排水设计/ 水资源利用方案.docx</w:t>
            </w:r>
            <w:r>
              <w:rPr>
                <w:rFonts w:ascii="Times New Roman" w:hAnsi="Times New Roman" w:cs="Times New Roman"/>
                <w:sz w:val="20"/>
                <w:szCs w:val="20"/>
              </w:rPr>
              <w:br w:type="textWrapping"/>
            </w:r>
            <w:r>
              <w:rPr>
                <w:rStyle w:val="26"/>
                <w:rFonts w:ascii="Times New Roman" w:hAnsi="Times New Roman" w:cs="Times New Roman"/>
                <w:sz w:val="20"/>
                <w:szCs w:val="20"/>
              </w:rPr>
              <w:t>给排水专业图纸及设计说明：6给排水设计/ 建筑施工图.dwg</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7.1.8不应采用建筑形体和布置严重不规则的建筑结构。</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 xml:space="preserve">建筑形体属于 </w:t>
      </w:r>
      <w:r>
        <w:rPr>
          <w:rStyle w:val="25"/>
          <w:rFonts w:hint="eastAsia" w:ascii="MS Mincho" w:hAnsi="MS Mincho" w:eastAsia="MS Mincho" w:cs="MS Mincho"/>
          <w:sz w:val="28"/>
          <w:szCs w:val="28"/>
        </w:rPr>
        <w:t>☑</w:t>
      </w:r>
      <w:r>
        <w:rPr>
          <w:rFonts w:hint="eastAsia"/>
          <w:sz w:val="21"/>
          <w:szCs w:val="21"/>
        </w:rPr>
        <w:t xml:space="preserve">规则  </w:t>
      </w:r>
      <w:r>
        <w:rPr>
          <w:rStyle w:val="25"/>
          <w:rFonts w:hint="eastAsia" w:ascii="MS Mincho" w:hAnsi="MS Mincho" w:eastAsia="MS Mincho" w:cs="MS Mincho"/>
          <w:sz w:val="28"/>
          <w:szCs w:val="28"/>
        </w:rPr>
        <w:t>☐</w:t>
      </w:r>
      <w:r>
        <w:rPr>
          <w:rFonts w:hint="eastAsia"/>
          <w:sz w:val="21"/>
          <w:szCs w:val="21"/>
        </w:rPr>
        <w:t xml:space="preserve">不规则  </w:t>
      </w:r>
      <w:r>
        <w:rPr>
          <w:rStyle w:val="25"/>
          <w:rFonts w:hint="eastAsia" w:ascii="MS Mincho" w:hAnsi="MS Mincho" w:eastAsia="MS Mincho" w:cs="MS Mincho"/>
          <w:sz w:val="28"/>
          <w:szCs w:val="28"/>
        </w:rPr>
        <w:t>☐</w:t>
      </w:r>
      <w:r>
        <w:rPr>
          <w:rFonts w:hint="eastAsia"/>
          <w:sz w:val="21"/>
          <w:szCs w:val="21"/>
        </w:rPr>
        <w:t xml:space="preserve">特别不规则  </w:t>
      </w:r>
      <w:r>
        <w:rPr>
          <w:rStyle w:val="25"/>
          <w:rFonts w:hint="eastAsia" w:ascii="MS Mincho" w:hAnsi="MS Mincho" w:eastAsia="MS Mincho" w:cs="MS Mincho"/>
          <w:sz w:val="28"/>
          <w:szCs w:val="28"/>
        </w:rPr>
        <w:t>☐</w:t>
      </w:r>
      <w:r>
        <w:rPr>
          <w:rFonts w:hint="eastAsia"/>
          <w:sz w:val="21"/>
          <w:szCs w:val="21"/>
        </w:rPr>
        <w:t>严重不规则</w:t>
      </w:r>
    </w:p>
    <w:p>
      <w:pPr>
        <w:pStyle w:val="11"/>
        <w:spacing w:before="0" w:beforeAutospacing="0" w:after="0" w:afterAutospacing="0"/>
        <w:jc w:val="both"/>
      </w:pPr>
      <w:r>
        <w:rPr>
          <w:rFonts w:hint="eastAsia"/>
          <w:sz w:val="21"/>
          <w:szCs w:val="21"/>
        </w:rPr>
        <w:t>不规则建筑形体判断：</w:t>
      </w:r>
    </w:p>
    <w:p>
      <w:pPr>
        <w:pStyle w:val="11"/>
        <w:spacing w:before="0" w:beforeAutospacing="0" w:after="0" w:afterAutospacing="0"/>
        <w:jc w:val="both"/>
      </w:pPr>
      <w:r>
        <w:rPr>
          <w:rFonts w:hint="eastAsia"/>
          <w:b/>
          <w:bCs/>
          <w:sz w:val="21"/>
          <w:szCs w:val="21"/>
        </w:rPr>
        <w:t> </w:t>
      </w:r>
      <w:r>
        <w:rPr>
          <w:rFonts w:hint="eastAsia"/>
          <w:sz w:val="21"/>
          <w:szCs w:val="21"/>
        </w:rPr>
        <w:t xml:space="preserve"> </w:t>
      </w:r>
      <w:r>
        <w:rPr>
          <w:rFonts w:ascii="Calibri" w:hAnsi="Calibri"/>
          <w:sz w:val="21"/>
          <w:szCs w:val="21"/>
        </w:rPr>
        <w:t>a</w:t>
      </w:r>
      <w:r>
        <w:rPr>
          <w:rFonts w:hint="eastAsia"/>
          <w:sz w:val="21"/>
          <w:szCs w:val="21"/>
        </w:rPr>
        <w:t>）平面不规则类型</w:t>
      </w:r>
    </w:p>
    <w:tbl>
      <w:tblPr>
        <w:tblStyle w:val="13"/>
        <w:tblW w:w="0" w:type="auto"/>
        <w:jc w:val="center"/>
        <w:tblLayout w:type="autofit"/>
        <w:tblCellMar>
          <w:top w:w="0" w:type="dxa"/>
          <w:left w:w="0" w:type="dxa"/>
          <w:bottom w:w="0" w:type="dxa"/>
          <w:right w:w="0" w:type="dxa"/>
        </w:tblCellMar>
      </w:tblPr>
      <w:tblGrid>
        <w:gridCol w:w="1137"/>
        <w:gridCol w:w="5842"/>
        <w:gridCol w:w="669"/>
      </w:tblGrid>
      <w:tr>
        <w:tblPrEx>
          <w:tblCellMar>
            <w:top w:w="0" w:type="dxa"/>
            <w:left w:w="0" w:type="dxa"/>
            <w:bottom w:w="0" w:type="dxa"/>
            <w:right w:w="0" w:type="dxa"/>
          </w:tblCellMar>
        </w:tblPrEx>
        <w:trPr>
          <w:jc w:val="center"/>
        </w:trPr>
        <w:tc>
          <w:tcPr>
            <w:tcW w:w="1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不规则类型</w:t>
            </w:r>
          </w:p>
        </w:tc>
        <w:tc>
          <w:tcPr>
            <w:tcW w:w="58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定义和参考指标</w:t>
            </w:r>
          </w:p>
        </w:tc>
        <w:tc>
          <w:tcPr>
            <w:tcW w:w="6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是</w:t>
            </w:r>
            <w:r>
              <w:rPr>
                <w:rFonts w:ascii="Calibri" w:hAnsi="Calibri"/>
                <w:sz w:val="21"/>
                <w:szCs w:val="21"/>
              </w:rPr>
              <w:t>/</w:t>
            </w:r>
            <w:r>
              <w:rPr>
                <w:rFonts w:hint="eastAsia"/>
                <w:sz w:val="21"/>
                <w:szCs w:val="21"/>
              </w:rPr>
              <w:t>否</w:t>
            </w:r>
          </w:p>
        </w:tc>
      </w:tr>
      <w:tr>
        <w:tblPrEx>
          <w:tblCellMar>
            <w:top w:w="0" w:type="dxa"/>
            <w:left w:w="0" w:type="dxa"/>
            <w:bottom w:w="0" w:type="dxa"/>
            <w:right w:w="0" w:type="dxa"/>
          </w:tblCellMar>
        </w:tblPrEx>
        <w:trPr>
          <w:jc w:val="center"/>
        </w:trPr>
        <w:tc>
          <w:tcPr>
            <w:tcW w:w="1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扭转不规则</w:t>
            </w:r>
          </w:p>
        </w:tc>
        <w:tc>
          <w:tcPr>
            <w:tcW w:w="58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300" w:lineRule="atLeast"/>
              <w:jc w:val="both"/>
            </w:pPr>
            <w:r>
              <w:rPr>
                <w:rFonts w:hint="eastAsia"/>
                <w:sz w:val="21"/>
                <w:szCs w:val="21"/>
              </w:rPr>
              <w:t>在规定的水平力作用下，楼层的最大弹性水平位移或（层间位移），大于该楼层两端弹性水平位移（或层间位移）平均值的</w:t>
            </w:r>
            <w:r>
              <w:rPr>
                <w:rFonts w:ascii="Calibri" w:hAnsi="Calibri"/>
                <w:sz w:val="21"/>
                <w:szCs w:val="21"/>
              </w:rPr>
              <w:t>1.2</w:t>
            </w:r>
            <w:r>
              <w:rPr>
                <w:rFonts w:hint="eastAsia"/>
                <w:sz w:val="21"/>
                <w:szCs w:val="21"/>
              </w:rPr>
              <w:t>倍</w:t>
            </w:r>
          </w:p>
        </w:tc>
        <w:tc>
          <w:tcPr>
            <w:tcW w:w="6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 是</w:t>
            </w:r>
          </w:p>
        </w:tc>
      </w:tr>
      <w:tr>
        <w:tblPrEx>
          <w:tblCellMar>
            <w:top w:w="0" w:type="dxa"/>
            <w:left w:w="0" w:type="dxa"/>
            <w:bottom w:w="0" w:type="dxa"/>
            <w:right w:w="0" w:type="dxa"/>
          </w:tblCellMar>
        </w:tblPrEx>
        <w:trPr>
          <w:jc w:val="center"/>
        </w:trPr>
        <w:tc>
          <w:tcPr>
            <w:tcW w:w="1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凹凸不规则</w:t>
            </w:r>
          </w:p>
        </w:tc>
        <w:tc>
          <w:tcPr>
            <w:tcW w:w="58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both"/>
              <w:rPr>
                <w:sz w:val="21"/>
                <w:szCs w:val="21"/>
              </w:rPr>
            </w:pPr>
            <w:r>
              <w:rPr>
                <w:rFonts w:hint="eastAsia"/>
                <w:sz w:val="21"/>
                <w:szCs w:val="21"/>
              </w:rPr>
              <w:t>平面凹进的尺寸，大于相应投影方向总尺寸的</w:t>
            </w:r>
            <w:r>
              <w:rPr>
                <w:rFonts w:ascii="Calibri" w:hAnsi="Calibri"/>
                <w:sz w:val="21"/>
                <w:szCs w:val="21"/>
              </w:rPr>
              <w:t>30%</w:t>
            </w:r>
          </w:p>
        </w:tc>
        <w:tc>
          <w:tcPr>
            <w:tcW w:w="6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 是</w:t>
            </w:r>
          </w:p>
        </w:tc>
      </w:tr>
      <w:tr>
        <w:tblPrEx>
          <w:tblCellMar>
            <w:top w:w="0" w:type="dxa"/>
            <w:left w:w="0" w:type="dxa"/>
            <w:bottom w:w="0" w:type="dxa"/>
            <w:right w:w="0" w:type="dxa"/>
          </w:tblCellMar>
        </w:tblPrEx>
        <w:trPr>
          <w:jc w:val="center"/>
        </w:trPr>
        <w:tc>
          <w:tcPr>
            <w:tcW w:w="1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楼板局部不连续</w:t>
            </w:r>
          </w:p>
        </w:tc>
        <w:tc>
          <w:tcPr>
            <w:tcW w:w="58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300" w:lineRule="atLeast"/>
              <w:jc w:val="both"/>
            </w:pPr>
            <w:r>
              <w:rPr>
                <w:rFonts w:hint="eastAsia"/>
                <w:sz w:val="21"/>
                <w:szCs w:val="21"/>
              </w:rPr>
              <w:t>楼板的尺寸和平面刚度急剧变化，例如，有效楼板宽度小于该层楼板典型宽度的</w:t>
            </w:r>
            <w:r>
              <w:rPr>
                <w:rFonts w:ascii="Calibri" w:hAnsi="Calibri"/>
                <w:sz w:val="21"/>
                <w:szCs w:val="21"/>
              </w:rPr>
              <w:t>50%</w:t>
            </w:r>
            <w:r>
              <w:rPr>
                <w:rFonts w:hint="eastAsia"/>
                <w:sz w:val="21"/>
                <w:szCs w:val="21"/>
              </w:rPr>
              <w:t>，或开洞面积大于该层楼面面积的</w:t>
            </w:r>
            <w:r>
              <w:rPr>
                <w:rFonts w:ascii="Calibri" w:hAnsi="Calibri"/>
                <w:sz w:val="21"/>
                <w:szCs w:val="21"/>
              </w:rPr>
              <w:t>30%</w:t>
            </w:r>
            <w:r>
              <w:rPr>
                <w:rFonts w:hint="eastAsia"/>
                <w:sz w:val="21"/>
                <w:szCs w:val="21"/>
              </w:rPr>
              <w:t>，或较大的楼层错层。</w:t>
            </w:r>
          </w:p>
        </w:tc>
        <w:tc>
          <w:tcPr>
            <w:tcW w:w="6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 否</w:t>
            </w:r>
          </w:p>
        </w:tc>
      </w:tr>
    </w:tbl>
    <w:p>
      <w:pPr>
        <w:pStyle w:val="11"/>
        <w:spacing w:before="0" w:beforeAutospacing="0" w:after="0" w:afterAutospacing="0"/>
        <w:ind w:firstLine="200"/>
        <w:jc w:val="both"/>
      </w:pPr>
      <w:r>
        <w:rPr>
          <w:rFonts w:ascii="Calibri" w:hAnsi="Calibri"/>
          <w:sz w:val="21"/>
          <w:szCs w:val="21"/>
        </w:rPr>
        <w:t>b</w:t>
      </w:r>
      <w:r>
        <w:rPr>
          <w:rFonts w:hint="eastAsia"/>
          <w:sz w:val="21"/>
          <w:szCs w:val="21"/>
        </w:rPr>
        <w:t>）竖向不规则类型</w:t>
      </w:r>
    </w:p>
    <w:tbl>
      <w:tblPr>
        <w:tblStyle w:val="13"/>
        <w:tblW w:w="0" w:type="auto"/>
        <w:jc w:val="center"/>
        <w:tblLayout w:type="autofit"/>
        <w:tblCellMar>
          <w:top w:w="0" w:type="dxa"/>
          <w:left w:w="0" w:type="dxa"/>
          <w:bottom w:w="0" w:type="dxa"/>
          <w:right w:w="0" w:type="dxa"/>
        </w:tblCellMar>
      </w:tblPr>
      <w:tblGrid>
        <w:gridCol w:w="1168"/>
        <w:gridCol w:w="6021"/>
        <w:gridCol w:w="635"/>
      </w:tblGrid>
      <w:tr>
        <w:tblPrEx>
          <w:tblCellMar>
            <w:top w:w="0" w:type="dxa"/>
            <w:left w:w="0" w:type="dxa"/>
            <w:bottom w:w="0" w:type="dxa"/>
            <w:right w:w="0" w:type="dxa"/>
          </w:tblCellMar>
        </w:tblPrEx>
        <w:trPr>
          <w:jc w:val="center"/>
        </w:trPr>
        <w:tc>
          <w:tcPr>
            <w:tcW w:w="1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不规则类型</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定义和参考指标</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是</w:t>
            </w:r>
            <w:r>
              <w:rPr>
                <w:rFonts w:ascii="Calibri" w:hAnsi="Calibri"/>
                <w:sz w:val="21"/>
                <w:szCs w:val="21"/>
              </w:rPr>
              <w:t>/</w:t>
            </w:r>
            <w:r>
              <w:rPr>
                <w:rFonts w:hint="eastAsia"/>
                <w:sz w:val="21"/>
                <w:szCs w:val="21"/>
              </w:rPr>
              <w:t>否</w:t>
            </w:r>
          </w:p>
        </w:tc>
      </w:tr>
      <w:tr>
        <w:tblPrEx>
          <w:tblCellMar>
            <w:top w:w="0" w:type="dxa"/>
            <w:left w:w="0" w:type="dxa"/>
            <w:bottom w:w="0" w:type="dxa"/>
            <w:right w:w="0" w:type="dxa"/>
          </w:tblCellMar>
        </w:tblPrEx>
        <w:trPr>
          <w:jc w:val="center"/>
        </w:trPr>
        <w:tc>
          <w:tcPr>
            <w:tcW w:w="1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侧向刚度不规则</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300" w:lineRule="atLeast"/>
              <w:jc w:val="both"/>
            </w:pPr>
            <w:r>
              <w:rPr>
                <w:rFonts w:hint="eastAsia"/>
                <w:sz w:val="21"/>
                <w:szCs w:val="21"/>
              </w:rPr>
              <w:t>该层的侧向刚度小于相邻上一层的</w:t>
            </w:r>
            <w:r>
              <w:rPr>
                <w:rFonts w:ascii="Calibri" w:hAnsi="Calibri"/>
                <w:sz w:val="21"/>
                <w:szCs w:val="21"/>
              </w:rPr>
              <w:t>70%</w:t>
            </w:r>
            <w:r>
              <w:rPr>
                <w:rFonts w:hint="eastAsia"/>
                <w:sz w:val="21"/>
                <w:szCs w:val="21"/>
              </w:rPr>
              <w:t>，或小于其上相邻三个楼层侧向刚度平均值的</w:t>
            </w:r>
            <w:r>
              <w:rPr>
                <w:rFonts w:ascii="Calibri" w:hAnsi="Calibri"/>
                <w:sz w:val="21"/>
                <w:szCs w:val="21"/>
              </w:rPr>
              <w:t>80%</w:t>
            </w:r>
            <w:r>
              <w:rPr>
                <w:rFonts w:hint="eastAsia"/>
                <w:sz w:val="21"/>
                <w:szCs w:val="21"/>
              </w:rPr>
              <w:t>；除顶层或出屋面小建筑外，局部收进的水平向尺寸大于相邻下一层的</w:t>
            </w:r>
            <w:r>
              <w:rPr>
                <w:rFonts w:ascii="Calibri" w:hAnsi="Calibri"/>
                <w:sz w:val="21"/>
                <w:szCs w:val="21"/>
              </w:rPr>
              <w:t>25%</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 是</w:t>
            </w:r>
          </w:p>
        </w:tc>
      </w:tr>
      <w:tr>
        <w:tblPrEx>
          <w:tblCellMar>
            <w:top w:w="0" w:type="dxa"/>
            <w:left w:w="0" w:type="dxa"/>
            <w:bottom w:w="0" w:type="dxa"/>
            <w:right w:w="0" w:type="dxa"/>
          </w:tblCellMar>
        </w:tblPrEx>
        <w:trPr>
          <w:jc w:val="center"/>
        </w:trPr>
        <w:tc>
          <w:tcPr>
            <w:tcW w:w="1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竖向抗侧力构件不连续</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300" w:lineRule="atLeast"/>
              <w:jc w:val="both"/>
            </w:pPr>
            <w:r>
              <w:rPr>
                <w:rFonts w:hint="eastAsia"/>
                <w:sz w:val="21"/>
                <w:szCs w:val="21"/>
              </w:rPr>
              <w:t>竖向抗侧力构件（柱、抗震墙、抗震支撑）的内力由水平转换构件（梁、桁架等）向下传递</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否 </w:t>
            </w:r>
          </w:p>
        </w:tc>
      </w:tr>
      <w:tr>
        <w:tblPrEx>
          <w:tblCellMar>
            <w:top w:w="0" w:type="dxa"/>
            <w:left w:w="0" w:type="dxa"/>
            <w:bottom w:w="0" w:type="dxa"/>
            <w:right w:w="0" w:type="dxa"/>
          </w:tblCellMar>
        </w:tblPrEx>
        <w:trPr>
          <w:jc w:val="center"/>
        </w:trPr>
        <w:tc>
          <w:tcPr>
            <w:tcW w:w="11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楼板局部不连续</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抗侧力结构的层间受剪承载力小于相邻上一楼层的</w:t>
            </w:r>
            <w:r>
              <w:rPr>
                <w:rFonts w:ascii="Calibri" w:hAnsi="Calibri"/>
                <w:sz w:val="21"/>
                <w:szCs w:val="21"/>
              </w:rPr>
              <w:t>80%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 是</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）建筑、结构专业竣工图及设计说明；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）建筑形体规则性判定报告、结构专项论证报告。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400"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结构专业图纸与设计说明：7结构建材/ 结构专业图纸与设计说明/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7.1.9建筑造型要素应简约，且无大量装饰性构件。</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 xml:space="preserve">）本项目是否使用了装饰性构件： </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）如果使用了装饰性构件：</w:t>
      </w:r>
    </w:p>
    <w:p>
      <w:pPr>
        <w:pStyle w:val="11"/>
        <w:spacing w:before="0" w:beforeAutospacing="0" w:after="0" w:afterAutospacing="0"/>
        <w:jc w:val="both"/>
      </w:pPr>
      <w:r>
        <w:rPr>
          <w:rFonts w:hint="eastAsia"/>
          <w:sz w:val="21"/>
          <w:szCs w:val="21"/>
        </w:rPr>
        <w:t>装饰性构件的造价：</w:t>
      </w:r>
      <w:r>
        <w:rPr>
          <w:rFonts w:hint="eastAsia"/>
          <w:sz w:val="21"/>
          <w:szCs w:val="21"/>
          <w:u w:val="single"/>
        </w:rPr>
        <w:t xml:space="preserve">         </w:t>
      </w:r>
      <w:r>
        <w:rPr>
          <w:rFonts w:hint="eastAsia"/>
          <w:sz w:val="21"/>
          <w:szCs w:val="21"/>
        </w:rPr>
        <w:t>万元，工程总造价：</w:t>
      </w:r>
      <w:r>
        <w:rPr>
          <w:rFonts w:hint="eastAsia"/>
          <w:sz w:val="21"/>
          <w:szCs w:val="21"/>
          <w:u w:val="single"/>
        </w:rPr>
        <w:t xml:space="preserve">          </w:t>
      </w:r>
      <w:r>
        <w:rPr>
          <w:rFonts w:hint="eastAsia"/>
          <w:sz w:val="21"/>
          <w:szCs w:val="21"/>
        </w:rPr>
        <w:t>万元，装饰性构件造价占工程总造价的比例：</w:t>
      </w:r>
      <w:r>
        <w:rPr>
          <w:rFonts w:hint="eastAsia"/>
          <w:sz w:val="21"/>
          <w:szCs w:val="21"/>
          <w:u w:val="single"/>
        </w:rPr>
        <w:t xml:space="preserve">        </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）装饰性构件的类别为：</w:t>
      </w:r>
    </w:p>
    <w:p>
      <w:pPr>
        <w:pStyle w:val="11"/>
        <w:spacing w:before="0" w:beforeAutospacing="0" w:after="0" w:afterAutospacing="0"/>
        <w:jc w:val="both"/>
      </w:pPr>
      <w:r>
        <w:rPr>
          <w:rFonts w:hint="eastAsia"/>
          <w:sz w:val="21"/>
          <w:szCs w:val="21"/>
        </w:rPr>
        <w:t>（</w:t>
      </w:r>
      <w:r>
        <w:rPr>
          <w:rFonts w:ascii="Times New Roman" w:hAnsi="Times New Roman" w:cs="Times New Roman"/>
          <w:sz w:val="21"/>
          <w:szCs w:val="21"/>
        </w:rPr>
        <w:t>1</w:t>
      </w:r>
      <w:r>
        <w:rPr>
          <w:rFonts w:hint="eastAsia"/>
          <w:sz w:val="21"/>
          <w:szCs w:val="21"/>
        </w:rPr>
        <w:t>）超出安全防护高度</w:t>
      </w:r>
      <w:r>
        <w:rPr>
          <w:rFonts w:ascii="Times New Roman" w:hAnsi="Times New Roman" w:cs="Times New Roman"/>
          <w:sz w:val="21"/>
          <w:szCs w:val="21"/>
        </w:rPr>
        <w:t>2</w:t>
      </w:r>
      <w:r>
        <w:rPr>
          <w:rFonts w:hint="eastAsia"/>
          <w:sz w:val="21"/>
          <w:szCs w:val="21"/>
        </w:rPr>
        <w:t>倍的女儿墙</w:t>
      </w:r>
      <w:r>
        <w:rPr>
          <w:rStyle w:val="25"/>
          <w:rFonts w:hint="eastAsia" w:ascii="MS Mincho" w:hAnsi="MS Mincho" w:eastAsia="MS Mincho" w:cs="MS Mincho"/>
          <w:sz w:val="28"/>
          <w:szCs w:val="28"/>
        </w:rPr>
        <w:t>☑</w:t>
      </w:r>
    </w:p>
    <w:p>
      <w:pPr>
        <w:pStyle w:val="11"/>
        <w:spacing w:before="0" w:beforeAutospacing="0" w:after="0" w:afterAutospacing="0"/>
        <w:jc w:val="both"/>
      </w:pPr>
      <w:r>
        <w:rPr>
          <w:rFonts w:hint="eastAsia"/>
          <w:sz w:val="21"/>
          <w:szCs w:val="21"/>
        </w:rPr>
        <w:t>（</w:t>
      </w:r>
      <w:r>
        <w:rPr>
          <w:rFonts w:ascii="Times New Roman" w:hAnsi="Times New Roman" w:cs="Times New Roman"/>
          <w:sz w:val="21"/>
          <w:szCs w:val="21"/>
        </w:rPr>
        <w:t>2</w:t>
      </w:r>
      <w:r>
        <w:rPr>
          <w:rFonts w:hint="eastAsia"/>
          <w:sz w:val="21"/>
          <w:szCs w:val="21"/>
        </w:rPr>
        <w:t>）仅用于装饰的塔、球、曲面</w:t>
      </w:r>
      <w:r>
        <w:rPr>
          <w:rStyle w:val="25"/>
          <w:rFonts w:hint="eastAsia" w:ascii="MS Mincho" w:hAnsi="MS Mincho" w:eastAsia="MS Mincho" w:cs="MS Mincho"/>
          <w:sz w:val="28"/>
          <w:szCs w:val="28"/>
        </w:rPr>
        <w:t>☑</w:t>
      </w:r>
    </w:p>
    <w:p>
      <w:pPr>
        <w:pStyle w:val="11"/>
        <w:spacing w:before="0" w:beforeAutospacing="0" w:after="0" w:afterAutospacing="0"/>
        <w:jc w:val="both"/>
      </w:pPr>
      <w:r>
        <w:rPr>
          <w:rFonts w:hint="eastAsia"/>
          <w:sz w:val="21"/>
          <w:szCs w:val="21"/>
        </w:rPr>
        <w:t>（</w:t>
      </w:r>
      <w:r>
        <w:rPr>
          <w:rFonts w:ascii="Times New Roman" w:hAnsi="Times New Roman" w:cs="Times New Roman"/>
          <w:sz w:val="21"/>
          <w:szCs w:val="21"/>
        </w:rPr>
        <w:t>3</w:t>
      </w:r>
      <w:r>
        <w:rPr>
          <w:rFonts w:hint="eastAsia"/>
          <w:sz w:val="21"/>
          <w:szCs w:val="21"/>
        </w:rPr>
        <w:t>）不具备功能作用的飘板、格栅、构架</w:t>
      </w:r>
      <w:r>
        <w:rPr>
          <w:rStyle w:val="25"/>
          <w:rFonts w:hint="eastAsia" w:ascii="MS Mincho" w:hAnsi="MS Mincho" w:eastAsia="MS Mincho" w:cs="MS Mincho"/>
          <w:sz w:val="28"/>
          <w:szCs w:val="28"/>
        </w:rPr>
        <w:t>☑</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）建筑、结构专业竣工图及设计说明；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）建筑外装修竣工图及设计说明、建筑效果图；</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）建筑工程造价结算书、装饰性构件造价比例计算书。</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结构专业图纸及设计说明：7结构建材/ 结构专业图纸及设计说明/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7.1.10  500km以内生产的建筑材料重量占建筑材料总重量的比例应大于60%；现浇混凝土应采用预拌混凝土，建筑砂浆应采用预拌砂浆。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项目所用建筑材料的总重量：     60    </w:t>
      </w:r>
      <w:r>
        <w:rPr>
          <w:rFonts w:hint="eastAsia"/>
          <w:sz w:val="21"/>
          <w:szCs w:val="21"/>
        </w:rPr>
        <w:t>（吨），500km</w:t>
      </w:r>
      <w:r>
        <w:rPr>
          <w:rFonts w:hint="eastAsia"/>
          <w:sz w:val="21"/>
          <w:szCs w:val="21"/>
        </w:rPr>
        <w:t>以内生产的建筑材料使用量：    45     </w:t>
      </w:r>
      <w:r>
        <w:rPr>
          <w:rFonts w:hint="eastAsia"/>
          <w:sz w:val="21"/>
          <w:szCs w:val="21"/>
        </w:rPr>
        <w:t>（吨），占总重量的比例为：</w:t>
      </w:r>
      <w:r>
        <w:rPr>
          <w:rFonts w:hint="eastAsia"/>
          <w:sz w:val="21"/>
          <w:szCs w:val="21"/>
          <w:u w:val="single"/>
        </w:rPr>
        <w:t>     75    </w:t>
      </w:r>
      <w:r>
        <w:rPr>
          <w:rFonts w:ascii="Calibri" w:hAnsi="Calibri"/>
          <w:sz w:val="21"/>
          <w:szCs w:val="21"/>
        </w:rPr>
        <w:t>%</w:t>
      </w:r>
      <w:r>
        <w:rPr>
          <w:rFonts w:hint="eastAsia"/>
          <w:sz w:val="21"/>
          <w:szCs w:val="21"/>
        </w:rPr>
        <w:t>。</w:t>
      </w:r>
    </w:p>
    <w:p>
      <w:pPr>
        <w:pStyle w:val="11"/>
        <w:spacing w:before="0" w:beforeAutospacing="0" w:after="0" w:afterAutospacing="0"/>
        <w:jc w:val="both"/>
      </w:pPr>
      <w:r>
        <w:rPr>
          <w:rFonts w:hint="eastAsia"/>
          <w:sz w:val="21"/>
          <w:szCs w:val="21"/>
        </w:rPr>
        <w:t>现浇混凝土是否全部采用预拌混凝土：</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建筑砂浆是否全部采用预拌砂浆：</w:t>
      </w:r>
      <w:r>
        <w:rPr>
          <w:rStyle w:val="25"/>
          <w:rFonts w:hint="eastAsia" w:ascii="MS Mincho" w:hAnsi="MS Mincho" w:eastAsia="MS Mincho" w:cs="MS Mincho"/>
          <w:sz w:val="28"/>
          <w:szCs w:val="28"/>
        </w:rPr>
        <w:t>☑</w:t>
      </w:r>
      <w:r>
        <w:rPr>
          <w:rFonts w:hint="eastAsia"/>
          <w:sz w:val="21"/>
          <w:szCs w:val="21"/>
        </w:rPr>
        <w:t>是、</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请简要说明本项目建材的主要供应厂家、地理位置，预拌混凝土和预拌砂浆的使用情况。</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项目建筑砂浆全部采用预拌砂浆。</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）结构竣工图及设计说明；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）建筑材料、预拌混凝土、预拌砂浆的购销合同；</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）工程决算材料清单，本地化材料使用比例计算文件。</w:t>
      </w:r>
    </w:p>
    <w:p>
      <w:pPr>
        <w:pStyle w:val="11"/>
        <w:spacing w:before="0" w:beforeAutospacing="0" w:after="0" w:afterAutospacing="0" w:line="288" w:lineRule="auto"/>
        <w:jc w:val="both"/>
        <w:rPr>
          <w:sz w:val="21"/>
          <w:szCs w:val="21"/>
        </w:rPr>
      </w:pPr>
      <w:r>
        <w:rPr>
          <w:rFonts w:hint="eastAsia"/>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结构专业图纸及设计说明：7结构建材/ 结构专业图纸及设计说明/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工程材料决算清单：7结构建材/ 【预算表】幼儿园装饰工程报价预算表.xlsx</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 节约集约利用土地。（20分）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p>
      <w:pPr>
        <w:pStyle w:val="11"/>
        <w:spacing w:before="0" w:beforeAutospacing="0" w:after="0" w:afterAutospacing="0"/>
        <w:ind w:left="360" w:hanging="360"/>
        <w:jc w:val="both"/>
      </w:pPr>
      <w:r>
        <w:rPr>
          <w:rFonts w:ascii="Times New Roman" w:hAnsi="Times New Roman" w:cs="Times New Roman"/>
          <w:sz w:val="21"/>
          <w:szCs w:val="21"/>
        </w:rPr>
        <w:t>1</w:t>
      </w:r>
      <w:r>
        <w:rPr>
          <w:rFonts w:hint="eastAsia"/>
          <w:sz w:val="21"/>
          <w:szCs w:val="21"/>
        </w:rPr>
        <w:t>）</w:t>
      </w:r>
      <w:r>
        <w:rPr>
          <w:rFonts w:ascii="Times New Roman" w:hAnsi="Times New Roman" w:cs="Times New Roman"/>
          <w:sz w:val="14"/>
          <w:szCs w:val="14"/>
        </w:rPr>
        <w:t xml:space="preserve">   </w:t>
      </w:r>
      <w:r>
        <w:rPr>
          <w:rFonts w:hint="eastAsia"/>
          <w:sz w:val="21"/>
          <w:szCs w:val="21"/>
        </w:rPr>
        <w:t>居住建筑  建筑层数</w:t>
      </w:r>
      <w:r>
        <w:rPr>
          <w:rStyle w:val="25"/>
          <w:rFonts w:hint="eastAsia" w:ascii="MS Mincho" w:hAnsi="MS Mincho" w:eastAsia="MS Mincho" w:cs="MS Mincho"/>
          <w:sz w:val="21"/>
          <w:szCs w:val="21"/>
        </w:rPr>
        <w:t>☐</w:t>
      </w:r>
      <w:r>
        <w:rPr>
          <w:rFonts w:ascii="Times New Roman" w:hAnsi="Times New Roman" w:cs="Times New Roman"/>
          <w:sz w:val="21"/>
          <w:szCs w:val="21"/>
        </w:rPr>
        <w:t xml:space="preserve"> 3</w:t>
      </w:r>
      <w:r>
        <w:rPr>
          <w:rFonts w:hint="eastAsia"/>
          <w:sz w:val="21"/>
          <w:szCs w:val="21"/>
        </w:rPr>
        <w:t xml:space="preserve">层及以下  </w:t>
      </w:r>
      <w:r>
        <w:rPr>
          <w:rStyle w:val="25"/>
          <w:rFonts w:hint="eastAsia" w:ascii="MS Mincho" w:hAnsi="MS Mincho" w:eastAsia="MS Mincho" w:cs="MS Mincho"/>
          <w:sz w:val="21"/>
          <w:szCs w:val="21"/>
        </w:rPr>
        <w:t>☐</w:t>
      </w:r>
      <w:r>
        <w:rPr>
          <w:rFonts w:ascii="Times New Roman" w:hAnsi="Times New Roman" w:cs="Times New Roman"/>
          <w:sz w:val="21"/>
          <w:szCs w:val="21"/>
        </w:rPr>
        <w:t>4~6</w:t>
      </w:r>
      <w:r>
        <w:rPr>
          <w:rFonts w:hint="eastAsia"/>
          <w:sz w:val="21"/>
          <w:szCs w:val="21"/>
        </w:rPr>
        <w:t xml:space="preserve">层  </w:t>
      </w:r>
      <w:r>
        <w:rPr>
          <w:rStyle w:val="25"/>
          <w:rFonts w:hint="eastAsia" w:ascii="MS Mincho" w:hAnsi="MS Mincho" w:eastAsia="MS Mincho" w:cs="MS Mincho"/>
          <w:sz w:val="21"/>
          <w:szCs w:val="21"/>
        </w:rPr>
        <w:t>☐</w:t>
      </w:r>
      <w:r>
        <w:rPr>
          <w:rFonts w:ascii="Times New Roman" w:hAnsi="Times New Roman" w:cs="Times New Roman"/>
          <w:sz w:val="21"/>
          <w:szCs w:val="21"/>
        </w:rPr>
        <w:t>7~9</w:t>
      </w:r>
      <w:r>
        <w:rPr>
          <w:rFonts w:hint="eastAsia"/>
          <w:sz w:val="21"/>
          <w:szCs w:val="21"/>
        </w:rPr>
        <w:t xml:space="preserve">层  </w:t>
      </w:r>
      <w:r>
        <w:rPr>
          <w:rStyle w:val="25"/>
          <w:rFonts w:hint="eastAsia" w:ascii="MS Mincho" w:hAnsi="MS Mincho" w:eastAsia="MS Mincho" w:cs="MS Mincho"/>
          <w:sz w:val="21"/>
          <w:szCs w:val="21"/>
        </w:rPr>
        <w:t>☐</w:t>
      </w:r>
      <w:r>
        <w:rPr>
          <w:rFonts w:ascii="Times New Roman" w:hAnsi="Times New Roman" w:cs="Times New Roman"/>
          <w:sz w:val="21"/>
          <w:szCs w:val="21"/>
        </w:rPr>
        <w:t>10~18</w:t>
      </w:r>
      <w:r>
        <w:rPr>
          <w:rFonts w:hint="eastAsia"/>
          <w:sz w:val="21"/>
          <w:szCs w:val="21"/>
        </w:rPr>
        <w:t xml:space="preserve">层 </w:t>
      </w:r>
      <w:r>
        <w:rPr>
          <w:rStyle w:val="25"/>
          <w:rFonts w:hint="eastAsia" w:ascii="MS Mincho" w:hAnsi="MS Mincho" w:eastAsia="MS Mincho" w:cs="MS Mincho"/>
          <w:sz w:val="21"/>
          <w:szCs w:val="21"/>
        </w:rPr>
        <w:t>☐</w:t>
      </w:r>
      <w:r>
        <w:rPr>
          <w:rFonts w:ascii="Times New Roman" w:hAnsi="Times New Roman" w:cs="Times New Roman"/>
          <w:sz w:val="21"/>
          <w:szCs w:val="21"/>
        </w:rPr>
        <w:t>19</w:t>
      </w:r>
      <w:r>
        <w:rPr>
          <w:rFonts w:hint="eastAsia"/>
          <w:sz w:val="21"/>
          <w:szCs w:val="21"/>
        </w:rPr>
        <w:t>层及以上</w:t>
      </w:r>
    </w:p>
    <w:tbl>
      <w:tblPr>
        <w:tblStyle w:val="13"/>
        <w:tblW w:w="9177" w:type="dxa"/>
        <w:jc w:val="center"/>
        <w:tblLayout w:type="autofit"/>
        <w:tblCellMar>
          <w:top w:w="0" w:type="dxa"/>
          <w:left w:w="0" w:type="dxa"/>
          <w:bottom w:w="0" w:type="dxa"/>
          <w:right w:w="0" w:type="dxa"/>
        </w:tblCellMar>
      </w:tblPr>
      <w:tblGrid>
        <w:gridCol w:w="999"/>
        <w:gridCol w:w="1239"/>
        <w:gridCol w:w="1260"/>
        <w:gridCol w:w="1278"/>
        <w:gridCol w:w="1277"/>
        <w:gridCol w:w="1278"/>
        <w:gridCol w:w="994"/>
        <w:gridCol w:w="852"/>
      </w:tblGrid>
      <w:tr>
        <w:tblPrEx>
          <w:tblCellMar>
            <w:top w:w="0" w:type="dxa"/>
            <w:left w:w="0" w:type="dxa"/>
            <w:bottom w:w="0" w:type="dxa"/>
            <w:right w:w="0" w:type="dxa"/>
          </w:tblCellMar>
        </w:tblPrEx>
        <w:trPr>
          <w:trHeight w:val="315" w:hRule="atLeast"/>
          <w:jc w:val="center"/>
        </w:trPr>
        <w:tc>
          <w:tcPr>
            <w:tcW w:w="78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建筑气候区划</w:t>
            </w:r>
          </w:p>
        </w:tc>
        <w:tc>
          <w:tcPr>
            <w:tcW w:w="6106" w:type="dxa"/>
            <w:gridSpan w:val="5"/>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人均居住用地指标</w:t>
            </w:r>
            <w:r>
              <w:rPr>
                <w:rFonts w:ascii="Times New Roman" w:hAnsi="Times New Roman" w:cs="Times New Roman"/>
                <w:sz w:val="21"/>
                <w:szCs w:val="21"/>
              </w:rPr>
              <w:t>A(m2)</w:t>
            </w:r>
          </w:p>
        </w:tc>
        <w:tc>
          <w:tcPr>
            <w:tcW w:w="77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w:t>
            </w:r>
          </w:p>
          <w:p>
            <w:pPr>
              <w:pStyle w:val="11"/>
              <w:spacing w:before="0" w:beforeAutospacing="0" w:after="0" w:afterAutospacing="0"/>
              <w:jc w:val="center"/>
            </w:pPr>
            <w:r>
              <w:rPr>
                <w:rFonts w:hint="eastAsia"/>
                <w:sz w:val="21"/>
                <w:szCs w:val="21"/>
              </w:rPr>
              <w:t>分值</w:t>
            </w:r>
          </w:p>
        </w:tc>
        <w:tc>
          <w:tcPr>
            <w:tcW w:w="63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w:t>
            </w:r>
          </w:p>
          <w:p>
            <w:pPr>
              <w:pStyle w:val="11"/>
              <w:spacing w:before="0" w:beforeAutospacing="0" w:after="0" w:afterAutospacing="0"/>
              <w:jc w:val="center"/>
            </w:pPr>
            <w:r>
              <w:rPr>
                <w:rFonts w:hint="eastAsia"/>
                <w:sz w:val="21"/>
                <w:szCs w:val="21"/>
              </w:rPr>
              <w:t>得分</w:t>
            </w:r>
          </w:p>
        </w:tc>
      </w:tr>
      <w:tr>
        <w:tblPrEx>
          <w:tblCellMar>
            <w:top w:w="0" w:type="dxa"/>
            <w:left w:w="0" w:type="dxa"/>
            <w:bottom w:w="0" w:type="dxa"/>
            <w:right w:w="0" w:type="dxa"/>
          </w:tblCellMar>
        </w:tblPrEx>
        <w:trPr>
          <w:trHeight w:val="63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r>
              <w:rPr>
                <w:rFonts w:hint="eastAsia"/>
                <w:sz w:val="21"/>
                <w:szCs w:val="21"/>
              </w:rPr>
              <w:t>层及以下</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4~6</w:t>
            </w:r>
            <w:r>
              <w:rPr>
                <w:rFonts w:hint="eastAsia"/>
                <w:sz w:val="21"/>
                <w:szCs w:val="21"/>
              </w:rPr>
              <w:t>层</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7~9</w:t>
            </w:r>
            <w:r>
              <w:rPr>
                <w:rFonts w:hint="eastAsia"/>
                <w:sz w:val="21"/>
                <w:szCs w:val="21"/>
              </w:rPr>
              <w:t>层</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10~18</w:t>
            </w:r>
            <w:r>
              <w:rPr>
                <w:rFonts w:hint="eastAsia"/>
                <w:sz w:val="21"/>
                <w:szCs w:val="21"/>
              </w:rPr>
              <w:t>层</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19</w:t>
            </w:r>
            <w:r>
              <w:rPr>
                <w:rFonts w:hint="eastAsia"/>
                <w:sz w:val="21"/>
                <w:szCs w:val="21"/>
              </w:rPr>
              <w:t>层及</w:t>
            </w:r>
          </w:p>
          <w:p>
            <w:pPr>
              <w:pStyle w:val="11"/>
              <w:spacing w:before="0" w:beforeAutospacing="0" w:after="0" w:afterAutospacing="0"/>
              <w:jc w:val="center"/>
            </w:pPr>
            <w:r>
              <w:rPr>
                <w:rFonts w:hint="eastAsia"/>
                <w:sz w:val="21"/>
                <w:szCs w:val="21"/>
              </w:rPr>
              <w:t>以上</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78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Ⅰ、Ⅶ</w:t>
            </w: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33</w:t>
            </w:r>
            <w:r>
              <w:rPr>
                <w:rFonts w:hint="eastAsia"/>
                <w:sz w:val="21"/>
                <w:szCs w:val="21"/>
              </w:rPr>
              <w:t>＜</w:t>
            </w:r>
            <w:r>
              <w:rPr>
                <w:rFonts w:ascii="Times New Roman" w:hAnsi="Times New Roman" w:cs="Times New Roman"/>
                <w:sz w:val="21"/>
                <w:szCs w:val="21"/>
              </w:rPr>
              <w:t>A≤36</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29</w:t>
            </w:r>
            <w:r>
              <w:rPr>
                <w:rFonts w:hint="eastAsia"/>
                <w:sz w:val="21"/>
                <w:szCs w:val="21"/>
              </w:rPr>
              <w:t>＜</w:t>
            </w:r>
            <w:r>
              <w:rPr>
                <w:rFonts w:ascii="Times New Roman" w:hAnsi="Times New Roman" w:cs="Times New Roman"/>
                <w:sz w:val="21"/>
                <w:szCs w:val="21"/>
              </w:rPr>
              <w:t>A≤32</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21</w:t>
            </w:r>
            <w:r>
              <w:rPr>
                <w:rFonts w:hint="eastAsia"/>
                <w:sz w:val="21"/>
                <w:szCs w:val="21"/>
              </w:rPr>
              <w:t>＜</w:t>
            </w:r>
            <w:r>
              <w:rPr>
                <w:rFonts w:ascii="Times New Roman" w:hAnsi="Times New Roman" w:cs="Times New Roman"/>
                <w:sz w:val="21"/>
                <w:szCs w:val="21"/>
              </w:rPr>
              <w:t>A≤22</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17</w:t>
            </w:r>
            <w:r>
              <w:rPr>
                <w:rFonts w:hint="eastAsia"/>
                <w:sz w:val="21"/>
                <w:szCs w:val="21"/>
              </w:rPr>
              <w:t>＜</w:t>
            </w:r>
            <w:r>
              <w:rPr>
                <w:rFonts w:ascii="Times New Roman" w:hAnsi="Times New Roman" w:cs="Times New Roman"/>
                <w:sz w:val="21"/>
                <w:szCs w:val="21"/>
              </w:rPr>
              <w:t>A≤19</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12</w:t>
            </w:r>
            <w:r>
              <w:rPr>
                <w:rFonts w:hint="eastAsia"/>
                <w:sz w:val="21"/>
                <w:szCs w:val="21"/>
              </w:rPr>
              <w:t>＜</w:t>
            </w:r>
            <w:r>
              <w:rPr>
                <w:rFonts w:ascii="Times New Roman" w:hAnsi="Times New Roman" w:cs="Times New Roman"/>
                <w:sz w:val="21"/>
                <w:szCs w:val="21"/>
              </w:rPr>
              <w:t>A≤13</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A≤33</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A≤29</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A≤21</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A≤17</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A≤12</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8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Ⅱ、Ⅵ</w:t>
            </w: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33</w:t>
            </w:r>
            <w:r>
              <w:rPr>
                <w:rFonts w:hint="eastAsia"/>
                <w:sz w:val="21"/>
                <w:szCs w:val="21"/>
              </w:rPr>
              <w:t>＜</w:t>
            </w:r>
            <w:r>
              <w:rPr>
                <w:rFonts w:ascii="Times New Roman" w:hAnsi="Times New Roman" w:cs="Times New Roman"/>
                <w:sz w:val="21"/>
                <w:szCs w:val="21"/>
              </w:rPr>
              <w:t>A≤36</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27</w:t>
            </w:r>
            <w:r>
              <w:rPr>
                <w:rFonts w:hint="eastAsia"/>
                <w:sz w:val="21"/>
                <w:szCs w:val="21"/>
              </w:rPr>
              <w:t>＜</w:t>
            </w:r>
            <w:r>
              <w:rPr>
                <w:rFonts w:ascii="Times New Roman" w:hAnsi="Times New Roman" w:cs="Times New Roman"/>
                <w:sz w:val="21"/>
                <w:szCs w:val="21"/>
              </w:rPr>
              <w:t>A≤30</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r>
              <w:rPr>
                <w:rFonts w:hint="eastAsia"/>
                <w:sz w:val="21"/>
                <w:szCs w:val="21"/>
              </w:rPr>
              <w:t>＜</w:t>
            </w:r>
            <w:r>
              <w:rPr>
                <w:rFonts w:ascii="Times New Roman" w:hAnsi="Times New Roman" w:cs="Times New Roman"/>
                <w:sz w:val="21"/>
                <w:szCs w:val="21"/>
              </w:rPr>
              <w:t>A≤21</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16</w:t>
            </w:r>
            <w:r>
              <w:rPr>
                <w:rFonts w:hint="eastAsia"/>
                <w:sz w:val="21"/>
                <w:szCs w:val="21"/>
              </w:rPr>
              <w:t>＜</w:t>
            </w:r>
            <w:r>
              <w:rPr>
                <w:rFonts w:ascii="Times New Roman" w:hAnsi="Times New Roman" w:cs="Times New Roman"/>
                <w:sz w:val="21"/>
                <w:szCs w:val="21"/>
              </w:rPr>
              <w:t>A≤17</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12</w:t>
            </w:r>
            <w:r>
              <w:rPr>
                <w:rFonts w:hint="eastAsia"/>
                <w:sz w:val="21"/>
                <w:szCs w:val="21"/>
              </w:rPr>
              <w:t>＜</w:t>
            </w:r>
            <w:r>
              <w:rPr>
                <w:rFonts w:ascii="Times New Roman" w:hAnsi="Times New Roman" w:cs="Times New Roman"/>
                <w:sz w:val="21"/>
                <w:szCs w:val="21"/>
              </w:rPr>
              <w:t>A≤13</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A≤33</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A≤27</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A≤20</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A≤16</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A≤12</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8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Ⅲ、Ⅳ、Ⅴ</w:t>
            </w: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33</w:t>
            </w:r>
            <w:r>
              <w:rPr>
                <w:rFonts w:hint="eastAsia"/>
                <w:sz w:val="21"/>
                <w:szCs w:val="21"/>
              </w:rPr>
              <w:t>＜</w:t>
            </w:r>
            <w:r>
              <w:rPr>
                <w:rFonts w:ascii="Times New Roman" w:hAnsi="Times New Roman" w:cs="Times New Roman"/>
                <w:sz w:val="21"/>
                <w:szCs w:val="21"/>
              </w:rPr>
              <w:t>A≤36</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24</w:t>
            </w:r>
            <w:r>
              <w:rPr>
                <w:rFonts w:hint="eastAsia"/>
                <w:sz w:val="21"/>
                <w:szCs w:val="21"/>
              </w:rPr>
              <w:t>＜</w:t>
            </w:r>
            <w:r>
              <w:rPr>
                <w:rFonts w:ascii="Times New Roman" w:hAnsi="Times New Roman" w:cs="Times New Roman"/>
                <w:sz w:val="21"/>
                <w:szCs w:val="21"/>
              </w:rPr>
              <w:t>A≤27</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19</w:t>
            </w:r>
            <w:r>
              <w:rPr>
                <w:rFonts w:hint="eastAsia"/>
                <w:sz w:val="21"/>
                <w:szCs w:val="21"/>
              </w:rPr>
              <w:t>＜</w:t>
            </w:r>
            <w:r>
              <w:rPr>
                <w:rFonts w:ascii="Times New Roman" w:hAnsi="Times New Roman" w:cs="Times New Roman"/>
                <w:sz w:val="21"/>
                <w:szCs w:val="21"/>
              </w:rPr>
              <w:t>A≤20</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r>
              <w:rPr>
                <w:rFonts w:hint="eastAsia"/>
                <w:sz w:val="21"/>
                <w:szCs w:val="21"/>
              </w:rPr>
              <w:t>＜</w:t>
            </w:r>
            <w:r>
              <w:rPr>
                <w:rFonts w:ascii="Times New Roman" w:hAnsi="Times New Roman" w:cs="Times New Roman"/>
                <w:sz w:val="21"/>
                <w:szCs w:val="21"/>
              </w:rPr>
              <w:t>A≤16</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11</w:t>
            </w:r>
            <w:r>
              <w:rPr>
                <w:rFonts w:hint="eastAsia"/>
                <w:sz w:val="21"/>
                <w:szCs w:val="21"/>
              </w:rPr>
              <w:t>＜</w:t>
            </w:r>
            <w:r>
              <w:rPr>
                <w:rFonts w:ascii="Times New Roman" w:hAnsi="Times New Roman" w:cs="Times New Roman"/>
                <w:sz w:val="21"/>
                <w:szCs w:val="21"/>
              </w:rPr>
              <w:t>A≤12</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A≤33</w:t>
            </w:r>
          </w:p>
        </w:tc>
        <w:tc>
          <w:tcPr>
            <w:tcW w:w="10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A≤24</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A≤19</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A≤15</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A≤11</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103" w:type="dxa"/>
            <w:gridSpan w:val="6"/>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77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6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p>
        </w:tc>
      </w:tr>
      <w:tr>
        <w:tblPrEx>
          <w:tblCellMar>
            <w:top w:w="0" w:type="dxa"/>
            <w:left w:w="0" w:type="dxa"/>
            <w:bottom w:w="0" w:type="dxa"/>
            <w:right w:w="0" w:type="dxa"/>
          </w:tblCellMar>
        </w:tblPrEx>
        <w:trPr>
          <w:jc w:val="center"/>
        </w:trPr>
        <w:tc>
          <w:tcPr>
            <w:tcW w:w="997" w:type="dxa"/>
            <w:tcBorders>
              <w:top w:val="nil"/>
              <w:left w:val="nil"/>
              <w:bottom w:val="nil"/>
              <w:right w:val="nil"/>
            </w:tcBorders>
            <w:noWrap w:val="0"/>
            <w:vAlign w:val="center"/>
          </w:tcPr>
          <w:p>
            <w:pPr>
              <w:rPr>
                <w:sz w:val="1"/>
              </w:rPr>
            </w:pPr>
          </w:p>
        </w:tc>
        <w:tc>
          <w:tcPr>
            <w:tcW w:w="1237" w:type="dxa"/>
            <w:tcBorders>
              <w:top w:val="nil"/>
              <w:left w:val="nil"/>
              <w:bottom w:val="nil"/>
              <w:right w:val="nil"/>
            </w:tcBorders>
            <w:noWrap w:val="0"/>
            <w:vAlign w:val="center"/>
          </w:tcPr>
          <w:p>
            <w:pPr>
              <w:rPr>
                <w:sz w:val="1"/>
              </w:rPr>
            </w:pPr>
          </w:p>
        </w:tc>
        <w:tc>
          <w:tcPr>
            <w:tcW w:w="1258" w:type="dxa"/>
            <w:tcBorders>
              <w:top w:val="nil"/>
              <w:left w:val="nil"/>
              <w:bottom w:val="nil"/>
              <w:right w:val="nil"/>
            </w:tcBorders>
            <w:noWrap w:val="0"/>
            <w:vAlign w:val="center"/>
          </w:tcPr>
          <w:p>
            <w:pPr>
              <w:rPr>
                <w:sz w:val="1"/>
              </w:rPr>
            </w:pPr>
          </w:p>
        </w:tc>
        <w:tc>
          <w:tcPr>
            <w:tcW w:w="1276" w:type="dxa"/>
            <w:tcBorders>
              <w:top w:val="nil"/>
              <w:left w:val="nil"/>
              <w:bottom w:val="nil"/>
              <w:right w:val="nil"/>
            </w:tcBorders>
            <w:noWrap w:val="0"/>
            <w:vAlign w:val="center"/>
          </w:tcPr>
          <w:p>
            <w:pPr>
              <w:rPr>
                <w:sz w:val="1"/>
              </w:rPr>
            </w:pPr>
          </w:p>
        </w:tc>
        <w:tc>
          <w:tcPr>
            <w:tcW w:w="1275" w:type="dxa"/>
            <w:tcBorders>
              <w:top w:val="nil"/>
              <w:left w:val="nil"/>
              <w:bottom w:val="nil"/>
              <w:right w:val="nil"/>
            </w:tcBorders>
            <w:noWrap w:val="0"/>
            <w:vAlign w:val="center"/>
          </w:tcPr>
          <w:p>
            <w:pPr>
              <w:rPr>
                <w:sz w:val="1"/>
              </w:rPr>
            </w:pPr>
          </w:p>
        </w:tc>
        <w:tc>
          <w:tcPr>
            <w:tcW w:w="1276" w:type="dxa"/>
            <w:tcBorders>
              <w:top w:val="nil"/>
              <w:left w:val="nil"/>
              <w:bottom w:val="nil"/>
              <w:right w:val="nil"/>
            </w:tcBorders>
            <w:noWrap w:val="0"/>
            <w:vAlign w:val="center"/>
          </w:tcPr>
          <w:p>
            <w:pPr>
              <w:rPr>
                <w:sz w:val="1"/>
              </w:rPr>
            </w:pPr>
          </w:p>
        </w:tc>
        <w:tc>
          <w:tcPr>
            <w:tcW w:w="992" w:type="dxa"/>
            <w:tcBorders>
              <w:top w:val="nil"/>
              <w:left w:val="nil"/>
              <w:bottom w:val="nil"/>
              <w:right w:val="nil"/>
            </w:tcBorders>
            <w:noWrap w:val="0"/>
            <w:vAlign w:val="center"/>
          </w:tcPr>
          <w:p>
            <w:pPr>
              <w:rPr>
                <w:sz w:val="1"/>
              </w:rPr>
            </w:pPr>
          </w:p>
        </w:tc>
        <w:tc>
          <w:tcPr>
            <w:tcW w:w="851"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）公共建筑容积率</w:t>
      </w:r>
      <w:r>
        <w:rPr>
          <w:rFonts w:ascii="Times New Roman" w:hAnsi="Times New Roman" w:cs="Times New Roman"/>
          <w:sz w:val="21"/>
          <w:szCs w:val="21"/>
        </w:rPr>
        <w:t>R</w:t>
      </w:r>
    </w:p>
    <w:tbl>
      <w:tblPr>
        <w:tblStyle w:val="13"/>
        <w:tblW w:w="9201" w:type="dxa"/>
        <w:jc w:val="center"/>
        <w:tblLayout w:type="autofit"/>
        <w:tblCellMar>
          <w:top w:w="0" w:type="dxa"/>
          <w:left w:w="0" w:type="dxa"/>
          <w:bottom w:w="0" w:type="dxa"/>
          <w:right w:w="0" w:type="dxa"/>
        </w:tblCellMar>
      </w:tblPr>
      <w:tblGrid>
        <w:gridCol w:w="3408"/>
        <w:gridCol w:w="3124"/>
        <w:gridCol w:w="1562"/>
        <w:gridCol w:w="1107"/>
      </w:tblGrid>
      <w:tr>
        <w:tblPrEx>
          <w:tblCellMar>
            <w:top w:w="0" w:type="dxa"/>
            <w:left w:w="0" w:type="dxa"/>
            <w:bottom w:w="0" w:type="dxa"/>
            <w:right w:w="0" w:type="dxa"/>
          </w:tblCellMar>
        </w:tblPrEx>
        <w:trPr>
          <w:jc w:val="center"/>
        </w:trPr>
        <w:tc>
          <w:tcPr>
            <w:tcW w:w="31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行政办公、商务办公、商业金融、旅馆饭店、交通枢纽等</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教育、文化、体育、医疗卫生、社会福利等</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8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jc w:val="center"/>
        </w:trPr>
        <w:tc>
          <w:tcPr>
            <w:tcW w:w="31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1.0≤R</w:t>
            </w:r>
            <w:r>
              <w:rPr>
                <w:rFonts w:hint="eastAsia"/>
                <w:sz w:val="21"/>
                <w:szCs w:val="21"/>
              </w:rPr>
              <w:t>＜</w:t>
            </w:r>
            <w:r>
              <w:rPr>
                <w:rFonts w:ascii="Times New Roman" w:hAnsi="Times New Roman" w:cs="Times New Roman"/>
                <w:sz w:val="21"/>
                <w:szCs w:val="21"/>
              </w:rPr>
              <w:t>1.5</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0.5≤R</w:t>
            </w:r>
            <w:r>
              <w:rPr>
                <w:rFonts w:hint="eastAsia"/>
                <w:sz w:val="21"/>
                <w:szCs w:val="21"/>
              </w:rPr>
              <w:t>＜</w:t>
            </w:r>
            <w:r>
              <w:rPr>
                <w:rFonts w:ascii="Times New Roman" w:hAnsi="Times New Roman" w:cs="Times New Roman"/>
                <w:sz w:val="21"/>
                <w:szCs w:val="21"/>
              </w:rPr>
              <w:t>0.8</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8</w:t>
            </w:r>
          </w:p>
        </w:tc>
        <w:tc>
          <w:tcPr>
            <w:tcW w:w="8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31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1.5≤R</w:t>
            </w:r>
            <w:r>
              <w:rPr>
                <w:rFonts w:hint="eastAsia"/>
                <w:sz w:val="21"/>
                <w:szCs w:val="21"/>
              </w:rPr>
              <w:t>＜</w:t>
            </w:r>
            <w:r>
              <w:rPr>
                <w:rFonts w:ascii="Times New Roman" w:hAnsi="Times New Roman" w:cs="Times New Roman"/>
                <w:sz w:val="21"/>
                <w:szCs w:val="21"/>
              </w:rPr>
              <w:t>2.5</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R≥2.0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12</w:t>
            </w:r>
          </w:p>
        </w:tc>
        <w:tc>
          <w:tcPr>
            <w:tcW w:w="8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31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2.5≤R</w:t>
            </w:r>
            <w:r>
              <w:rPr>
                <w:rFonts w:hint="eastAsia"/>
                <w:sz w:val="21"/>
                <w:szCs w:val="21"/>
              </w:rPr>
              <w:t>＜</w:t>
            </w:r>
            <w:r>
              <w:rPr>
                <w:rFonts w:ascii="Times New Roman" w:hAnsi="Times New Roman" w:cs="Times New Roman"/>
                <w:sz w:val="21"/>
                <w:szCs w:val="21"/>
              </w:rPr>
              <w:t>3.5</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0.8≤R</w:t>
            </w:r>
            <w:r>
              <w:rPr>
                <w:rFonts w:hint="eastAsia"/>
                <w:sz w:val="21"/>
                <w:szCs w:val="21"/>
              </w:rPr>
              <w:t>＜</w:t>
            </w:r>
            <w:r>
              <w:rPr>
                <w:rFonts w:ascii="Times New Roman" w:hAnsi="Times New Roman" w:cs="Times New Roman"/>
                <w:sz w:val="21"/>
                <w:szCs w:val="21"/>
              </w:rPr>
              <w:t>1.5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16</w:t>
            </w:r>
          </w:p>
        </w:tc>
        <w:tc>
          <w:tcPr>
            <w:tcW w:w="8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rPr>
                <w:rFonts w:hint="default" w:eastAsia="宋体"/>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16</w:t>
            </w:r>
          </w:p>
        </w:tc>
      </w:tr>
      <w:tr>
        <w:tblPrEx>
          <w:tblCellMar>
            <w:top w:w="0" w:type="dxa"/>
            <w:left w:w="0" w:type="dxa"/>
            <w:bottom w:w="0" w:type="dxa"/>
            <w:right w:w="0" w:type="dxa"/>
          </w:tblCellMar>
        </w:tblPrEx>
        <w:trPr>
          <w:jc w:val="center"/>
        </w:trPr>
        <w:tc>
          <w:tcPr>
            <w:tcW w:w="31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R≥3.5</w:t>
            </w:r>
          </w:p>
        </w:tc>
        <w:tc>
          <w:tcPr>
            <w:tcW w:w="29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1.5≤R</w:t>
            </w:r>
            <w:r>
              <w:rPr>
                <w:rFonts w:hint="eastAsia"/>
                <w:sz w:val="21"/>
                <w:szCs w:val="21"/>
              </w:rPr>
              <w:t>＜</w:t>
            </w:r>
            <w:r>
              <w:rPr>
                <w:rFonts w:ascii="Times New Roman" w:hAnsi="Times New Roman" w:cs="Times New Roman"/>
                <w:sz w:val="21"/>
                <w:szCs w:val="21"/>
              </w:rPr>
              <w:t>3.5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8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p>
        </w:tc>
      </w:tr>
      <w:tr>
        <w:tblPrEx>
          <w:tblCellMar>
            <w:top w:w="0" w:type="dxa"/>
            <w:left w:w="0" w:type="dxa"/>
            <w:bottom w:w="0" w:type="dxa"/>
            <w:right w:w="0" w:type="dxa"/>
          </w:tblCellMar>
        </w:tblPrEx>
        <w:trPr>
          <w:jc w:val="center"/>
        </w:trPr>
        <w:tc>
          <w:tcPr>
            <w:tcW w:w="6306"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8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rPr>
                <w:rFonts w:hint="default" w:eastAsia="宋体"/>
                <w:lang w:val="en-US" w:eastAsia="zh-CN"/>
              </w:rPr>
            </w:pPr>
            <w:r>
              <w:rPr>
                <w:rFonts w:hint="eastAsia" w:ascii="Times New Roman" w:hAnsi="Times New Roman" w:eastAsia="宋体" w:cs="Times New Roman"/>
                <w:sz w:val="21"/>
                <w:szCs w:val="21"/>
                <w:lang w:val="en-US" w:eastAsia="zh-CN"/>
              </w:rPr>
              <w:t>16</w:t>
            </w:r>
          </w:p>
        </w:tc>
      </w:tr>
      <w:tr>
        <w:tblPrEx>
          <w:tblCellMar>
            <w:top w:w="0" w:type="dxa"/>
            <w:left w:w="0" w:type="dxa"/>
            <w:bottom w:w="0" w:type="dxa"/>
            <w:right w:w="0" w:type="dxa"/>
          </w:tblCellMar>
        </w:tblPrEx>
        <w:trPr>
          <w:jc w:val="center"/>
        </w:trPr>
        <w:tc>
          <w:tcPr>
            <w:tcW w:w="3403" w:type="dxa"/>
            <w:tcBorders>
              <w:top w:val="nil"/>
              <w:left w:val="nil"/>
              <w:bottom w:val="nil"/>
              <w:right w:val="nil"/>
            </w:tcBorders>
            <w:noWrap w:val="0"/>
            <w:vAlign w:val="center"/>
          </w:tcPr>
          <w:p>
            <w:pPr>
              <w:rPr>
                <w:sz w:val="1"/>
              </w:rPr>
            </w:pPr>
          </w:p>
        </w:tc>
        <w:tc>
          <w:tcPr>
            <w:tcW w:w="3119"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105"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）居住建筑</w:t>
      </w:r>
    </w:p>
    <w:p>
      <w:pPr>
        <w:pStyle w:val="11"/>
        <w:spacing w:before="0" w:beforeAutospacing="0" w:after="0" w:afterAutospacing="0"/>
        <w:jc w:val="both"/>
      </w:pPr>
      <w:r>
        <w:rPr>
          <w:rFonts w:hint="eastAsia"/>
          <w:sz w:val="21"/>
          <w:szCs w:val="21"/>
        </w:rPr>
        <w:t>住区用地面积：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，户均人数：</w:t>
      </w:r>
      <w:r>
        <w:rPr>
          <w:rFonts w:hint="eastAsia"/>
          <w:sz w:val="21"/>
          <w:szCs w:val="21"/>
          <w:u w:val="single"/>
        </w:rPr>
        <w:t xml:space="preserve">         </w:t>
      </w:r>
      <w:r>
        <w:rPr>
          <w:rFonts w:hint="eastAsia"/>
          <w:sz w:val="21"/>
          <w:szCs w:val="21"/>
        </w:rPr>
        <w:t xml:space="preserve">人，总户数： </w:t>
      </w:r>
      <w:r>
        <w:rPr>
          <w:rFonts w:hint="eastAsia"/>
          <w:sz w:val="21"/>
          <w:szCs w:val="21"/>
          <w:u w:val="single"/>
        </w:rPr>
        <w:t xml:space="preserve">       </w:t>
      </w:r>
      <w:r>
        <w:rPr>
          <w:rFonts w:hint="eastAsia"/>
          <w:sz w:val="21"/>
          <w:szCs w:val="21"/>
        </w:rPr>
        <w:t>户。</w:t>
      </w:r>
    </w:p>
    <w:p>
      <w:pPr>
        <w:pStyle w:val="11"/>
        <w:spacing w:before="0" w:beforeAutospacing="0" w:after="0" w:afterAutospacing="0"/>
        <w:jc w:val="both"/>
      </w:pPr>
      <w:r>
        <w:rPr>
          <w:rFonts w:hint="eastAsia"/>
          <w:sz w:val="21"/>
          <w:szCs w:val="21"/>
        </w:rPr>
        <w:t>主要户型：</w:t>
      </w:r>
      <w:r>
        <w:rPr>
          <w:rFonts w:ascii="Times New Roman" w:hAnsi="Times New Roman" w:cs="Times New Roman"/>
          <w:sz w:val="21"/>
          <w:szCs w:val="21"/>
          <w:u w:val="single"/>
        </w:rPr>
        <w:t xml:space="preserve">     </w:t>
      </w:r>
      <w:r>
        <w:rPr>
          <w:rFonts w:hint="eastAsia"/>
          <w:sz w:val="21"/>
          <w:szCs w:val="21"/>
        </w:rPr>
        <w:t>，主要户型建筑面积：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，占总户数的比例：</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hint="eastAsia"/>
          <w:sz w:val="21"/>
          <w:szCs w:val="21"/>
        </w:rPr>
        <w:t>。</w:t>
      </w:r>
    </w:p>
    <w:p>
      <w:pPr>
        <w:pStyle w:val="11"/>
        <w:spacing w:before="0" w:beforeAutospacing="0" w:after="0" w:afterAutospacing="0"/>
        <w:jc w:val="both"/>
      </w:pPr>
      <w:r>
        <w:rPr>
          <w:rFonts w:hint="eastAsia"/>
          <w:sz w:val="21"/>
          <w:szCs w:val="21"/>
        </w:rPr>
        <w:t>人均居住用地指标：</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w:t>
      </w:r>
      <w:r>
        <w:rPr>
          <w:rFonts w:hint="eastAsia"/>
          <w:sz w:val="21"/>
          <w:szCs w:val="21"/>
        </w:rPr>
        <w:t>人</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）公共建筑</w:t>
      </w:r>
    </w:p>
    <w:p>
      <w:pPr>
        <w:pStyle w:val="11"/>
        <w:spacing w:before="0" w:beforeAutospacing="0" w:after="0" w:afterAutospacing="0"/>
        <w:jc w:val="both"/>
      </w:pPr>
      <w:r>
        <w:rPr>
          <w:rFonts w:hint="eastAsia"/>
          <w:sz w:val="21"/>
          <w:szCs w:val="21"/>
        </w:rPr>
        <w:t>规划用地面积：</w:t>
      </w:r>
      <w:r>
        <w:rPr>
          <w:rFonts w:hint="eastAsia"/>
          <w:sz w:val="21"/>
          <w:szCs w:val="21"/>
          <w:u w:val="single"/>
        </w:rPr>
        <w:t xml:space="preserve">       9253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，地上总建筑面积：</w:t>
      </w:r>
      <w:r>
        <w:rPr>
          <w:rFonts w:hint="eastAsia"/>
          <w:sz w:val="21"/>
          <w:szCs w:val="21"/>
          <w:u w:val="single"/>
        </w:rPr>
        <w:t xml:space="preserve">     4200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 xml:space="preserve"> </w:t>
      </w:r>
      <w:r>
        <w:rPr>
          <w:rFonts w:hint="eastAsia"/>
          <w:sz w:val="21"/>
          <w:szCs w:val="21"/>
        </w:rPr>
        <w:t>，容积率：</w:t>
      </w:r>
      <w:r>
        <w:rPr>
          <w:rFonts w:hint="eastAsia"/>
          <w:sz w:val="21"/>
          <w:szCs w:val="21"/>
          <w:u w:val="single"/>
        </w:rPr>
        <w:t xml:space="preserve">     0.45      </w:t>
      </w:r>
      <w:r>
        <w:rPr>
          <w:rFonts w:hint="eastAsia"/>
          <w:sz w:val="21"/>
          <w:szCs w:val="21"/>
        </w:rPr>
        <w:t>。</w:t>
      </w:r>
    </w:p>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）竣工总平面图及相关设计说明；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）用地指标计算书。</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691"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建筑总平面图：3建筑设计/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用地指标计算书：3建筑设计/ 容积率计算.docx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7.2.2合理开发利用地下空间。（12分）</w:t>
      </w:r>
    </w:p>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p>
      <w:pPr>
        <w:spacing w:line="288" w:lineRule="auto"/>
        <w:rPr>
          <w:rFonts w:ascii="Times New Roman" w:hAnsi="Times New Roman" w:cs="Times New Roman"/>
        </w:rPr>
      </w:pPr>
      <w:r>
        <w:rPr>
          <w:rFonts w:ascii="Times New Roman" w:hAnsi="Times New Roman" w:cs="Times New Roman"/>
        </w:rPr>
        <w:t>1）居住建筑</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26"/>
        <w:gridCol w:w="1984"/>
        <w:gridCol w:w="1701"/>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jc w:val="center"/>
              <w:rPr>
                <w:rFonts w:ascii="Times New Roman" w:hAnsi="Times New Roman" w:cs="Times New Roman"/>
                <w:b/>
              </w:rPr>
            </w:pPr>
            <w:r>
              <w:rPr>
                <w:rFonts w:ascii="Times New Roman" w:hAnsi="Times New Roman" w:cs="Times New Roman"/>
                <w:szCs w:val="21"/>
              </w:rPr>
              <w:t>序号</w:t>
            </w:r>
          </w:p>
        </w:tc>
        <w:tc>
          <w:tcPr>
            <w:tcW w:w="4210" w:type="dxa"/>
            <w:gridSpan w:val="2"/>
            <w:noWrap w:val="0"/>
            <w:vAlign w:val="center"/>
          </w:tcPr>
          <w:p>
            <w:pPr>
              <w:jc w:val="center"/>
              <w:rPr>
                <w:rFonts w:ascii="Times New Roman" w:hAnsi="Times New Roman" w:cs="Times New Roman"/>
                <w:b/>
              </w:rPr>
            </w:pPr>
            <w:r>
              <w:rPr>
                <w:rFonts w:ascii="Times New Roman" w:hAnsi="Times New Roman" w:cs="Times New Roman"/>
                <w:szCs w:val="21"/>
              </w:rPr>
              <w:t>评价内容</w:t>
            </w:r>
          </w:p>
        </w:tc>
        <w:tc>
          <w:tcPr>
            <w:tcW w:w="1701" w:type="dxa"/>
            <w:noWrap w:val="0"/>
            <w:vAlign w:val="center"/>
          </w:tcPr>
          <w:p>
            <w:pPr>
              <w:jc w:val="center"/>
              <w:rPr>
                <w:rFonts w:ascii="Times New Roman" w:hAnsi="Times New Roman" w:cs="Times New Roman"/>
                <w:b/>
              </w:rPr>
            </w:pPr>
            <w:r>
              <w:rPr>
                <w:rFonts w:ascii="Times New Roman" w:hAnsi="Times New Roman" w:cs="Times New Roman"/>
                <w:szCs w:val="21"/>
              </w:rPr>
              <w:t>评价分值</w:t>
            </w:r>
          </w:p>
        </w:tc>
        <w:tc>
          <w:tcPr>
            <w:tcW w:w="1318" w:type="dxa"/>
            <w:noWrap w:val="0"/>
            <w:vAlign w:val="center"/>
          </w:tcPr>
          <w:p>
            <w:pPr>
              <w:jc w:val="center"/>
              <w:rPr>
                <w:rFonts w:ascii="Times New Roman" w:hAnsi="Times New Roman" w:cs="Times New Roman"/>
                <w:b/>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pPr>
              <w:jc w:val="center"/>
              <w:rPr>
                <w:rFonts w:ascii="Times New Roman" w:hAnsi="Times New Roman" w:cs="Times New Roman"/>
              </w:rPr>
            </w:pPr>
            <w:r>
              <w:rPr>
                <w:rFonts w:ascii="Times New Roman" w:hAnsi="Times New Roman" w:cs="Times New Roman"/>
              </w:rPr>
              <w:t>1</w:t>
            </w:r>
          </w:p>
        </w:tc>
        <w:tc>
          <w:tcPr>
            <w:tcW w:w="2226" w:type="dxa"/>
            <w:vMerge w:val="restart"/>
            <w:noWrap w:val="0"/>
            <w:vAlign w:val="center"/>
          </w:tcPr>
          <w:p>
            <w:pPr>
              <w:rPr>
                <w:rFonts w:ascii="Times New Roman" w:hAnsi="Times New Roman" w:cs="Times New Roman"/>
              </w:rPr>
            </w:pPr>
            <w:bookmarkStart w:id="0" w:name="_Toc9944748"/>
            <w:bookmarkStart w:id="1" w:name="_Toc9945172"/>
            <w:bookmarkStart w:id="2" w:name="_Toc9945455"/>
            <w:bookmarkStart w:id="3" w:name="_Toc9945028"/>
            <w:bookmarkStart w:id="4" w:name="_Toc9945314"/>
            <w:r>
              <w:rPr>
                <w:rFonts w:ascii="Times New Roman" w:hAnsi="Times New Roman" w:cs="Times New Roman"/>
              </w:rPr>
              <w:t>地下建筑面积与地上建筑面积的比率</w:t>
            </w:r>
            <w:r>
              <w:rPr>
                <w:rFonts w:ascii="Times New Roman" w:hAnsi="Times New Roman" w:cs="Times New Roman"/>
                <w:i/>
              </w:rPr>
              <w:t>R</w:t>
            </w:r>
            <w:r>
              <w:rPr>
                <w:rFonts w:ascii="Times New Roman" w:hAnsi="Times New Roman" w:cs="Times New Roman"/>
              </w:rPr>
              <w:t>r</w:t>
            </w:r>
            <w:bookmarkEnd w:id="0"/>
            <w:bookmarkEnd w:id="1"/>
            <w:bookmarkEnd w:id="2"/>
            <w:bookmarkEnd w:id="3"/>
            <w:bookmarkEnd w:id="4"/>
          </w:p>
          <w:p>
            <w:pPr>
              <w:rPr>
                <w:rFonts w:ascii="Times New Roman" w:hAnsi="Times New Roman" w:cs="Times New Roman"/>
              </w:rPr>
            </w:pPr>
            <w:bookmarkStart w:id="5" w:name="_Toc9945456"/>
            <w:bookmarkStart w:id="6" w:name="_Toc9944749"/>
            <w:bookmarkStart w:id="7" w:name="_Toc9945173"/>
            <w:bookmarkStart w:id="8" w:name="_Toc9945029"/>
            <w:bookmarkStart w:id="9" w:name="_Toc9945315"/>
            <w:r>
              <w:rPr>
                <w:rFonts w:ascii="Times New Roman" w:hAnsi="Times New Roman" w:cs="Times New Roman"/>
              </w:rPr>
              <w:t>地下一层建筑面积与总用地面积的比率</w:t>
            </w:r>
            <w:r>
              <w:rPr>
                <w:rFonts w:ascii="Times New Roman" w:hAnsi="Times New Roman" w:cs="Times New Roman"/>
                <w:i/>
              </w:rPr>
              <w:t>R</w:t>
            </w:r>
            <w:r>
              <w:rPr>
                <w:rFonts w:ascii="Times New Roman" w:hAnsi="Times New Roman" w:cs="Times New Roman"/>
              </w:rPr>
              <w:t>p</w:t>
            </w:r>
            <w:bookmarkEnd w:id="5"/>
            <w:bookmarkEnd w:id="6"/>
            <w:bookmarkEnd w:id="7"/>
            <w:bookmarkEnd w:id="8"/>
            <w:bookmarkEnd w:id="9"/>
          </w:p>
        </w:tc>
        <w:tc>
          <w:tcPr>
            <w:tcW w:w="1984" w:type="dxa"/>
            <w:noWrap w:val="0"/>
            <w:vAlign w:val="center"/>
          </w:tcPr>
          <w:p>
            <w:pPr>
              <w:jc w:val="center"/>
              <w:rPr>
                <w:rFonts w:ascii="Times New Roman" w:hAnsi="Times New Roman" w:cs="Times New Roman"/>
              </w:rPr>
            </w:pPr>
            <w:bookmarkStart w:id="10" w:name="_Toc9945030"/>
            <w:bookmarkStart w:id="11" w:name="_Toc9945457"/>
            <w:bookmarkStart w:id="12" w:name="_Toc9944750"/>
            <w:bookmarkStart w:id="13" w:name="_Toc9945174"/>
            <w:bookmarkStart w:id="14" w:name="_Toc9945316"/>
            <w:r>
              <w:rPr>
                <w:rFonts w:ascii="Times New Roman" w:hAnsi="Times New Roman" w:cs="Times New Roman"/>
              </w:rPr>
              <w:t>5%≤</w:t>
            </w:r>
            <w:r>
              <w:rPr>
                <w:rFonts w:ascii="Times New Roman" w:hAnsi="Times New Roman" w:cs="Times New Roman"/>
                <w:i/>
              </w:rPr>
              <w:t>R</w:t>
            </w:r>
            <w:r>
              <w:rPr>
                <w:rFonts w:ascii="Times New Roman" w:hAnsi="Times New Roman" w:cs="Times New Roman"/>
              </w:rPr>
              <w:t>r＜20%</w:t>
            </w:r>
            <w:bookmarkEnd w:id="10"/>
            <w:bookmarkEnd w:id="11"/>
            <w:bookmarkEnd w:id="12"/>
            <w:bookmarkEnd w:id="13"/>
            <w:bookmarkEnd w:id="14"/>
          </w:p>
        </w:tc>
        <w:tc>
          <w:tcPr>
            <w:tcW w:w="1701" w:type="dxa"/>
            <w:noWrap w:val="0"/>
            <w:vAlign w:val="center"/>
          </w:tcPr>
          <w:p>
            <w:pPr>
              <w:jc w:val="center"/>
              <w:rPr>
                <w:rFonts w:ascii="Times New Roman" w:hAnsi="Times New Roman" w:cs="Times New Roman"/>
              </w:rPr>
            </w:pPr>
            <w:bookmarkStart w:id="15" w:name="_Toc9945031"/>
            <w:bookmarkStart w:id="16" w:name="_Toc9945317"/>
            <w:bookmarkStart w:id="17" w:name="_Toc9944751"/>
            <w:bookmarkStart w:id="18" w:name="_Toc9945175"/>
            <w:bookmarkStart w:id="19" w:name="_Toc9945458"/>
            <w:r>
              <w:rPr>
                <w:rFonts w:ascii="Times New Roman" w:hAnsi="Times New Roman" w:cs="Times New Roman"/>
              </w:rPr>
              <w:t>5</w:t>
            </w:r>
            <w:bookmarkEnd w:id="15"/>
            <w:bookmarkEnd w:id="16"/>
            <w:bookmarkEnd w:id="17"/>
            <w:bookmarkEnd w:id="18"/>
            <w:bookmarkEnd w:id="19"/>
          </w:p>
        </w:tc>
        <w:tc>
          <w:tcPr>
            <w:tcW w:w="1318"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pPr>
              <w:pStyle w:val="27"/>
              <w:spacing w:line="240" w:lineRule="auto"/>
              <w:jc w:val="center"/>
              <w:outlineLvl w:val="9"/>
              <w:rPr>
                <w:bCs/>
                <w:sz w:val="21"/>
                <w:szCs w:val="21"/>
              </w:rPr>
            </w:pPr>
          </w:p>
        </w:tc>
        <w:tc>
          <w:tcPr>
            <w:tcW w:w="2226" w:type="dxa"/>
            <w:vMerge w:val="continue"/>
            <w:noWrap w:val="0"/>
            <w:vAlign w:val="center"/>
          </w:tcPr>
          <w:p>
            <w:pPr>
              <w:pStyle w:val="27"/>
              <w:spacing w:line="240" w:lineRule="auto"/>
              <w:jc w:val="left"/>
              <w:outlineLvl w:val="9"/>
              <w:rPr>
                <w:bCs/>
                <w:sz w:val="21"/>
                <w:szCs w:val="21"/>
              </w:rPr>
            </w:pPr>
          </w:p>
        </w:tc>
        <w:tc>
          <w:tcPr>
            <w:tcW w:w="1984" w:type="dxa"/>
            <w:noWrap w:val="0"/>
            <w:vAlign w:val="center"/>
          </w:tcPr>
          <w:p>
            <w:pPr>
              <w:jc w:val="center"/>
              <w:rPr>
                <w:rFonts w:ascii="Times New Roman" w:hAnsi="Times New Roman" w:cs="Times New Roman"/>
              </w:rPr>
            </w:pPr>
            <w:bookmarkStart w:id="20" w:name="_Toc9945032"/>
            <w:bookmarkStart w:id="21" w:name="_Toc9945318"/>
            <w:bookmarkStart w:id="22" w:name="_Toc9944752"/>
            <w:bookmarkStart w:id="23" w:name="_Toc9945459"/>
            <w:bookmarkStart w:id="24" w:name="_Toc9945176"/>
            <w:r>
              <w:rPr>
                <w:rFonts w:ascii="Times New Roman" w:hAnsi="Times New Roman" w:cs="Times New Roman"/>
                <w:i/>
              </w:rPr>
              <w:t>R</w:t>
            </w:r>
            <w:r>
              <w:rPr>
                <w:rFonts w:ascii="Times New Roman" w:hAnsi="Times New Roman" w:cs="Times New Roman"/>
              </w:rPr>
              <w:t>r≥20%</w:t>
            </w:r>
            <w:bookmarkEnd w:id="20"/>
            <w:bookmarkEnd w:id="21"/>
            <w:bookmarkEnd w:id="22"/>
            <w:bookmarkEnd w:id="23"/>
            <w:bookmarkEnd w:id="24"/>
          </w:p>
        </w:tc>
        <w:tc>
          <w:tcPr>
            <w:tcW w:w="1701" w:type="dxa"/>
            <w:noWrap w:val="0"/>
            <w:vAlign w:val="center"/>
          </w:tcPr>
          <w:p>
            <w:pPr>
              <w:jc w:val="center"/>
              <w:rPr>
                <w:rFonts w:ascii="Times New Roman" w:hAnsi="Times New Roman" w:cs="Times New Roman"/>
              </w:rPr>
            </w:pPr>
            <w:bookmarkStart w:id="25" w:name="_Toc9945460"/>
            <w:bookmarkStart w:id="26" w:name="_Toc9945033"/>
            <w:bookmarkStart w:id="27" w:name="_Toc9944753"/>
            <w:bookmarkStart w:id="28" w:name="_Toc9945177"/>
            <w:bookmarkStart w:id="29" w:name="_Toc9945319"/>
            <w:r>
              <w:rPr>
                <w:rFonts w:ascii="Times New Roman" w:hAnsi="Times New Roman" w:cs="Times New Roman"/>
              </w:rPr>
              <w:t>7</w:t>
            </w:r>
            <w:bookmarkEnd w:id="25"/>
            <w:bookmarkEnd w:id="26"/>
            <w:bookmarkEnd w:id="27"/>
            <w:bookmarkEnd w:id="28"/>
            <w:bookmarkEnd w:id="29"/>
          </w:p>
        </w:tc>
        <w:tc>
          <w:tcPr>
            <w:tcW w:w="1318"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pPr>
              <w:pStyle w:val="27"/>
              <w:spacing w:line="240" w:lineRule="auto"/>
              <w:jc w:val="center"/>
              <w:outlineLvl w:val="9"/>
              <w:rPr>
                <w:bCs/>
                <w:i/>
                <w:sz w:val="21"/>
                <w:szCs w:val="21"/>
              </w:rPr>
            </w:pPr>
          </w:p>
        </w:tc>
        <w:tc>
          <w:tcPr>
            <w:tcW w:w="2226" w:type="dxa"/>
            <w:vMerge w:val="continue"/>
            <w:noWrap w:val="0"/>
            <w:vAlign w:val="center"/>
          </w:tcPr>
          <w:p>
            <w:pPr>
              <w:pStyle w:val="27"/>
              <w:spacing w:line="240" w:lineRule="auto"/>
              <w:jc w:val="left"/>
              <w:outlineLvl w:val="9"/>
              <w:rPr>
                <w:bCs/>
                <w:i/>
                <w:sz w:val="21"/>
                <w:szCs w:val="21"/>
              </w:rPr>
            </w:pPr>
          </w:p>
        </w:tc>
        <w:tc>
          <w:tcPr>
            <w:tcW w:w="1984" w:type="dxa"/>
            <w:noWrap w:val="0"/>
            <w:vAlign w:val="center"/>
          </w:tcPr>
          <w:p>
            <w:pPr>
              <w:jc w:val="center"/>
              <w:rPr>
                <w:rFonts w:ascii="Times New Roman" w:hAnsi="Times New Roman" w:cs="Times New Roman"/>
              </w:rPr>
            </w:pPr>
            <w:bookmarkStart w:id="30" w:name="_Toc9945034"/>
            <w:bookmarkStart w:id="31" w:name="_Toc9945178"/>
            <w:bookmarkStart w:id="32" w:name="_Toc9945461"/>
            <w:bookmarkStart w:id="33" w:name="_Toc9944754"/>
            <w:bookmarkStart w:id="34" w:name="_Toc9945320"/>
            <w:r>
              <w:rPr>
                <w:rFonts w:ascii="Times New Roman" w:hAnsi="Times New Roman" w:cs="Times New Roman"/>
                <w:i/>
              </w:rPr>
              <w:t>R</w:t>
            </w:r>
            <w:r>
              <w:rPr>
                <w:rFonts w:ascii="Times New Roman" w:hAnsi="Times New Roman" w:cs="Times New Roman"/>
              </w:rPr>
              <w:t>r≥35%且</w:t>
            </w:r>
          </w:p>
          <w:p>
            <w:pPr>
              <w:jc w:val="center"/>
              <w:rPr>
                <w:rFonts w:ascii="Times New Roman" w:hAnsi="Times New Roman" w:cs="Times New Roman"/>
              </w:rPr>
            </w:pPr>
            <w:r>
              <w:rPr>
                <w:rFonts w:ascii="Times New Roman" w:hAnsi="Times New Roman" w:cs="Times New Roman"/>
                <w:i/>
              </w:rPr>
              <w:t>R</w:t>
            </w:r>
            <w:r>
              <w:rPr>
                <w:rFonts w:ascii="Times New Roman" w:hAnsi="Times New Roman" w:cs="Times New Roman"/>
              </w:rPr>
              <w:t>p＜60%</w:t>
            </w:r>
            <w:bookmarkEnd w:id="30"/>
            <w:bookmarkEnd w:id="31"/>
            <w:bookmarkEnd w:id="32"/>
            <w:bookmarkEnd w:id="33"/>
            <w:bookmarkEnd w:id="34"/>
          </w:p>
        </w:tc>
        <w:tc>
          <w:tcPr>
            <w:tcW w:w="1701" w:type="dxa"/>
            <w:noWrap w:val="0"/>
            <w:vAlign w:val="center"/>
          </w:tcPr>
          <w:p>
            <w:pPr>
              <w:jc w:val="center"/>
              <w:rPr>
                <w:rFonts w:ascii="Times New Roman" w:hAnsi="Times New Roman" w:cs="Times New Roman"/>
              </w:rPr>
            </w:pPr>
            <w:bookmarkStart w:id="35" w:name="_Toc9945321"/>
            <w:bookmarkStart w:id="36" w:name="_Toc9944755"/>
            <w:bookmarkStart w:id="37" w:name="_Toc9945179"/>
            <w:bookmarkStart w:id="38" w:name="_Toc9945035"/>
            <w:bookmarkStart w:id="39" w:name="_Toc9945462"/>
            <w:r>
              <w:rPr>
                <w:rFonts w:ascii="Times New Roman" w:hAnsi="Times New Roman" w:cs="Times New Roman"/>
              </w:rPr>
              <w:t>12</w:t>
            </w:r>
            <w:bookmarkEnd w:id="35"/>
            <w:bookmarkEnd w:id="36"/>
            <w:bookmarkEnd w:id="37"/>
            <w:bookmarkEnd w:id="38"/>
            <w:bookmarkEnd w:id="39"/>
          </w:p>
        </w:tc>
        <w:tc>
          <w:tcPr>
            <w:tcW w:w="1318"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pStyle w:val="27"/>
              <w:spacing w:line="240" w:lineRule="auto"/>
              <w:jc w:val="center"/>
              <w:outlineLvl w:val="9"/>
              <w:rPr>
                <w:bCs/>
                <w:sz w:val="21"/>
                <w:szCs w:val="21"/>
              </w:rPr>
            </w:pPr>
            <w:r>
              <w:rPr>
                <w:bCs/>
                <w:sz w:val="21"/>
                <w:szCs w:val="21"/>
              </w:rPr>
              <w:t>2</w:t>
            </w:r>
          </w:p>
        </w:tc>
        <w:tc>
          <w:tcPr>
            <w:tcW w:w="2226" w:type="dxa"/>
            <w:noWrap w:val="0"/>
            <w:vAlign w:val="center"/>
          </w:tcPr>
          <w:p>
            <w:pPr>
              <w:pStyle w:val="27"/>
              <w:spacing w:line="240" w:lineRule="auto"/>
              <w:jc w:val="left"/>
              <w:outlineLvl w:val="9"/>
              <w:rPr>
                <w:bCs/>
                <w:sz w:val="21"/>
                <w:szCs w:val="21"/>
              </w:rPr>
            </w:pPr>
            <w:r>
              <w:rPr>
                <w:bCs/>
                <w:sz w:val="21"/>
                <w:szCs w:val="21"/>
              </w:rPr>
              <w:t>不适宜开发地下空间</w:t>
            </w:r>
          </w:p>
        </w:tc>
        <w:tc>
          <w:tcPr>
            <w:tcW w:w="1984" w:type="dxa"/>
            <w:noWrap w:val="0"/>
            <w:vAlign w:val="center"/>
          </w:tcPr>
          <w:p>
            <w:pPr>
              <w:jc w:val="center"/>
              <w:rPr>
                <w:rFonts w:ascii="Times New Roman" w:hAnsi="Times New Roman" w:cs="Times New Roman"/>
                <w:i/>
              </w:rPr>
            </w:pPr>
            <w:r>
              <w:rPr>
                <w:rFonts w:ascii="Times New Roman" w:hAnsi="Times New Roman" w:cs="Times New Roman"/>
                <w:i/>
              </w:rPr>
              <w:t>---</w:t>
            </w:r>
          </w:p>
        </w:tc>
        <w:tc>
          <w:tcPr>
            <w:tcW w:w="1701" w:type="dxa"/>
            <w:noWrap w:val="0"/>
            <w:vAlign w:val="center"/>
          </w:tcPr>
          <w:p>
            <w:pPr>
              <w:jc w:val="center"/>
              <w:rPr>
                <w:rFonts w:ascii="Times New Roman" w:hAnsi="Times New Roman" w:cs="Times New Roman"/>
              </w:rPr>
            </w:pPr>
            <w:r>
              <w:rPr>
                <w:rFonts w:ascii="Times New Roman" w:hAnsi="Times New Roman" w:cs="Times New Roman"/>
              </w:rPr>
              <w:t>12</w:t>
            </w:r>
          </w:p>
        </w:tc>
        <w:tc>
          <w:tcPr>
            <w:tcW w:w="1318"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9" w:type="dxa"/>
            <w:gridSpan w:val="3"/>
            <w:noWrap w:val="0"/>
            <w:vAlign w:val="center"/>
          </w:tcPr>
          <w:p>
            <w:pPr>
              <w:jc w:val="center"/>
              <w:rPr>
                <w:rFonts w:ascii="Times New Roman" w:hAnsi="Times New Roman" w:cs="Times New Roman"/>
                <w:i/>
              </w:rPr>
            </w:pPr>
            <w:r>
              <w:rPr>
                <w:rFonts w:ascii="Times New Roman" w:hAnsi="Times New Roman" w:cs="Times New Roman"/>
              </w:rPr>
              <w:t>合计</w:t>
            </w:r>
          </w:p>
        </w:tc>
        <w:tc>
          <w:tcPr>
            <w:tcW w:w="1701" w:type="dxa"/>
            <w:noWrap w:val="0"/>
            <w:vAlign w:val="center"/>
          </w:tcPr>
          <w:p>
            <w:pPr>
              <w:jc w:val="center"/>
              <w:rPr>
                <w:rFonts w:ascii="Times New Roman" w:hAnsi="Times New Roman" w:cs="Times New Roman"/>
              </w:rPr>
            </w:pPr>
            <w:r>
              <w:rPr>
                <w:rFonts w:hint="eastAsia" w:ascii="Times New Roman" w:hAnsi="Times New Roman" w:cs="Times New Roman"/>
              </w:rPr>
              <w:t>12</w:t>
            </w:r>
          </w:p>
        </w:tc>
        <w:tc>
          <w:tcPr>
            <w:tcW w:w="1318" w:type="dxa"/>
            <w:noWrap w:val="0"/>
            <w:vAlign w:val="center"/>
          </w:tcPr>
          <w:p>
            <w:pPr>
              <w:pStyle w:val="27"/>
              <w:spacing w:line="240" w:lineRule="auto"/>
              <w:jc w:val="center"/>
              <w:outlineLvl w:val="9"/>
              <w:rPr>
                <w:bCs/>
                <w:sz w:val="21"/>
                <w:szCs w:val="21"/>
              </w:rPr>
            </w:pPr>
            <w:r>
              <w:rPr>
                <w:rFonts w:hint="eastAsia"/>
                <w:kern w:val="0"/>
                <w:szCs w:val="21"/>
              </w:rPr>
              <w:t xml:space="preserve">  </w:t>
            </w:r>
          </w:p>
        </w:tc>
      </w:tr>
    </w:tbl>
    <w:p>
      <w:pPr>
        <w:spacing w:line="288" w:lineRule="auto"/>
        <w:rPr>
          <w:rFonts w:ascii="Times New Roman" w:hAnsi="Times New Roman" w:cs="Times New Roman"/>
        </w:rPr>
      </w:pPr>
      <w:r>
        <w:rPr>
          <w:rFonts w:hint="eastAsia" w:ascii="Times New Roman" w:hAnsi="Times New Roman" w:cs="Times New Roman"/>
        </w:rPr>
        <w:t>2）公共建筑</w:t>
      </w:r>
    </w:p>
    <w:tbl>
      <w:tblPr>
        <w:tblStyle w:val="13"/>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669"/>
        <w:gridCol w:w="1567"/>
        <w:gridCol w:w="1701"/>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pPr>
              <w:jc w:val="center"/>
              <w:rPr>
                <w:rFonts w:ascii="Times New Roman" w:hAnsi="Times New Roman" w:cs="Times New Roman"/>
                <w:b/>
              </w:rPr>
            </w:pPr>
            <w:r>
              <w:rPr>
                <w:rFonts w:ascii="Times New Roman" w:hAnsi="Times New Roman" w:cs="Times New Roman"/>
                <w:szCs w:val="21"/>
              </w:rPr>
              <w:t>序号</w:t>
            </w:r>
          </w:p>
        </w:tc>
        <w:tc>
          <w:tcPr>
            <w:tcW w:w="4236" w:type="dxa"/>
            <w:gridSpan w:val="2"/>
            <w:noWrap w:val="0"/>
            <w:vAlign w:val="center"/>
          </w:tcPr>
          <w:p>
            <w:pPr>
              <w:jc w:val="center"/>
              <w:rPr>
                <w:rFonts w:ascii="Times New Roman" w:hAnsi="Times New Roman" w:cs="Times New Roman"/>
                <w:b/>
              </w:rPr>
            </w:pPr>
            <w:r>
              <w:rPr>
                <w:rFonts w:ascii="Times New Roman" w:hAnsi="Times New Roman" w:cs="Times New Roman"/>
                <w:szCs w:val="21"/>
              </w:rPr>
              <w:t>评价内容</w:t>
            </w:r>
          </w:p>
        </w:tc>
        <w:tc>
          <w:tcPr>
            <w:tcW w:w="1701" w:type="dxa"/>
            <w:noWrap w:val="0"/>
            <w:vAlign w:val="center"/>
          </w:tcPr>
          <w:p>
            <w:pPr>
              <w:jc w:val="center"/>
              <w:rPr>
                <w:rFonts w:ascii="Times New Roman" w:hAnsi="Times New Roman" w:cs="Times New Roman"/>
                <w:b/>
              </w:rPr>
            </w:pPr>
            <w:r>
              <w:rPr>
                <w:rFonts w:ascii="Times New Roman" w:hAnsi="Times New Roman" w:cs="Times New Roman"/>
                <w:szCs w:val="21"/>
              </w:rPr>
              <w:t>评价分值</w:t>
            </w:r>
          </w:p>
        </w:tc>
        <w:tc>
          <w:tcPr>
            <w:tcW w:w="1316" w:type="dxa"/>
            <w:noWrap w:val="0"/>
            <w:vAlign w:val="center"/>
          </w:tcPr>
          <w:p>
            <w:pPr>
              <w:jc w:val="center"/>
              <w:rPr>
                <w:rFonts w:ascii="Times New Roman" w:hAnsi="Times New Roman" w:cs="Times New Roman"/>
                <w:b/>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noWrap w:val="0"/>
            <w:vAlign w:val="center"/>
          </w:tcPr>
          <w:p>
            <w:pPr>
              <w:jc w:val="center"/>
              <w:rPr>
                <w:rFonts w:ascii="Times New Roman" w:hAnsi="Times New Roman" w:cs="Times New Roman"/>
              </w:rPr>
            </w:pPr>
            <w:r>
              <w:rPr>
                <w:rFonts w:ascii="Times New Roman" w:hAnsi="Times New Roman" w:cs="Times New Roman"/>
              </w:rPr>
              <w:t>1</w:t>
            </w:r>
          </w:p>
        </w:tc>
        <w:tc>
          <w:tcPr>
            <w:tcW w:w="2669" w:type="dxa"/>
            <w:vMerge w:val="restart"/>
            <w:noWrap w:val="0"/>
            <w:vAlign w:val="center"/>
          </w:tcPr>
          <w:p>
            <w:pPr>
              <w:rPr>
                <w:rFonts w:ascii="Times New Roman" w:hAnsi="Times New Roman" w:cs="Times New Roman"/>
              </w:rPr>
            </w:pPr>
            <w:bookmarkStart w:id="40" w:name="_Toc9945464"/>
            <w:bookmarkStart w:id="41" w:name="_Toc9945323"/>
            <w:bookmarkStart w:id="42" w:name="_Toc9945037"/>
            <w:bookmarkStart w:id="43" w:name="_Toc9944757"/>
            <w:bookmarkStart w:id="44" w:name="_Toc9945181"/>
            <w:r>
              <w:rPr>
                <w:rFonts w:ascii="Times New Roman" w:hAnsi="Times New Roman" w:cs="Times New Roman"/>
              </w:rPr>
              <w:t>地下建筑面积与总用地面积之比</w:t>
            </w:r>
            <w:r>
              <w:rPr>
                <w:rFonts w:ascii="Times New Roman" w:hAnsi="Times New Roman" w:cs="Times New Roman"/>
                <w:i/>
              </w:rPr>
              <w:t>R</w:t>
            </w:r>
            <w:r>
              <w:rPr>
                <w:rFonts w:ascii="Times New Roman" w:hAnsi="Times New Roman" w:cs="Times New Roman"/>
              </w:rPr>
              <w:t>p</w:t>
            </w:r>
            <w:r>
              <w:rPr>
                <w:rFonts w:ascii="Times New Roman" w:hAnsi="Times New Roman" w:cs="Times New Roman"/>
                <w:vertAlign w:val="subscript"/>
              </w:rPr>
              <w:t>1</w:t>
            </w:r>
            <w:bookmarkEnd w:id="40"/>
            <w:bookmarkEnd w:id="41"/>
            <w:bookmarkEnd w:id="42"/>
            <w:bookmarkEnd w:id="43"/>
            <w:bookmarkEnd w:id="44"/>
          </w:p>
          <w:p>
            <w:pPr>
              <w:rPr>
                <w:rFonts w:ascii="Times New Roman" w:hAnsi="Times New Roman" w:cs="Times New Roman"/>
              </w:rPr>
            </w:pPr>
            <w:bookmarkStart w:id="45" w:name="_Toc9945038"/>
            <w:bookmarkStart w:id="46" w:name="_Toc9945324"/>
            <w:bookmarkStart w:id="47" w:name="_Toc9945182"/>
            <w:bookmarkStart w:id="48" w:name="_Toc9945465"/>
            <w:bookmarkStart w:id="49" w:name="_Toc9944758"/>
            <w:r>
              <w:rPr>
                <w:rFonts w:ascii="Times New Roman" w:hAnsi="Times New Roman" w:cs="Times New Roman"/>
              </w:rPr>
              <w:t>地下一层建筑面积与总用地面积的比率</w:t>
            </w:r>
            <w:r>
              <w:rPr>
                <w:rFonts w:ascii="Times New Roman" w:hAnsi="Times New Roman" w:cs="Times New Roman"/>
                <w:i/>
              </w:rPr>
              <w:t>R</w:t>
            </w:r>
            <w:r>
              <w:rPr>
                <w:rFonts w:ascii="Times New Roman" w:hAnsi="Times New Roman" w:cs="Times New Roman"/>
              </w:rPr>
              <w:t>p</w:t>
            </w:r>
            <w:bookmarkEnd w:id="45"/>
            <w:bookmarkEnd w:id="46"/>
            <w:bookmarkEnd w:id="47"/>
            <w:bookmarkEnd w:id="48"/>
            <w:bookmarkEnd w:id="49"/>
          </w:p>
        </w:tc>
        <w:tc>
          <w:tcPr>
            <w:tcW w:w="1567" w:type="dxa"/>
            <w:noWrap w:val="0"/>
            <w:vAlign w:val="center"/>
          </w:tcPr>
          <w:p>
            <w:pPr>
              <w:jc w:val="center"/>
              <w:rPr>
                <w:rFonts w:ascii="Times New Roman" w:hAnsi="Times New Roman" w:cs="Times New Roman"/>
              </w:rPr>
            </w:pPr>
            <w:bookmarkStart w:id="50" w:name="_Toc9945039"/>
            <w:bookmarkStart w:id="51" w:name="_Toc9944759"/>
            <w:bookmarkStart w:id="52" w:name="_Toc9945325"/>
            <w:bookmarkStart w:id="53" w:name="_Toc9945183"/>
            <w:bookmarkStart w:id="54" w:name="_Toc9945466"/>
            <w:r>
              <w:rPr>
                <w:rFonts w:ascii="Times New Roman" w:hAnsi="Times New Roman" w:cs="Times New Roman"/>
                <w:i/>
              </w:rPr>
              <w:t>R</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≥0.5</w:t>
            </w:r>
            <w:bookmarkEnd w:id="50"/>
            <w:bookmarkEnd w:id="51"/>
            <w:bookmarkEnd w:id="52"/>
            <w:bookmarkEnd w:id="53"/>
            <w:bookmarkEnd w:id="54"/>
          </w:p>
        </w:tc>
        <w:tc>
          <w:tcPr>
            <w:tcW w:w="1701" w:type="dxa"/>
            <w:noWrap w:val="0"/>
            <w:vAlign w:val="center"/>
          </w:tcPr>
          <w:p>
            <w:pPr>
              <w:jc w:val="center"/>
              <w:rPr>
                <w:rFonts w:ascii="Times New Roman" w:hAnsi="Times New Roman" w:cs="Times New Roman"/>
              </w:rPr>
            </w:pPr>
            <w:bookmarkStart w:id="55" w:name="_Toc9944760"/>
            <w:bookmarkStart w:id="56" w:name="_Toc9945467"/>
            <w:bookmarkStart w:id="57" w:name="_Toc9945040"/>
            <w:bookmarkStart w:id="58" w:name="_Toc9945184"/>
            <w:bookmarkStart w:id="59" w:name="_Toc9945326"/>
            <w:r>
              <w:rPr>
                <w:rFonts w:ascii="Times New Roman" w:hAnsi="Times New Roman" w:cs="Times New Roman"/>
              </w:rPr>
              <w:t>5</w:t>
            </w:r>
            <w:bookmarkEnd w:id="55"/>
            <w:bookmarkEnd w:id="56"/>
            <w:bookmarkEnd w:id="57"/>
            <w:bookmarkEnd w:id="58"/>
            <w:bookmarkEnd w:id="59"/>
          </w:p>
        </w:tc>
        <w:tc>
          <w:tcPr>
            <w:tcW w:w="1316"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2" w:type="dxa"/>
            <w:vMerge w:val="continue"/>
            <w:noWrap w:val="0"/>
            <w:vAlign w:val="center"/>
          </w:tcPr>
          <w:p>
            <w:pPr>
              <w:pStyle w:val="27"/>
              <w:spacing w:line="240" w:lineRule="auto"/>
              <w:jc w:val="center"/>
              <w:outlineLvl w:val="9"/>
              <w:rPr>
                <w:bCs/>
                <w:i/>
                <w:sz w:val="21"/>
                <w:szCs w:val="21"/>
              </w:rPr>
            </w:pPr>
          </w:p>
        </w:tc>
        <w:tc>
          <w:tcPr>
            <w:tcW w:w="2669" w:type="dxa"/>
            <w:vMerge w:val="continue"/>
            <w:noWrap w:val="0"/>
            <w:vAlign w:val="center"/>
          </w:tcPr>
          <w:p>
            <w:pPr>
              <w:pStyle w:val="27"/>
              <w:spacing w:line="240" w:lineRule="auto"/>
              <w:jc w:val="left"/>
              <w:outlineLvl w:val="9"/>
              <w:rPr>
                <w:bCs/>
                <w:i/>
                <w:sz w:val="21"/>
                <w:szCs w:val="21"/>
              </w:rPr>
            </w:pPr>
          </w:p>
        </w:tc>
        <w:tc>
          <w:tcPr>
            <w:tcW w:w="1567" w:type="dxa"/>
            <w:noWrap w:val="0"/>
            <w:vAlign w:val="center"/>
          </w:tcPr>
          <w:p>
            <w:pPr>
              <w:jc w:val="center"/>
              <w:rPr>
                <w:rFonts w:ascii="Times New Roman" w:hAnsi="Times New Roman" w:cs="Times New Roman"/>
              </w:rPr>
            </w:pPr>
            <w:bookmarkStart w:id="60" w:name="_Toc9945185"/>
            <w:bookmarkStart w:id="61" w:name="_Toc9944761"/>
            <w:bookmarkStart w:id="62" w:name="_Toc9945041"/>
            <w:bookmarkStart w:id="63" w:name="_Toc9945327"/>
            <w:bookmarkStart w:id="64" w:name="_Toc9945468"/>
            <w:r>
              <w:rPr>
                <w:rFonts w:ascii="Times New Roman" w:hAnsi="Times New Roman" w:cs="Times New Roman"/>
                <w:i/>
              </w:rPr>
              <w:t>R</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≥0.7且</w:t>
            </w:r>
          </w:p>
          <w:p>
            <w:pPr>
              <w:jc w:val="center"/>
              <w:rPr>
                <w:rFonts w:ascii="Times New Roman" w:hAnsi="Times New Roman" w:cs="Times New Roman"/>
              </w:rPr>
            </w:pPr>
            <w:r>
              <w:rPr>
                <w:rFonts w:ascii="Times New Roman" w:hAnsi="Times New Roman" w:cs="Times New Roman"/>
                <w:i/>
              </w:rPr>
              <w:t>R</w:t>
            </w:r>
            <w:r>
              <w:rPr>
                <w:rFonts w:ascii="Times New Roman" w:hAnsi="Times New Roman" w:cs="Times New Roman"/>
              </w:rPr>
              <w:t>p＜70%</w:t>
            </w:r>
            <w:bookmarkEnd w:id="60"/>
            <w:bookmarkEnd w:id="61"/>
            <w:bookmarkEnd w:id="62"/>
            <w:bookmarkEnd w:id="63"/>
            <w:bookmarkEnd w:id="64"/>
          </w:p>
        </w:tc>
        <w:tc>
          <w:tcPr>
            <w:tcW w:w="1701" w:type="dxa"/>
            <w:noWrap w:val="0"/>
            <w:vAlign w:val="center"/>
          </w:tcPr>
          <w:p>
            <w:pPr>
              <w:jc w:val="center"/>
              <w:rPr>
                <w:rFonts w:ascii="Times New Roman" w:hAnsi="Times New Roman" w:cs="Times New Roman"/>
              </w:rPr>
            </w:pPr>
            <w:bookmarkStart w:id="65" w:name="_Toc9944762"/>
            <w:bookmarkStart w:id="66" w:name="_Toc9945469"/>
            <w:bookmarkStart w:id="67" w:name="_Toc9945186"/>
            <w:bookmarkStart w:id="68" w:name="_Toc9945328"/>
            <w:bookmarkStart w:id="69" w:name="_Toc9945042"/>
            <w:r>
              <w:rPr>
                <w:rFonts w:ascii="Times New Roman" w:hAnsi="Times New Roman" w:cs="Times New Roman"/>
              </w:rPr>
              <w:t>7</w:t>
            </w:r>
            <w:bookmarkEnd w:id="65"/>
            <w:bookmarkEnd w:id="66"/>
            <w:bookmarkEnd w:id="67"/>
            <w:bookmarkEnd w:id="68"/>
            <w:bookmarkEnd w:id="69"/>
          </w:p>
        </w:tc>
        <w:tc>
          <w:tcPr>
            <w:tcW w:w="1316"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2" w:type="dxa"/>
            <w:vMerge w:val="continue"/>
            <w:noWrap w:val="0"/>
            <w:vAlign w:val="center"/>
          </w:tcPr>
          <w:p>
            <w:pPr>
              <w:pStyle w:val="27"/>
              <w:spacing w:line="240" w:lineRule="auto"/>
              <w:jc w:val="center"/>
              <w:outlineLvl w:val="9"/>
              <w:rPr>
                <w:bCs/>
                <w:i/>
                <w:sz w:val="21"/>
                <w:szCs w:val="21"/>
              </w:rPr>
            </w:pPr>
          </w:p>
        </w:tc>
        <w:tc>
          <w:tcPr>
            <w:tcW w:w="2669" w:type="dxa"/>
            <w:vMerge w:val="continue"/>
            <w:noWrap w:val="0"/>
            <w:vAlign w:val="center"/>
          </w:tcPr>
          <w:p>
            <w:pPr>
              <w:pStyle w:val="27"/>
              <w:spacing w:line="240" w:lineRule="auto"/>
              <w:jc w:val="left"/>
              <w:outlineLvl w:val="9"/>
              <w:rPr>
                <w:bCs/>
                <w:i/>
                <w:sz w:val="21"/>
                <w:szCs w:val="21"/>
              </w:rPr>
            </w:pPr>
          </w:p>
        </w:tc>
        <w:tc>
          <w:tcPr>
            <w:tcW w:w="1567" w:type="dxa"/>
            <w:noWrap w:val="0"/>
            <w:vAlign w:val="center"/>
          </w:tcPr>
          <w:p>
            <w:pPr>
              <w:jc w:val="center"/>
              <w:rPr>
                <w:rFonts w:ascii="Times New Roman" w:hAnsi="Times New Roman" w:cs="Times New Roman"/>
              </w:rPr>
            </w:pPr>
            <w:bookmarkStart w:id="70" w:name="_Toc9944763"/>
            <w:bookmarkStart w:id="71" w:name="_Toc9945043"/>
            <w:bookmarkStart w:id="72" w:name="_Toc9945187"/>
            <w:bookmarkStart w:id="73" w:name="_Toc9945329"/>
            <w:bookmarkStart w:id="74" w:name="_Toc9945470"/>
            <w:r>
              <w:rPr>
                <w:rFonts w:ascii="Times New Roman" w:hAnsi="Times New Roman" w:cs="Times New Roman"/>
                <w:i/>
              </w:rPr>
              <w:t>R</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≥1.0且</w:t>
            </w:r>
          </w:p>
          <w:p>
            <w:pPr>
              <w:jc w:val="center"/>
              <w:rPr>
                <w:rFonts w:ascii="Times New Roman" w:hAnsi="Times New Roman" w:cs="Times New Roman"/>
                <w:i/>
              </w:rPr>
            </w:pPr>
            <w:r>
              <w:rPr>
                <w:rFonts w:ascii="Times New Roman" w:hAnsi="Times New Roman" w:cs="Times New Roman"/>
                <w:i/>
              </w:rPr>
              <w:t>R</w:t>
            </w:r>
            <w:r>
              <w:rPr>
                <w:rFonts w:ascii="Times New Roman" w:hAnsi="Times New Roman" w:cs="Times New Roman"/>
              </w:rPr>
              <w:t>p＜60%</w:t>
            </w:r>
            <w:bookmarkEnd w:id="70"/>
            <w:bookmarkEnd w:id="71"/>
            <w:bookmarkEnd w:id="72"/>
            <w:bookmarkEnd w:id="73"/>
            <w:bookmarkEnd w:id="74"/>
          </w:p>
        </w:tc>
        <w:tc>
          <w:tcPr>
            <w:tcW w:w="1701" w:type="dxa"/>
            <w:noWrap w:val="0"/>
            <w:vAlign w:val="center"/>
          </w:tcPr>
          <w:p>
            <w:pPr>
              <w:jc w:val="center"/>
              <w:rPr>
                <w:rFonts w:ascii="Times New Roman" w:hAnsi="Times New Roman" w:cs="Times New Roman"/>
              </w:rPr>
            </w:pPr>
            <w:bookmarkStart w:id="75" w:name="_Toc9945188"/>
            <w:bookmarkStart w:id="76" w:name="_Toc9945330"/>
            <w:bookmarkStart w:id="77" w:name="_Toc9944764"/>
            <w:bookmarkStart w:id="78" w:name="_Toc9945044"/>
            <w:bookmarkStart w:id="79" w:name="_Toc9945471"/>
            <w:r>
              <w:rPr>
                <w:rFonts w:ascii="Times New Roman" w:hAnsi="Times New Roman" w:cs="Times New Roman"/>
              </w:rPr>
              <w:t>12</w:t>
            </w:r>
            <w:bookmarkEnd w:id="75"/>
            <w:bookmarkEnd w:id="76"/>
            <w:bookmarkEnd w:id="77"/>
            <w:bookmarkEnd w:id="78"/>
            <w:bookmarkEnd w:id="79"/>
          </w:p>
        </w:tc>
        <w:tc>
          <w:tcPr>
            <w:tcW w:w="1316"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2" w:type="dxa"/>
            <w:noWrap w:val="0"/>
            <w:vAlign w:val="center"/>
          </w:tcPr>
          <w:p>
            <w:pPr>
              <w:pStyle w:val="27"/>
              <w:spacing w:line="240" w:lineRule="auto"/>
              <w:jc w:val="center"/>
              <w:outlineLvl w:val="9"/>
              <w:rPr>
                <w:bCs/>
                <w:sz w:val="21"/>
                <w:szCs w:val="21"/>
              </w:rPr>
            </w:pPr>
            <w:r>
              <w:rPr>
                <w:bCs/>
                <w:sz w:val="21"/>
                <w:szCs w:val="21"/>
              </w:rPr>
              <w:t>2</w:t>
            </w:r>
          </w:p>
        </w:tc>
        <w:tc>
          <w:tcPr>
            <w:tcW w:w="2669" w:type="dxa"/>
            <w:noWrap w:val="0"/>
            <w:vAlign w:val="center"/>
          </w:tcPr>
          <w:p>
            <w:pPr>
              <w:pStyle w:val="27"/>
              <w:spacing w:line="240" w:lineRule="auto"/>
              <w:jc w:val="left"/>
              <w:outlineLvl w:val="9"/>
              <w:rPr>
                <w:bCs/>
                <w:i/>
                <w:sz w:val="21"/>
                <w:szCs w:val="21"/>
              </w:rPr>
            </w:pPr>
            <w:r>
              <w:rPr>
                <w:bCs/>
                <w:sz w:val="21"/>
                <w:szCs w:val="21"/>
              </w:rPr>
              <w:t>不适宜开发地下空间</w:t>
            </w:r>
          </w:p>
        </w:tc>
        <w:tc>
          <w:tcPr>
            <w:tcW w:w="1567" w:type="dxa"/>
            <w:noWrap w:val="0"/>
            <w:vAlign w:val="center"/>
          </w:tcPr>
          <w:p>
            <w:pPr>
              <w:jc w:val="center"/>
              <w:rPr>
                <w:rFonts w:ascii="Times New Roman" w:hAnsi="Times New Roman" w:cs="Times New Roman"/>
                <w:i/>
              </w:rPr>
            </w:pPr>
            <w:r>
              <w:rPr>
                <w:rFonts w:ascii="Times New Roman" w:hAnsi="Times New Roman" w:cs="Times New Roman"/>
                <w:i/>
              </w:rPr>
              <w:t>---</w:t>
            </w:r>
          </w:p>
        </w:tc>
        <w:tc>
          <w:tcPr>
            <w:tcW w:w="1701" w:type="dxa"/>
            <w:noWrap w:val="0"/>
            <w:vAlign w:val="center"/>
          </w:tcPr>
          <w:p>
            <w:pPr>
              <w:jc w:val="center"/>
              <w:rPr>
                <w:rFonts w:ascii="Times New Roman" w:hAnsi="Times New Roman" w:cs="Times New Roman"/>
              </w:rPr>
            </w:pPr>
            <w:r>
              <w:rPr>
                <w:rFonts w:ascii="Times New Roman" w:hAnsi="Times New Roman" w:cs="Times New Roman"/>
              </w:rPr>
              <w:t>12</w:t>
            </w:r>
          </w:p>
        </w:tc>
        <w:tc>
          <w:tcPr>
            <w:tcW w:w="1316" w:type="dxa"/>
            <w:noWrap w:val="0"/>
            <w:vAlign w:val="center"/>
          </w:tcPr>
          <w:p>
            <w:pPr>
              <w:pStyle w:val="27"/>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918" w:type="dxa"/>
            <w:gridSpan w:val="3"/>
            <w:noWrap w:val="0"/>
            <w:vAlign w:val="center"/>
          </w:tcPr>
          <w:p>
            <w:pPr>
              <w:jc w:val="center"/>
              <w:rPr>
                <w:rFonts w:ascii="Times New Roman" w:hAnsi="Times New Roman" w:cs="Times New Roman"/>
                <w:i/>
              </w:rPr>
            </w:pPr>
            <w:r>
              <w:rPr>
                <w:rFonts w:ascii="Times New Roman" w:hAnsi="Times New Roman" w:cs="Times New Roman"/>
              </w:rPr>
              <w:t>合计</w:t>
            </w:r>
          </w:p>
        </w:tc>
        <w:tc>
          <w:tcPr>
            <w:tcW w:w="1701" w:type="dxa"/>
            <w:noWrap w:val="0"/>
            <w:vAlign w:val="center"/>
          </w:tcPr>
          <w:p>
            <w:pPr>
              <w:jc w:val="center"/>
              <w:rPr>
                <w:rFonts w:ascii="Times New Roman" w:hAnsi="Times New Roman" w:cs="Times New Roman"/>
              </w:rPr>
            </w:pPr>
            <w:r>
              <w:rPr>
                <w:rFonts w:hint="eastAsia" w:ascii="Times New Roman" w:hAnsi="Times New Roman" w:cs="Times New Roman"/>
              </w:rPr>
              <w:t>12</w:t>
            </w:r>
          </w:p>
        </w:tc>
        <w:tc>
          <w:tcPr>
            <w:tcW w:w="1316" w:type="dxa"/>
            <w:noWrap w:val="0"/>
            <w:vAlign w:val="center"/>
          </w:tcPr>
          <w:p>
            <w:pPr>
              <w:pStyle w:val="27"/>
              <w:spacing w:line="240" w:lineRule="auto"/>
              <w:jc w:val="center"/>
              <w:outlineLvl w:val="9"/>
              <w:rPr>
                <w:bCs/>
                <w:sz w:val="21"/>
                <w:szCs w:val="21"/>
              </w:rPr>
            </w:pPr>
            <w:r>
              <w:rPr>
                <w:rFonts w:hint="eastAsia"/>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2 评价要点</w:t>
      </w:r>
    </w:p>
    <w:p>
      <w:pPr>
        <w:rPr>
          <w:rFonts w:ascii="Times New Roman" w:hAnsi="Times New Roman" w:cs="Times New Roman"/>
          <w:u w:val="single"/>
        </w:rPr>
      </w:pPr>
      <w:r>
        <w:rPr>
          <w:rFonts w:ascii="Times New Roman" w:hAnsi="Times New Roman" w:cs="Times New Roman"/>
        </w:rPr>
        <w:t>地下空间主要功能为：</w:t>
      </w:r>
      <w:r>
        <w:rPr>
          <w:rFonts w:ascii="Times New Roman" w:hAnsi="Times New Roman" w:cs="Times New Roman"/>
          <w:u w:val="single"/>
        </w:rPr>
        <w:t xml:space="preserve">         </w:t>
      </w:r>
    </w:p>
    <w:p>
      <w:pPr>
        <w:rPr>
          <w:rFonts w:ascii="Times New Roman" w:hAnsi="Times New Roman" w:cs="Times New Roman"/>
        </w:rPr>
      </w:pPr>
      <w:r>
        <w:rPr>
          <w:rFonts w:ascii="Times New Roman" w:hAnsi="Times New Roman" w:cs="Times New Roman"/>
        </w:rPr>
        <w:t>地上建筑面积：</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m</w:t>
      </w:r>
      <w:r>
        <w:rPr>
          <w:rFonts w:ascii="Times New Roman" w:hAnsi="Times New Roman" w:cs="Times New Roman"/>
          <w:vertAlign w:val="superscript"/>
        </w:rPr>
        <w:t>2</w:t>
      </w:r>
      <w:r>
        <w:rPr>
          <w:rFonts w:ascii="Times New Roman" w:hAnsi="Times New Roman" w:cs="Times New Roman"/>
        </w:rPr>
        <w:t>，地下建筑面积：</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m</w:t>
      </w:r>
      <w:r>
        <w:rPr>
          <w:rFonts w:ascii="Times New Roman" w:hAnsi="Times New Roman" w:cs="Times New Roman"/>
          <w:vertAlign w:val="superscript"/>
        </w:rPr>
        <w:t>2</w:t>
      </w:r>
    </w:p>
    <w:p>
      <w:pPr>
        <w:rPr>
          <w:rFonts w:ascii="Times New Roman" w:hAnsi="Times New Roman" w:cs="Times New Roman"/>
        </w:rPr>
      </w:pPr>
      <w:r>
        <w:rPr>
          <w:rFonts w:ascii="Times New Roman" w:hAnsi="Times New Roman" w:cs="Times New Roman"/>
        </w:rPr>
        <w:t>地下一层建筑面积：</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m</w:t>
      </w:r>
      <w:r>
        <w:rPr>
          <w:rFonts w:ascii="Times New Roman" w:hAnsi="Times New Roman" w:cs="Times New Roman"/>
          <w:vertAlign w:val="superscript"/>
        </w:rPr>
        <w:t>2</w:t>
      </w:r>
      <w:r>
        <w:rPr>
          <w:rFonts w:ascii="Times New Roman" w:hAnsi="Times New Roman" w:cs="Times New Roman"/>
        </w:rPr>
        <w:t>，总用地面积：</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m</w:t>
      </w:r>
      <w:r>
        <w:rPr>
          <w:rFonts w:ascii="Times New Roman" w:hAnsi="Times New Roman" w:cs="Times New Roman"/>
          <w:vertAlign w:val="superscript"/>
        </w:rPr>
        <w:t>2</w:t>
      </w:r>
    </w:p>
    <w:p>
      <w:pPr>
        <w:rPr>
          <w:rFonts w:ascii="Times New Roman" w:hAnsi="Times New Roman" w:cs="Times New Roman"/>
        </w:rPr>
      </w:pPr>
      <w:r>
        <w:rPr>
          <w:rFonts w:ascii="Times New Roman" w:hAnsi="Times New Roman" w:cs="Times New Roman"/>
        </w:rPr>
        <w:t>地下建筑面积与地上建筑面积的比率</w:t>
      </w:r>
      <w:r>
        <w:rPr>
          <w:rFonts w:ascii="Times New Roman" w:hAnsi="Times New Roman" w:cs="Times New Roman"/>
          <w:i/>
        </w:rPr>
        <w:t>Rr</w:t>
      </w:r>
      <w:r>
        <w:rPr>
          <w:rFonts w:ascii="Times New Roman" w:hAnsi="Times New Roman" w:cs="Times New Roman"/>
        </w:rPr>
        <w:t>为：</w:t>
      </w:r>
      <w:r>
        <w:rPr>
          <w:rFonts w:ascii="Times New Roman" w:hAnsi="Times New Roman" w:cs="Times New Roman"/>
          <w:u w:val="single"/>
        </w:rPr>
        <w:t xml:space="preserve">     </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地下建筑面积与总用地面积的比率</w:t>
      </w:r>
      <w:r>
        <w:rPr>
          <w:rFonts w:ascii="Times New Roman" w:hAnsi="Times New Roman" w:cs="Times New Roman"/>
          <w:i/>
        </w:rPr>
        <w:t>Rp1</w:t>
      </w:r>
      <w:r>
        <w:rPr>
          <w:rFonts w:ascii="Times New Roman" w:hAnsi="Times New Roman" w:cs="Times New Roman"/>
        </w:rPr>
        <w:t>为：</w:t>
      </w:r>
      <w:r>
        <w:rPr>
          <w:rStyle w:val="28"/>
          <w:rFonts w:hint="eastAsia"/>
        </w:rPr>
        <w:t xml:space="preserve"> </w:t>
      </w:r>
      <w:r>
        <w:rPr>
          <w:rFonts w:ascii="Times New Roman" w:hAnsi="Times New Roman" w:cs="Times New Roman"/>
          <w:u w:val="single"/>
        </w:rPr>
        <w:t xml:space="preserve">     </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地下一层建筑面积与总用地面积的比率</w:t>
      </w:r>
      <w:r>
        <w:rPr>
          <w:rFonts w:ascii="Times New Roman" w:hAnsi="Times New Roman" w:cs="Times New Roman"/>
          <w:i/>
        </w:rPr>
        <w:t>Rp</w:t>
      </w:r>
      <w:r>
        <w:rPr>
          <w:rFonts w:ascii="Times New Roman" w:hAnsi="Times New Roman" w:cs="Times New Roman"/>
        </w:rPr>
        <w:t>为：</w:t>
      </w:r>
      <w:r>
        <w:rPr>
          <w:rFonts w:ascii="Times New Roman" w:hAnsi="Times New Roman" w:cs="Times New Roman"/>
          <w:u w:val="single"/>
        </w:rPr>
        <w:t xml:space="preserve">   </w:t>
      </w:r>
      <w:r>
        <w:rPr>
          <w:rFonts w:ascii="Times New Roman" w:hAnsi="Times New Roman" w:cs="Times New Roman"/>
        </w:rPr>
        <w:t xml:space="preserve">%  </w:t>
      </w:r>
    </w:p>
    <w:p>
      <w:pPr>
        <w:rPr>
          <w:rFonts w:ascii="Times New Roman" w:hAnsi="Times New Roman" w:cs="Times New Roman"/>
          <w:szCs w:val="21"/>
        </w:rPr>
      </w:pPr>
      <w:r>
        <w:rPr>
          <w:rFonts w:ascii="Times New Roman" w:hAnsi="Times New Roman" w:cs="Times New Roman"/>
        </w:rPr>
        <w:t>请简要说明地下空间开发利用情况。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shd w:val="clear" w:color="auto" w:fill="auto"/>
            <w:noWrap w:val="0"/>
            <w:vAlign w:val="top"/>
          </w:tcPr>
          <w:p>
            <w:pPr>
              <w:rPr>
                <w:szCs w:val="21"/>
              </w:rPr>
            </w:pP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）建筑竣工图及设计说明；</w:t>
      </w:r>
    </w:p>
    <w:p>
      <w:pPr>
        <w:rPr>
          <w:rFonts w:ascii="Times New Roman" w:hAnsi="Times New Roman" w:cs="Times New Roman"/>
        </w:rPr>
      </w:pPr>
      <w:r>
        <w:rPr>
          <w:rFonts w:hint="eastAsia" w:ascii="Times New Roman" w:hAnsi="Times New Roman" w:cs="Times New Roman"/>
        </w:rPr>
        <w:t>2）地下空间利用计算书；</w:t>
      </w:r>
    </w:p>
    <w:p>
      <w:r>
        <w:rPr>
          <w:rFonts w:hint="eastAsia" w:ascii="Times New Roman" w:hAnsi="Times New Roman" w:cs="Times New Roman"/>
        </w:rPr>
        <w:t>3）不适宜开发利用地下空间的论证报告。</w:t>
      </w:r>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7.2.3采用机械式停车设施、地下停车库或地面停车楼等方式。（8分）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8004" w:type="dxa"/>
        <w:jc w:val="center"/>
        <w:tblLayout w:type="autofit"/>
        <w:tblCellMar>
          <w:top w:w="0" w:type="dxa"/>
          <w:left w:w="0" w:type="dxa"/>
          <w:bottom w:w="0" w:type="dxa"/>
          <w:right w:w="0" w:type="dxa"/>
        </w:tblCellMar>
      </w:tblPr>
      <w:tblGrid>
        <w:gridCol w:w="694"/>
        <w:gridCol w:w="4402"/>
        <w:gridCol w:w="1562"/>
        <w:gridCol w:w="1346"/>
      </w:tblGrid>
      <w:tr>
        <w:tblPrEx>
          <w:tblCellMar>
            <w:top w:w="0" w:type="dxa"/>
            <w:left w:w="0" w:type="dxa"/>
            <w:bottom w:w="0" w:type="dxa"/>
            <w:right w:w="0" w:type="dxa"/>
          </w:tblCellMar>
        </w:tblPrEx>
        <w:trPr>
          <w:jc w:val="center"/>
        </w:trPr>
        <w:tc>
          <w:tcPr>
            <w:tcW w:w="47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47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住宅建筑地面停车位数量与住宅总套数的比率小于</w:t>
            </w: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7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公共建筑地面停车占地面积与其总建设用地面积的比率小于</w:t>
            </w:r>
            <w:r>
              <w:rPr>
                <w:rFonts w:ascii="Times New Roman" w:hAnsi="Times New Roman" w:cs="Times New Roman"/>
                <w:sz w:val="21"/>
                <w:szCs w:val="21"/>
              </w:rPr>
              <w:t>8%</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8</w:t>
            </w:r>
          </w:p>
        </w:tc>
      </w:tr>
      <w:tr>
        <w:tblPrEx>
          <w:tblCellMar>
            <w:top w:w="0" w:type="dxa"/>
            <w:left w:w="0" w:type="dxa"/>
            <w:bottom w:w="0" w:type="dxa"/>
            <w:right w:w="0" w:type="dxa"/>
          </w:tblCellMar>
        </w:tblPrEx>
        <w:trPr>
          <w:jc w:val="center"/>
        </w:trPr>
        <w:tc>
          <w:tcPr>
            <w:tcW w:w="4871"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8 </w:t>
            </w:r>
          </w:p>
        </w:tc>
      </w:tr>
      <w:tr>
        <w:tblPrEx>
          <w:tblCellMar>
            <w:top w:w="0" w:type="dxa"/>
            <w:left w:w="0" w:type="dxa"/>
            <w:bottom w:w="0" w:type="dxa"/>
            <w:right w:w="0" w:type="dxa"/>
          </w:tblCellMar>
        </w:tblPrEx>
        <w:trPr>
          <w:jc w:val="center"/>
        </w:trPr>
        <w:tc>
          <w:tcPr>
            <w:tcW w:w="693" w:type="dxa"/>
            <w:tcBorders>
              <w:top w:val="nil"/>
              <w:left w:val="nil"/>
              <w:bottom w:val="nil"/>
              <w:right w:val="nil"/>
            </w:tcBorders>
            <w:noWrap w:val="0"/>
            <w:vAlign w:val="center"/>
          </w:tcPr>
          <w:p>
            <w:pPr>
              <w:rPr>
                <w:sz w:val="1"/>
              </w:rPr>
            </w:pPr>
          </w:p>
        </w:tc>
        <w:tc>
          <w:tcPr>
            <w:tcW w:w="4394"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343"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8"/>
          <w:szCs w:val="28"/>
        </w:rPr>
      </w:pPr>
      <w:r>
        <w:rPr>
          <w:rFonts w:hint="eastAsia"/>
          <w:sz w:val="21"/>
          <w:szCs w:val="21"/>
        </w:rPr>
        <w:t>停车方式：</w:t>
      </w:r>
      <w:r>
        <w:rPr>
          <w:rStyle w:val="25"/>
          <w:rFonts w:hint="eastAsia" w:ascii="MS Mincho" w:hAnsi="MS Mincho" w:eastAsia="MS Mincho" w:cs="MS Mincho"/>
          <w:sz w:val="28"/>
          <w:szCs w:val="28"/>
        </w:rPr>
        <w:t>☑</w:t>
      </w:r>
      <w:r>
        <w:rPr>
          <w:rFonts w:hint="eastAsia"/>
          <w:sz w:val="21"/>
          <w:szCs w:val="21"/>
        </w:rPr>
        <w:t>机械式停车库、</w:t>
      </w:r>
      <w:r>
        <w:rPr>
          <w:rStyle w:val="25"/>
          <w:rFonts w:hint="eastAsia" w:ascii="MS Mincho" w:hAnsi="MS Mincho" w:eastAsia="MS Mincho" w:cs="MS Mincho"/>
          <w:sz w:val="28"/>
          <w:szCs w:val="28"/>
        </w:rPr>
        <w:t>☐</w:t>
      </w:r>
      <w:r>
        <w:rPr>
          <w:rFonts w:hint="eastAsia"/>
          <w:sz w:val="21"/>
          <w:szCs w:val="21"/>
        </w:rPr>
        <w:t>地下停车库、</w:t>
      </w:r>
      <w:r>
        <w:rPr>
          <w:rStyle w:val="25"/>
          <w:rFonts w:hint="eastAsia" w:ascii="MS Mincho" w:hAnsi="MS Mincho" w:eastAsia="MS Mincho" w:cs="MS Mincho"/>
          <w:sz w:val="28"/>
          <w:szCs w:val="28"/>
        </w:rPr>
        <w:t>☐</w:t>
      </w:r>
      <w:r>
        <w:rPr>
          <w:rFonts w:hint="eastAsia"/>
          <w:sz w:val="21"/>
          <w:szCs w:val="21"/>
        </w:rPr>
        <w:t>停车楼、</w:t>
      </w:r>
      <w:r>
        <w:rPr>
          <w:rStyle w:val="25"/>
          <w:rFonts w:hint="eastAsia" w:ascii="MS Mincho" w:hAnsi="MS Mincho" w:eastAsia="MS Mincho" w:cs="MS Mincho"/>
          <w:sz w:val="28"/>
          <w:szCs w:val="28"/>
        </w:rPr>
        <w:t>☐</w:t>
      </w:r>
      <w:r>
        <w:rPr>
          <w:rFonts w:hint="eastAsia"/>
          <w:sz w:val="21"/>
          <w:szCs w:val="21"/>
        </w:rPr>
        <w:t xml:space="preserve">其他方式 </w:t>
      </w:r>
      <w:r>
        <w:rPr>
          <w:rFonts w:hint="eastAsia"/>
          <w:sz w:val="21"/>
          <w:szCs w:val="21"/>
          <w:u w:val="single"/>
        </w:rPr>
        <w:t xml:space="preserve">                 </w:t>
      </w:r>
    </w:p>
    <w:p>
      <w:pPr>
        <w:pStyle w:val="11"/>
        <w:spacing w:before="0" w:beforeAutospacing="0" w:after="0" w:afterAutospacing="0"/>
        <w:jc w:val="both"/>
      </w:pPr>
      <w:bookmarkStart w:id="80" w:name="_Toc9944765"/>
      <w:bookmarkEnd w:id="80"/>
      <w:bookmarkStart w:id="81" w:name="_Toc9945189"/>
      <w:bookmarkEnd w:id="81"/>
      <w:bookmarkStart w:id="82" w:name="_Toc9945045"/>
      <w:bookmarkEnd w:id="82"/>
      <w:bookmarkStart w:id="83" w:name="_Toc9945331"/>
      <w:bookmarkEnd w:id="83"/>
      <w:bookmarkStart w:id="84" w:name="_Toc9945472"/>
      <w:r>
        <w:rPr>
          <w:rFonts w:hint="eastAsia"/>
          <w:sz w:val="21"/>
          <w:szCs w:val="21"/>
        </w:rPr>
        <w:t>住宅：地面停车位数量：</w:t>
      </w:r>
      <w:r>
        <w:rPr>
          <w:rFonts w:hint="eastAsia"/>
          <w:sz w:val="21"/>
          <w:szCs w:val="21"/>
          <w:u w:val="single"/>
        </w:rPr>
        <w:t xml:space="preserve">           </w:t>
      </w:r>
      <w:r>
        <w:rPr>
          <w:rFonts w:hint="eastAsia"/>
          <w:sz w:val="21"/>
          <w:szCs w:val="21"/>
        </w:rPr>
        <w:t>，住宅总套数：</w:t>
      </w:r>
      <w:r>
        <w:rPr>
          <w:rFonts w:hint="eastAsia"/>
          <w:sz w:val="21"/>
          <w:szCs w:val="21"/>
          <w:u w:val="single"/>
        </w:rPr>
        <w:t xml:space="preserve">          </w:t>
      </w:r>
      <w:r>
        <w:rPr>
          <w:rFonts w:hint="eastAsia"/>
          <w:sz w:val="21"/>
          <w:szCs w:val="21"/>
        </w:rPr>
        <w:t>，停车位套数比：</w:t>
      </w:r>
      <w:r>
        <w:rPr>
          <w:rFonts w:hint="eastAsia"/>
          <w:sz w:val="21"/>
          <w:szCs w:val="21"/>
          <w:u w:val="single"/>
        </w:rPr>
        <w:t xml:space="preserve">       </w:t>
      </w:r>
      <w:r>
        <w:rPr>
          <w:rFonts w:hint="eastAsia"/>
          <w:sz w:val="21"/>
          <w:szCs w:val="21"/>
        </w:rPr>
        <w:t xml:space="preserve"> </w:t>
      </w:r>
      <w:r>
        <w:rPr>
          <w:rFonts w:ascii="Times New Roman" w:hAnsi="Times New Roman" w:cs="Times New Roman"/>
          <w:sz w:val="21"/>
          <w:szCs w:val="21"/>
        </w:rPr>
        <w:t>%</w:t>
      </w:r>
      <w:r>
        <w:rPr>
          <w:rFonts w:hint="eastAsia"/>
          <w:sz w:val="21"/>
          <w:szCs w:val="21"/>
        </w:rPr>
        <w:t>。</w:t>
      </w:r>
      <w:bookmarkEnd w:id="84"/>
    </w:p>
    <w:p>
      <w:pPr>
        <w:pStyle w:val="11"/>
        <w:spacing w:before="0" w:beforeAutospacing="0" w:after="0" w:afterAutospacing="0"/>
        <w:jc w:val="both"/>
      </w:pPr>
      <w:r>
        <w:rPr>
          <w:rFonts w:hint="eastAsia"/>
          <w:sz w:val="21"/>
          <w:szCs w:val="21"/>
        </w:rPr>
        <w:t>公建：地面停车占地面积：</w:t>
      </w:r>
      <w:r>
        <w:rPr>
          <w:rFonts w:hint="eastAsia"/>
          <w:sz w:val="21"/>
          <w:szCs w:val="21"/>
          <w:u w:val="single"/>
        </w:rPr>
        <w:t xml:space="preserve">    200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，总建设用地面积：</w:t>
      </w:r>
      <w:r>
        <w:rPr>
          <w:rFonts w:hint="eastAsia"/>
          <w:sz w:val="21"/>
          <w:szCs w:val="21"/>
          <w:u w:val="single"/>
        </w:rPr>
        <w:t>  9253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，停车位占地比：</w:t>
      </w:r>
      <w:r>
        <w:t> 0.02</w:t>
      </w:r>
      <w:r>
        <w:rPr>
          <w:rFonts w:hint="eastAsia"/>
          <w:sz w:val="21"/>
          <w:szCs w:val="21"/>
          <w:u w:val="single"/>
        </w:rPr>
        <w:t> </w:t>
      </w:r>
      <w:r>
        <w:rPr>
          <w:rFonts w:hint="eastAsia"/>
          <w:sz w:val="21"/>
          <w:szCs w:val="21"/>
        </w:rPr>
        <w:t xml:space="preserve"> </w:t>
      </w:r>
      <w:r>
        <w:rPr>
          <w:rFonts w:ascii="Times New Roman" w:hAnsi="Times New Roman" w:cs="Times New Roman"/>
          <w:sz w:val="21"/>
          <w:szCs w:val="21"/>
        </w:rPr>
        <w:t>%</w:t>
      </w:r>
      <w:r>
        <w:rPr>
          <w:rFonts w:hint="eastAsia"/>
          <w:sz w:val="21"/>
          <w:szCs w:val="21"/>
        </w:rPr>
        <w:t>。</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请简要说明停车方式及建设情况。</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本项目机动车与非机动车均采用全地下的方式，地面均为绿化用地及公共活动用地，不会挤占地上步行空间活动场所。</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）建筑竣工总平面图及设计说明，应包括机动车停车场的位置、停车位数量等内容；</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）与停车相关的建筑、设备设施竣工图及设计说明；</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）地面停车率计算书。</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400"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建筑总平面图：3建筑设计/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p>
        </w:tc>
      </w:tr>
    </w:tbl>
    <w:p>
      <w:pPr>
        <w:pStyle w:val="11"/>
        <w:spacing w:before="0" w:beforeAutospacing="0" w:after="0" w:afterAutospacing="0"/>
        <w:jc w:val="both"/>
        <w:rPr>
          <w:rFonts w:ascii="Times New Roman" w:hAnsi="Times New Roman" w:cs="Times New Roman"/>
          <w:b/>
          <w:bCs/>
        </w:rPr>
      </w:pPr>
      <w:r>
        <w:rPr>
          <w:rFonts w:ascii="Calibri" w:hAnsi="Calibri"/>
          <w:sz w:val="21"/>
          <w:szCs w:val="21"/>
        </w:rPr>
        <w:t> </w:t>
      </w:r>
    </w:p>
    <w:p>
      <w:pPr>
        <w:pStyle w:val="5"/>
        <w:keepNext/>
        <w:spacing w:before="260" w:beforeAutospacing="0" w:after="260" w:afterAutospacing="0"/>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7.2.4优化建筑围护结构的热工性能。（15分）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8098" w:type="dxa"/>
        <w:jc w:val="center"/>
        <w:tblLayout w:type="autofit"/>
        <w:tblCellMar>
          <w:top w:w="0" w:type="dxa"/>
          <w:left w:w="0" w:type="dxa"/>
          <w:bottom w:w="0" w:type="dxa"/>
          <w:right w:w="0" w:type="dxa"/>
        </w:tblCellMar>
      </w:tblPr>
      <w:tblGrid>
        <w:gridCol w:w="570"/>
        <w:gridCol w:w="4786"/>
        <w:gridCol w:w="1463"/>
        <w:gridCol w:w="1279"/>
      </w:tblGrid>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7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456" w:hRule="atLeast"/>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7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15%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4918"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或者</w:t>
      </w:r>
    </w:p>
    <w:p>
      <w:pPr>
        <w:pStyle w:val="11"/>
        <w:spacing w:before="0" w:beforeAutospacing="0" w:after="0" w:afterAutospacing="0"/>
        <w:jc w:val="both"/>
      </w:pPr>
      <w:r>
        <w:rPr>
          <w:rFonts w:ascii="Calibri" w:hAnsi="Calibri"/>
          <w:sz w:val="21"/>
          <w:szCs w:val="21"/>
        </w:rPr>
        <w:t> </w:t>
      </w:r>
    </w:p>
    <w:tbl>
      <w:tblPr>
        <w:tblStyle w:val="13"/>
        <w:tblW w:w="8098" w:type="dxa"/>
        <w:jc w:val="center"/>
        <w:tblLayout w:type="autofit"/>
        <w:tblCellMar>
          <w:top w:w="0" w:type="dxa"/>
          <w:left w:w="0" w:type="dxa"/>
          <w:bottom w:w="0" w:type="dxa"/>
          <w:right w:w="0" w:type="dxa"/>
        </w:tblCellMar>
      </w:tblPr>
      <w:tblGrid>
        <w:gridCol w:w="570"/>
        <w:gridCol w:w="4786"/>
        <w:gridCol w:w="1463"/>
        <w:gridCol w:w="1279"/>
      </w:tblGrid>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7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7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15</w:t>
            </w:r>
          </w:p>
        </w:tc>
      </w:tr>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15%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4918"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15</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执行的建筑节能标准：</w:t>
      </w:r>
      <w:r>
        <w:rPr>
          <w:rFonts w:hint="eastAsia"/>
          <w:sz w:val="21"/>
          <w:szCs w:val="21"/>
          <w:u w:val="single"/>
        </w:rPr>
        <w:t> 70%  </w:t>
      </w:r>
    </w:p>
    <w:p>
      <w:pPr>
        <w:pStyle w:val="11"/>
        <w:spacing w:before="0" w:beforeAutospacing="0" w:after="0" w:afterAutospacing="0"/>
        <w:jc w:val="both"/>
      </w:pPr>
      <w:r>
        <w:rPr>
          <w:rFonts w:hint="eastAsia"/>
          <w:sz w:val="21"/>
          <w:szCs w:val="21"/>
        </w:rPr>
        <w:t>围护结构热工性能指标比较：</w:t>
      </w:r>
    </w:p>
    <w:tbl>
      <w:tblPr>
        <w:tblStyle w:val="13"/>
        <w:tblW w:w="8425" w:type="dxa"/>
        <w:jc w:val="center"/>
        <w:tblLayout w:type="autofit"/>
        <w:tblCellMar>
          <w:top w:w="0" w:type="dxa"/>
          <w:left w:w="0" w:type="dxa"/>
          <w:bottom w:w="0" w:type="dxa"/>
          <w:right w:w="0" w:type="dxa"/>
        </w:tblCellMar>
      </w:tblPr>
      <w:tblGrid>
        <w:gridCol w:w="2238"/>
        <w:gridCol w:w="722"/>
        <w:gridCol w:w="1200"/>
        <w:gridCol w:w="1203"/>
        <w:gridCol w:w="614"/>
        <w:gridCol w:w="888"/>
        <w:gridCol w:w="574"/>
        <w:gridCol w:w="986"/>
      </w:tblGrid>
      <w:tr>
        <w:tblPrEx>
          <w:tblCellMar>
            <w:top w:w="0" w:type="dxa"/>
            <w:left w:w="0" w:type="dxa"/>
            <w:bottom w:w="0" w:type="dxa"/>
            <w:right w:w="0" w:type="dxa"/>
          </w:tblCellMar>
        </w:tblPrEx>
        <w:trPr>
          <w:trHeight w:val="285" w:hRule="atLeast"/>
          <w:jc w:val="center"/>
        </w:trPr>
        <w:tc>
          <w:tcPr>
            <w:tcW w:w="3803" w:type="dxa"/>
            <w:gridSpan w:val="3"/>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热工参数</w:t>
            </w:r>
          </w:p>
        </w:tc>
        <w:tc>
          <w:tcPr>
            <w:tcW w:w="1100"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单位</w:t>
            </w:r>
          </w:p>
        </w:tc>
        <w:tc>
          <w:tcPr>
            <w:tcW w:w="1373" w:type="dxa"/>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参评建筑</w:t>
            </w:r>
          </w:p>
        </w:tc>
        <w:tc>
          <w:tcPr>
            <w:tcW w:w="525"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参照建筑</w:t>
            </w:r>
          </w:p>
        </w:tc>
        <w:tc>
          <w:tcPr>
            <w:tcW w:w="900"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提高</w:t>
            </w:r>
          </w:p>
          <w:p>
            <w:pPr>
              <w:pStyle w:val="11"/>
              <w:spacing w:before="0" w:beforeAutospacing="0" w:after="0" w:afterAutospacing="0"/>
              <w:jc w:val="center"/>
            </w:pPr>
            <w:r>
              <w:rPr>
                <w:rFonts w:hint="eastAsia"/>
                <w:sz w:val="21"/>
                <w:szCs w:val="21"/>
              </w:rPr>
              <w:t>比例</w:t>
            </w:r>
          </w:p>
          <w:p>
            <w:pPr>
              <w:pStyle w:val="11"/>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tblPrEx>
          <w:tblCellMar>
            <w:top w:w="0" w:type="dxa"/>
            <w:left w:w="0" w:type="dxa"/>
            <w:bottom w:w="0" w:type="dxa"/>
            <w:right w:w="0" w:type="dxa"/>
          </w:tblCellMar>
        </w:tblPrEx>
        <w:trPr>
          <w:trHeight w:val="285" w:hRule="atLeast"/>
          <w:jc w:val="center"/>
        </w:trPr>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类型</w:t>
            </w:r>
            <w:r>
              <w:rPr>
                <w:rFonts w:ascii="Times New Roman" w:hAnsi="Times New Roman" w:cs="Times New Roman"/>
                <w:sz w:val="21"/>
                <w:szCs w:val="21"/>
              </w:rPr>
              <w:t>I</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类型</w:t>
            </w:r>
            <w:r>
              <w:rPr>
                <w:rFonts w:ascii="Times New Roman" w:hAnsi="Times New Roman" w:cs="Times New Roman"/>
                <w:sz w:val="21"/>
                <w:szCs w:val="21"/>
              </w:rPr>
              <w:t>II</w:t>
            </w: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r>
      <w:tr>
        <w:tblPrEx>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体形系数</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2706" w:type="dxa"/>
            <w:gridSpan w:val="2"/>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窗墙比</w:t>
            </w: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东向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南向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西向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北向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屋顶透明部分面积比例</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屋面传热系数</w:t>
            </w:r>
            <w:r>
              <w:rPr>
                <w:rFonts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外墙（包括非透明幕墙）传热系数</w:t>
            </w:r>
            <w:r>
              <w:rPr>
                <w:rFonts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底面接触室外空气的架空或外挑楼板传热系数</w:t>
            </w:r>
            <w:r>
              <w:rPr>
                <w:rFonts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2046"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外窗（包括透明幕墙）</w:t>
            </w:r>
          </w:p>
        </w:tc>
        <w:tc>
          <w:tcPr>
            <w:tcW w:w="444"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东向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南向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西向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北向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444"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东向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南向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西向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88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北向</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2046" w:type="dxa"/>
            <w:vMerge w:val="restart"/>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屋顶透明部分</w:t>
            </w:r>
          </w:p>
        </w:tc>
        <w:tc>
          <w:tcPr>
            <w:tcW w:w="1541" w:type="dxa"/>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tc>
        <w:tc>
          <w:tcPr>
            <w:tcW w:w="1541" w:type="dxa"/>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204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地面</w:t>
            </w:r>
          </w:p>
        </w:tc>
        <w:tc>
          <w:tcPr>
            <w:tcW w:w="1541" w:type="dxa"/>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204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地下室外墙</w:t>
            </w:r>
          </w:p>
        </w:tc>
        <w:tc>
          <w:tcPr>
            <w:tcW w:w="1541" w:type="dxa"/>
            <w:gridSpan w:val="2"/>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939"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561"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noWrap w:val="0"/>
            <w:tcMar>
              <w:top w:w="0" w:type="dxa"/>
              <w:left w:w="9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注：参评建筑下的列分类“类型</w:t>
      </w:r>
      <w:r>
        <w:rPr>
          <w:rFonts w:ascii="Calibri" w:hAnsi="Calibri"/>
          <w:sz w:val="21"/>
          <w:szCs w:val="21"/>
        </w:rPr>
        <w:t>I</w:t>
      </w:r>
      <w:r>
        <w:rPr>
          <w:rFonts w:hint="eastAsia"/>
          <w:sz w:val="21"/>
          <w:szCs w:val="21"/>
        </w:rPr>
        <w:t>、类型</w:t>
      </w:r>
      <w:r>
        <w:rPr>
          <w:rFonts w:ascii="Calibri" w:hAnsi="Calibri"/>
          <w:sz w:val="21"/>
          <w:szCs w:val="21"/>
        </w:rPr>
        <w:t>II</w:t>
      </w:r>
      <w:r>
        <w:rPr>
          <w:rFonts w:hint="eastAsia"/>
          <w:sz w:val="21"/>
          <w:szCs w:val="21"/>
        </w:rPr>
        <w:t>”指一栋建筑中存在多种围护结构或一个项目存在多个参评建筑时的区别表示方式。</w:t>
      </w:r>
    </w:p>
    <w:p>
      <w:pPr>
        <w:pStyle w:val="11"/>
        <w:spacing w:before="0" w:beforeAutospacing="0" w:after="0" w:afterAutospacing="0"/>
      </w:pPr>
      <w:r>
        <w:rPr>
          <w:rFonts w:hint="eastAsia"/>
          <w:sz w:val="21"/>
          <w:szCs w:val="21"/>
        </w:rPr>
        <w:t>或者</w:t>
      </w:r>
    </w:p>
    <w:p>
      <w:pPr>
        <w:pStyle w:val="11"/>
        <w:spacing w:before="0" w:beforeAutospacing="0" w:after="0" w:afterAutospacing="0"/>
      </w:pPr>
      <w:r>
        <w:rPr>
          <w:rFonts w:hint="eastAsia"/>
          <w:sz w:val="21"/>
          <w:szCs w:val="21"/>
        </w:rPr>
        <w:t>供暖空调全年计算负荷比较：</w:t>
      </w:r>
    </w:p>
    <w:tbl>
      <w:tblPr>
        <w:tblStyle w:val="13"/>
        <w:tblW w:w="8332" w:type="dxa"/>
        <w:jc w:val="center"/>
        <w:tblLayout w:type="autofit"/>
        <w:tblCellMar>
          <w:top w:w="0" w:type="dxa"/>
          <w:left w:w="0" w:type="dxa"/>
          <w:bottom w:w="0" w:type="dxa"/>
          <w:right w:w="0" w:type="dxa"/>
        </w:tblCellMar>
      </w:tblPr>
      <w:tblGrid>
        <w:gridCol w:w="2447"/>
        <w:gridCol w:w="1035"/>
        <w:gridCol w:w="2290"/>
        <w:gridCol w:w="2560"/>
      </w:tblGrid>
      <w:tr>
        <w:tblPrEx>
          <w:tblCellMar>
            <w:top w:w="0" w:type="dxa"/>
            <w:left w:w="0" w:type="dxa"/>
            <w:bottom w:w="0" w:type="dxa"/>
            <w:right w:w="0" w:type="dxa"/>
          </w:tblCellMar>
        </w:tblPrEx>
        <w:trPr>
          <w:trHeight w:val="285" w:hRule="atLeast"/>
          <w:jc w:val="center"/>
        </w:trPr>
        <w:tc>
          <w:tcPr>
            <w:tcW w:w="2251" w:type="dxa"/>
            <w:tcBorders>
              <w:top w:val="single" w:color="000000" w:sz="8" w:space="0"/>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tc>
        <w:tc>
          <w:tcPr>
            <w:tcW w:w="952" w:type="dxa"/>
            <w:tcBorders>
              <w:top w:val="single" w:color="000000" w:sz="8" w:space="0"/>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单位</w:t>
            </w:r>
          </w:p>
        </w:tc>
        <w:tc>
          <w:tcPr>
            <w:tcW w:w="2106" w:type="dxa"/>
            <w:tcBorders>
              <w:top w:val="single" w:color="000000" w:sz="8" w:space="0"/>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参照建筑（限值）</w:t>
            </w:r>
          </w:p>
        </w:tc>
        <w:tc>
          <w:tcPr>
            <w:tcW w:w="2139" w:type="dxa"/>
            <w:tcBorders>
              <w:top w:val="single" w:color="000000" w:sz="8" w:space="0"/>
              <w:bottom w:val="single" w:color="000000" w:sz="6"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jc w:val="center"/>
            </w:pPr>
            <w:r>
              <w:rPr>
                <w:rFonts w:hint="eastAsia"/>
                <w:sz w:val="21"/>
                <w:szCs w:val="21"/>
              </w:rPr>
              <w:t>实际建筑</w:t>
            </w:r>
          </w:p>
        </w:tc>
      </w:tr>
      <w:tr>
        <w:tblPrEx>
          <w:tblCellMar>
            <w:top w:w="0" w:type="dxa"/>
            <w:left w:w="0" w:type="dxa"/>
            <w:bottom w:w="0" w:type="dxa"/>
            <w:right w:w="0" w:type="dxa"/>
          </w:tblCellMar>
        </w:tblPrEx>
        <w:trPr>
          <w:trHeight w:val="285" w:hRule="atLeast"/>
          <w:jc w:val="center"/>
        </w:trPr>
        <w:tc>
          <w:tcPr>
            <w:tcW w:w="2251" w:type="dxa"/>
            <w:tcBorders>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全年采暖负荷</w:t>
            </w:r>
          </w:p>
        </w:tc>
        <w:tc>
          <w:tcPr>
            <w:tcW w:w="952"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kW</w:t>
            </w:r>
          </w:p>
        </w:tc>
        <w:tc>
          <w:tcPr>
            <w:tcW w:w="2106"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line="288" w:lineRule="auto"/>
              <w:jc w:val="center"/>
              <w:rPr>
                <w:sz w:val="21"/>
                <w:szCs w:val="21"/>
              </w:rPr>
            </w:pPr>
          </w:p>
        </w:tc>
        <w:tc>
          <w:tcPr>
            <w:tcW w:w="2139" w:type="dxa"/>
            <w:tcBorders>
              <w:bottom w:val="single" w:color="000000" w:sz="6"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2251" w:type="dxa"/>
            <w:tcBorders>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全年空调负荷</w:t>
            </w:r>
          </w:p>
        </w:tc>
        <w:tc>
          <w:tcPr>
            <w:tcW w:w="952"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kW</w:t>
            </w:r>
          </w:p>
        </w:tc>
        <w:tc>
          <w:tcPr>
            <w:tcW w:w="2106"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2139" w:type="dxa"/>
            <w:tcBorders>
              <w:bottom w:val="single" w:color="000000" w:sz="6"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2251" w:type="dxa"/>
            <w:tcBorders>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全年总负荷</w:t>
            </w:r>
          </w:p>
        </w:tc>
        <w:tc>
          <w:tcPr>
            <w:tcW w:w="952"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kW</w:t>
            </w:r>
          </w:p>
        </w:tc>
        <w:tc>
          <w:tcPr>
            <w:tcW w:w="2106"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c>
          <w:tcPr>
            <w:tcW w:w="2139" w:type="dxa"/>
            <w:tcBorders>
              <w:bottom w:val="single" w:color="000000" w:sz="6"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00" w:hRule="atLeast"/>
          <w:jc w:val="center"/>
        </w:trPr>
        <w:tc>
          <w:tcPr>
            <w:tcW w:w="2251" w:type="dxa"/>
            <w:tcBorders>
              <w:left w:val="single" w:color="000000" w:sz="8" w:space="0"/>
              <w:bottom w:val="single" w:color="000000" w:sz="8"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负荷降低幅度</w:t>
            </w:r>
          </w:p>
        </w:tc>
        <w:tc>
          <w:tcPr>
            <w:tcW w:w="952" w:type="dxa"/>
            <w:tcBorders>
              <w:bottom w:val="single" w:color="000000" w:sz="8"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w:t>
            </w:r>
          </w:p>
        </w:tc>
        <w:tc>
          <w:tcPr>
            <w:tcW w:w="4461" w:type="dxa"/>
            <w:gridSpan w:val="2"/>
            <w:tcBorders>
              <w:bottom w:val="single" w:color="000000" w:sz="8"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line="288" w:lineRule="auto"/>
              <w:ind w:firstLine="360"/>
              <w:jc w:val="center"/>
            </w:pPr>
            <w:r>
              <w:rPr>
                <w:rFonts w:ascii="Times New Roman" w:hAnsi="Times New Roman" w:cs="Times New Roman"/>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）建筑竣工图及设计说明，应包含围护结构竣工详图；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）围护结构热工性能参数表、当地建筑节能审查相关文件、节能工程竣工验收记录；</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）供暖空调全年计算负荷分析报告。</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建筑专业图纸与设计说明：3建筑设计/ 建筑专业图纸与设计说明/</w:t>
            </w:r>
          </w:p>
        </w:tc>
      </w:tr>
    </w:tbl>
    <w:p/>
    <w:p>
      <w:pPr>
        <w:rPr>
          <w:rFonts w:ascii="Times New Roman" w:hAnsi="Times New Roman" w:cs="Times New Roman"/>
          <w:b/>
          <w:bCs/>
        </w:rPr>
      </w:pPr>
      <w:r>
        <w:rPr>
          <w:rFonts w:ascii="Times New Roman" w:hAnsi="Times New Roman" w:cs="Times New Roman"/>
        </w:rPr>
        <w:br w:type="page"/>
      </w:r>
    </w:p>
    <w:p>
      <w:pPr>
        <w:pStyle w:val="5"/>
        <w:keepNext/>
        <w:spacing w:before="260" w:beforeAutospacing="0" w:after="260" w:afterAutospacing="0"/>
      </w:pPr>
      <w:r>
        <w:rPr>
          <w:rFonts w:hint="eastAsia" w:ascii="Times New Roman" w:hAnsi="Times New Roman" w:eastAsia="宋体" w:cs="Times New Roman"/>
          <w:i w:val="0"/>
          <w:iCs w:val="0"/>
          <w:color w:val="auto"/>
          <w:sz w:val="24"/>
          <w:szCs w:val="24"/>
          <w:lang w:eastAsia="zh-CN"/>
        </w:rPr>
        <w:t>7.2.5 供暖空调系统的冷、热源机组能效均优于现行国家标准《公共建筑节能设计标准》GB 50189的规定以及现行有关国家标准能效限定值的要求。（10分）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得分自评（城市市政热源项目，热源机组能效不参评）</w:t>
      </w:r>
    </w:p>
    <w:tbl>
      <w:tblPr>
        <w:tblStyle w:val="13"/>
        <w:tblW w:w="8131" w:type="dxa"/>
        <w:jc w:val="center"/>
        <w:tblLayout w:type="autofit"/>
        <w:tblCellMar>
          <w:top w:w="0" w:type="dxa"/>
          <w:left w:w="0" w:type="dxa"/>
          <w:bottom w:w="0" w:type="dxa"/>
          <w:right w:w="0" w:type="dxa"/>
        </w:tblCellMar>
      </w:tblPr>
      <w:tblGrid>
        <w:gridCol w:w="756"/>
        <w:gridCol w:w="568"/>
        <w:gridCol w:w="994"/>
        <w:gridCol w:w="1421"/>
        <w:gridCol w:w="1420"/>
        <w:gridCol w:w="1562"/>
        <w:gridCol w:w="1410"/>
      </w:tblGrid>
      <w:tr>
        <w:tblPrEx>
          <w:tblCellMar>
            <w:top w:w="0" w:type="dxa"/>
            <w:left w:w="0" w:type="dxa"/>
            <w:bottom w:w="0" w:type="dxa"/>
            <w:right w:w="0" w:type="dxa"/>
          </w:tblCellMar>
        </w:tblPrEx>
        <w:trPr>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gridSpan w:val="4"/>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343"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机组类型</w:t>
            </w:r>
          </w:p>
        </w:tc>
        <w:tc>
          <w:tcPr>
            <w:tcW w:w="120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能效指标</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提升幅度</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375"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电机驱动的蒸汽压缩循环冷水（热泵）机组</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制冷性能系数（</w:t>
            </w:r>
            <w:r>
              <w:rPr>
                <w:rFonts w:ascii="Times New Roman" w:hAnsi="Times New Roman" w:cs="Times New Roman"/>
                <w:sz w:val="21"/>
                <w:szCs w:val="21"/>
              </w:rPr>
              <w:t>COP</w:t>
            </w:r>
            <w:r>
              <w:rPr>
                <w:rFonts w:hint="eastAsia"/>
                <w:sz w:val="21"/>
                <w:szCs w:val="21"/>
              </w:rPr>
              <w:t>）</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7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12%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直燃型溴化锂吸收式冷（温）水机组</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制冷、供热性能系数</w:t>
            </w:r>
          </w:p>
          <w:p>
            <w:pPr>
              <w:pStyle w:val="11"/>
              <w:spacing w:before="0" w:beforeAutospacing="0" w:after="0" w:afterAutospacing="0" w:line="288" w:lineRule="auto"/>
              <w:jc w:val="center"/>
              <w:rPr>
                <w:sz w:val="21"/>
                <w:szCs w:val="21"/>
              </w:rPr>
            </w:pPr>
            <w:r>
              <w:rPr>
                <w:rFonts w:hint="eastAsia"/>
                <w:sz w:val="21"/>
                <w:szCs w:val="21"/>
              </w:rPr>
              <w:t>（</w:t>
            </w:r>
            <w:r>
              <w:rPr>
                <w:rFonts w:ascii="Times New Roman" w:hAnsi="Times New Roman" w:cs="Times New Roman"/>
                <w:sz w:val="21"/>
                <w:szCs w:val="21"/>
              </w:rPr>
              <w:t>COP</w:t>
            </w:r>
            <w:r>
              <w:rPr>
                <w:rFonts w:hint="eastAsia"/>
                <w:sz w:val="21"/>
                <w:szCs w:val="21"/>
              </w:rPr>
              <w:t>）</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12%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375"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单元式空气调节机、风管送风式和屋顶式空调机组</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能效比</w:t>
            </w:r>
          </w:p>
          <w:p>
            <w:pPr>
              <w:pStyle w:val="11"/>
              <w:spacing w:before="0" w:beforeAutospacing="0" w:after="0" w:afterAutospacing="0" w:line="288" w:lineRule="auto"/>
              <w:jc w:val="center"/>
              <w:rPr>
                <w:sz w:val="21"/>
                <w:szCs w:val="21"/>
              </w:rPr>
            </w:pPr>
            <w:r>
              <w:rPr>
                <w:rFonts w:hint="eastAsia"/>
                <w:sz w:val="21"/>
                <w:szCs w:val="21"/>
              </w:rPr>
              <w:t>（</w:t>
            </w:r>
            <w:r>
              <w:rPr>
                <w:rFonts w:ascii="Times New Roman" w:hAnsi="Times New Roman" w:cs="Times New Roman"/>
                <w:sz w:val="21"/>
                <w:szCs w:val="21"/>
              </w:rPr>
              <w:t>EER</w:t>
            </w:r>
            <w:r>
              <w:rPr>
                <w:rFonts w:hint="eastAsia"/>
                <w:sz w:val="21"/>
                <w:szCs w:val="21"/>
              </w:rPr>
              <w:t>）</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7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12%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188"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4</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rPr>
                <w:sz w:val="21"/>
                <w:szCs w:val="21"/>
              </w:rPr>
            </w:pPr>
            <w:r>
              <w:rPr>
                <w:rFonts w:hint="eastAsia"/>
                <w:sz w:val="21"/>
                <w:szCs w:val="21"/>
              </w:rPr>
              <w:t>多联式空调（热泵）机组</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制冷综合性能系数</w:t>
            </w:r>
          </w:p>
          <w:p>
            <w:pPr>
              <w:pStyle w:val="11"/>
              <w:spacing w:before="0" w:beforeAutospacing="0" w:after="0" w:afterAutospacing="0" w:line="188" w:lineRule="atLeast"/>
              <w:jc w:val="center"/>
              <w:rPr>
                <w:sz w:val="21"/>
                <w:szCs w:val="21"/>
              </w:rPr>
            </w:pPr>
            <w:r>
              <w:rPr>
                <w:rFonts w:hint="eastAsia"/>
                <w:sz w:val="21"/>
                <w:szCs w:val="21"/>
              </w:rPr>
              <w:t>（</w:t>
            </w:r>
            <w:r>
              <w:rPr>
                <w:rFonts w:ascii="Times New Roman" w:hAnsi="Times New Roman" w:cs="Times New Roman"/>
                <w:sz w:val="21"/>
                <w:szCs w:val="21"/>
              </w:rPr>
              <w:t>IPLV</w:t>
            </w:r>
            <w:r>
              <w:rPr>
                <w:rFonts w:hint="eastAsia"/>
                <w:sz w:val="21"/>
                <w:szCs w:val="21"/>
              </w:rPr>
              <w:t>）</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hint="eastAsia"/>
                <w:sz w:val="21"/>
                <w:szCs w:val="21"/>
              </w:rPr>
              <w:t>提高</w:t>
            </w:r>
            <w:r>
              <w:rPr>
                <w:rFonts w:ascii="Times New Roman" w:hAnsi="Times New Roman" w:cs="Times New Roman"/>
                <w:sz w:val="21"/>
                <w:szCs w:val="21"/>
              </w:rPr>
              <w:t>8%</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8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hint="eastAsia"/>
                <w:sz w:val="21"/>
                <w:szCs w:val="21"/>
              </w:rPr>
              <w:t>提高</w:t>
            </w:r>
            <w:r>
              <w:rPr>
                <w:rFonts w:ascii="Times New Roman" w:hAnsi="Times New Roman" w:cs="Times New Roman"/>
                <w:sz w:val="21"/>
                <w:szCs w:val="21"/>
              </w:rPr>
              <w:t>16%</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188"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35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rPr>
                <w:sz w:val="21"/>
                <w:szCs w:val="21"/>
              </w:rPr>
            </w:pPr>
            <w:r>
              <w:rPr>
                <w:rFonts w:hint="eastAsia"/>
                <w:sz w:val="21"/>
                <w:szCs w:val="21"/>
              </w:rPr>
              <w:t>锅炉</w:t>
            </w:r>
          </w:p>
        </w:tc>
        <w:tc>
          <w:tcPr>
            <w:tcW w:w="77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rPr>
                <w:sz w:val="21"/>
                <w:szCs w:val="21"/>
              </w:rPr>
            </w:pPr>
            <w:r>
              <w:rPr>
                <w:rFonts w:hint="eastAsia"/>
                <w:sz w:val="21"/>
                <w:szCs w:val="21"/>
              </w:rPr>
              <w:t>燃煤</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hint="eastAsia"/>
                <w:sz w:val="21"/>
                <w:szCs w:val="21"/>
              </w:rPr>
              <w:t>热效率</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hint="eastAsia"/>
                <w:sz w:val="21"/>
                <w:szCs w:val="21"/>
              </w:rPr>
              <w:t>提高</w:t>
            </w:r>
            <w:r>
              <w:rPr>
                <w:rFonts w:ascii="Times New Roman" w:hAnsi="Times New Roman" w:cs="Times New Roman"/>
                <w:sz w:val="21"/>
                <w:szCs w:val="21"/>
              </w:rPr>
              <w:t>3%</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8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18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77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燃油</w:t>
            </w:r>
          </w:p>
          <w:p>
            <w:pPr>
              <w:pStyle w:val="11"/>
              <w:spacing w:before="0" w:beforeAutospacing="0" w:after="0" w:afterAutospacing="0" w:line="188" w:lineRule="atLeast"/>
              <w:rPr>
                <w:sz w:val="21"/>
                <w:szCs w:val="21"/>
              </w:rPr>
            </w:pPr>
            <w:r>
              <w:rPr>
                <w:rFonts w:hint="eastAsia"/>
                <w:sz w:val="21"/>
                <w:szCs w:val="21"/>
              </w:rPr>
              <w:t>燃气</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hint="eastAsia"/>
                <w:sz w:val="21"/>
                <w:szCs w:val="21"/>
              </w:rPr>
              <w:t>热效率</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hint="eastAsia"/>
                <w:sz w:val="21"/>
                <w:szCs w:val="21"/>
              </w:rPr>
              <w:t>提高</w:t>
            </w:r>
            <w:r>
              <w:rPr>
                <w:rFonts w:ascii="Times New Roman" w:hAnsi="Times New Roman" w:cs="Times New Roman"/>
                <w:sz w:val="21"/>
                <w:szCs w:val="21"/>
              </w:rPr>
              <w:t>2%</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8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hint="eastAsia"/>
                <w:sz w:val="21"/>
                <w:szCs w:val="21"/>
              </w:rPr>
              <w:t>提高</w:t>
            </w:r>
            <w:r>
              <w:rPr>
                <w:rFonts w:ascii="Times New Roman" w:hAnsi="Times New Roman" w:cs="Times New Roman"/>
                <w:sz w:val="21"/>
                <w:szCs w:val="21"/>
              </w:rPr>
              <w:t>4%</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375"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房间空气调节器</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能效比（</w:t>
            </w:r>
            <w:r>
              <w:rPr>
                <w:rFonts w:ascii="Times New Roman" w:hAnsi="Times New Roman" w:cs="Times New Roman"/>
                <w:sz w:val="21"/>
                <w:szCs w:val="21"/>
              </w:rPr>
              <w:t>EER</w:t>
            </w:r>
            <w:r>
              <w:rPr>
                <w:rFonts w:hint="eastAsia"/>
                <w:sz w:val="21"/>
                <w:szCs w:val="21"/>
              </w:rPr>
              <w:t>）、能源消耗效率</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节能评价值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7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Ⅰ级能效限值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188"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7</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rPr>
                <w:sz w:val="21"/>
                <w:szCs w:val="21"/>
              </w:rPr>
            </w:pPr>
            <w:r>
              <w:rPr>
                <w:rFonts w:hint="eastAsia"/>
                <w:sz w:val="21"/>
                <w:szCs w:val="21"/>
              </w:rPr>
              <w:t>家用燃气热水炉</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热效率值</w:t>
            </w:r>
          </w:p>
          <w:p>
            <w:pPr>
              <w:pStyle w:val="11"/>
              <w:spacing w:before="0" w:beforeAutospacing="0" w:after="0" w:afterAutospacing="0" w:line="188" w:lineRule="atLeast"/>
              <w:jc w:val="center"/>
              <w:rPr>
                <w:sz w:val="21"/>
                <w:szCs w:val="21"/>
              </w:rPr>
            </w:pPr>
            <w:r>
              <w:rPr>
                <w:rFonts w:hint="eastAsia"/>
                <w:sz w:val="21"/>
                <w:szCs w:val="21"/>
              </w:rPr>
              <w:t>（</w:t>
            </w:r>
            <w:r>
              <w:rPr>
                <w:rFonts w:ascii="Times New Roman" w:hAnsi="Times New Roman" w:cs="Times New Roman"/>
                <w:sz w:val="21"/>
                <w:szCs w:val="21"/>
              </w:rPr>
              <w:t>η</w:t>
            </w:r>
            <w:r>
              <w:rPr>
                <w:rFonts w:hint="eastAsia"/>
                <w:sz w:val="21"/>
                <w:szCs w:val="21"/>
              </w:rPr>
              <w:t>）</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hint="eastAsia"/>
                <w:sz w:val="21"/>
                <w:szCs w:val="21"/>
              </w:rPr>
              <w:t>节能评价值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8"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8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hint="eastAsia"/>
                <w:sz w:val="21"/>
                <w:szCs w:val="21"/>
              </w:rPr>
              <w:t>Ⅰ级能效限值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375"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343"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蒸汽型溴化锂吸收式冷水机组</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制冷、供热性能系数（</w:t>
            </w:r>
            <w:r>
              <w:rPr>
                <w:rFonts w:ascii="Times New Roman" w:hAnsi="Times New Roman" w:cs="Times New Roman"/>
                <w:sz w:val="21"/>
                <w:szCs w:val="21"/>
              </w:rPr>
              <w:t>COP</w:t>
            </w:r>
            <w:r>
              <w:rPr>
                <w:rFonts w:hint="eastAsia"/>
                <w:sz w:val="21"/>
                <w:szCs w:val="21"/>
              </w:rPr>
              <w:t>）</w:t>
            </w: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节能评价值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7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20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Ⅰ级能效限值</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375" w:hRule="atLeast"/>
          <w:jc w:val="center"/>
        </w:trPr>
        <w:tc>
          <w:tcPr>
            <w:tcW w:w="4934" w:type="dxa"/>
            <w:gridSpan w:val="5"/>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9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56" w:type="dxa"/>
            <w:tcBorders>
              <w:top w:val="nil"/>
              <w:left w:val="nil"/>
              <w:bottom w:val="nil"/>
              <w:right w:val="nil"/>
            </w:tcBorders>
            <w:noWrap w:val="0"/>
            <w:vAlign w:val="center"/>
          </w:tcPr>
          <w:p>
            <w:pPr>
              <w:rPr>
                <w:sz w:val="1"/>
              </w:rPr>
            </w:pPr>
          </w:p>
        </w:tc>
        <w:tc>
          <w:tcPr>
            <w:tcW w:w="567" w:type="dxa"/>
            <w:tcBorders>
              <w:top w:val="nil"/>
              <w:left w:val="nil"/>
              <w:bottom w:val="nil"/>
              <w:right w:val="nil"/>
            </w:tcBorders>
            <w:noWrap w:val="0"/>
            <w:vAlign w:val="center"/>
          </w:tcPr>
          <w:p>
            <w:pPr>
              <w:rPr>
                <w:sz w:val="1"/>
              </w:rPr>
            </w:pPr>
          </w:p>
        </w:tc>
        <w:tc>
          <w:tcPr>
            <w:tcW w:w="992" w:type="dxa"/>
            <w:tcBorders>
              <w:top w:val="nil"/>
              <w:left w:val="nil"/>
              <w:bottom w:val="nil"/>
              <w:right w:val="nil"/>
            </w:tcBorders>
            <w:noWrap w:val="0"/>
            <w:vAlign w:val="center"/>
          </w:tcPr>
          <w:p>
            <w:pPr>
              <w:rPr>
                <w:sz w:val="1"/>
              </w:rPr>
            </w:pPr>
          </w:p>
        </w:tc>
        <w:tc>
          <w:tcPr>
            <w:tcW w:w="1418" w:type="dxa"/>
            <w:tcBorders>
              <w:top w:val="nil"/>
              <w:left w:val="nil"/>
              <w:bottom w:val="nil"/>
              <w:right w:val="nil"/>
            </w:tcBorders>
            <w:noWrap w:val="0"/>
            <w:vAlign w:val="center"/>
          </w:tcPr>
          <w:p>
            <w:pPr>
              <w:rPr>
                <w:sz w:val="1"/>
              </w:rPr>
            </w:pPr>
          </w:p>
        </w:tc>
        <w:tc>
          <w:tcPr>
            <w:tcW w:w="1417"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407" w:type="dxa"/>
            <w:tcBorders>
              <w:top w:val="nil"/>
              <w:left w:val="nil"/>
              <w:bottom w:val="nil"/>
              <w:right w:val="nil"/>
            </w:tcBorders>
            <w:noWrap w:val="0"/>
            <w:vAlign w:val="center"/>
          </w:tcPr>
          <w:p>
            <w:pPr>
              <w:rPr>
                <w:sz w:val="1"/>
              </w:rPr>
            </w:pPr>
          </w:p>
        </w:tc>
      </w:tr>
    </w:tbl>
    <w:p>
      <w:pPr>
        <w:pStyle w:val="11"/>
        <w:spacing w:before="0" w:beforeAutospacing="0" w:after="0" w:afterAutospacing="0"/>
      </w:pPr>
      <w:r>
        <w:rPr>
          <w:rFonts w:ascii="Times New Roman" w:hAnsi="Times New Roman" w:cs="Times New Roman"/>
          <w:b/>
          <w:bCs/>
          <w:sz w:val="21"/>
          <w:szCs w:val="21"/>
        </w:rPr>
        <w:t> </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请简要说明供暖空调系统的冷、热源机组类型、能效等级。</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本项目冷热、源由热泵机组提供，无电直接加热设备作为空调系统的供暖热源。</w:t>
            </w:r>
          </w:p>
          <w:p>
            <w:pPr>
              <w:pStyle w:val="11"/>
              <w:spacing w:before="0" w:beforeAutospacing="0" w:after="0" w:afterAutospacing="0"/>
              <w:ind w:firstLine="400"/>
            </w:pPr>
            <w:r>
              <w:rPr>
                <w:rFonts w:hint="eastAsia"/>
                <w:sz w:val="20"/>
                <w:szCs w:val="20"/>
              </w:rPr>
              <w:t>宿舍：空调系统采用多联机空调系统，室外机组制冷量为</w:t>
            </w:r>
            <w:r>
              <w:rPr>
                <w:rFonts w:ascii="Times New Roman" w:hAnsi="Times New Roman" w:cs="Times New Roman"/>
                <w:sz w:val="20"/>
                <w:szCs w:val="20"/>
              </w:rPr>
              <w:t>377KW,</w:t>
            </w:r>
            <w:r>
              <w:rPr>
                <w:rFonts w:hint="eastAsia"/>
                <w:sz w:val="20"/>
                <w:szCs w:val="20"/>
              </w:rPr>
              <w:t>功率为</w:t>
            </w:r>
            <w:r>
              <w:rPr>
                <w:rFonts w:ascii="Times New Roman" w:hAnsi="Times New Roman" w:cs="Times New Roman"/>
                <w:sz w:val="20"/>
                <w:szCs w:val="20"/>
              </w:rPr>
              <w:t>107.3KW</w:t>
            </w:r>
            <w:r>
              <w:rPr>
                <w:rFonts w:hint="eastAsia"/>
                <w:sz w:val="20"/>
                <w:szCs w:val="20"/>
              </w:rPr>
              <w:t>；制热量为</w:t>
            </w:r>
            <w:r>
              <w:rPr>
                <w:rFonts w:ascii="Times New Roman" w:hAnsi="Times New Roman" w:cs="Times New Roman"/>
                <w:sz w:val="20"/>
                <w:szCs w:val="20"/>
              </w:rPr>
              <w:t>420KW,</w:t>
            </w:r>
            <w:r>
              <w:rPr>
                <w:rFonts w:hint="eastAsia"/>
                <w:sz w:val="20"/>
                <w:szCs w:val="20"/>
              </w:rPr>
              <w:t>功率为</w:t>
            </w:r>
            <w:r>
              <w:rPr>
                <w:rFonts w:ascii="Times New Roman" w:hAnsi="Times New Roman" w:cs="Times New Roman"/>
                <w:sz w:val="20"/>
                <w:szCs w:val="20"/>
              </w:rPr>
              <w:t>106.02KW</w:t>
            </w:r>
            <w:r>
              <w:rPr>
                <w:rFonts w:hint="eastAsia"/>
                <w:sz w:val="20"/>
                <w:szCs w:val="20"/>
              </w:rPr>
              <w:t>。食堂：空调系统采用多联机空调系统，室外机组制冷量为</w:t>
            </w:r>
            <w:r>
              <w:rPr>
                <w:rFonts w:ascii="Times New Roman" w:hAnsi="Times New Roman" w:cs="Times New Roman"/>
                <w:sz w:val="20"/>
                <w:szCs w:val="20"/>
              </w:rPr>
              <w:t>370.5KW,</w:t>
            </w:r>
            <w:r>
              <w:rPr>
                <w:rFonts w:hint="eastAsia"/>
                <w:sz w:val="20"/>
                <w:szCs w:val="20"/>
              </w:rPr>
              <w:t>功率为</w:t>
            </w:r>
            <w:r>
              <w:rPr>
                <w:rFonts w:ascii="Times New Roman" w:hAnsi="Times New Roman" w:cs="Times New Roman"/>
                <w:sz w:val="20"/>
                <w:szCs w:val="20"/>
              </w:rPr>
              <w:t>104.85KW</w:t>
            </w:r>
            <w:r>
              <w:rPr>
                <w:rFonts w:hint="eastAsia"/>
                <w:sz w:val="20"/>
                <w:szCs w:val="20"/>
              </w:rPr>
              <w:t>；制热量为</w:t>
            </w:r>
            <w:r>
              <w:rPr>
                <w:rFonts w:ascii="Times New Roman" w:hAnsi="Times New Roman" w:cs="Times New Roman"/>
                <w:sz w:val="20"/>
                <w:szCs w:val="20"/>
              </w:rPr>
              <w:t>412.5KW,</w:t>
            </w:r>
            <w:r>
              <w:rPr>
                <w:rFonts w:hint="eastAsia"/>
                <w:sz w:val="20"/>
                <w:szCs w:val="20"/>
              </w:rPr>
              <w:t>功率为</w:t>
            </w:r>
            <w:r>
              <w:rPr>
                <w:rFonts w:ascii="Times New Roman" w:hAnsi="Times New Roman" w:cs="Times New Roman"/>
                <w:sz w:val="20"/>
                <w:szCs w:val="20"/>
              </w:rPr>
              <w:t>103.98KW</w:t>
            </w:r>
            <w:r>
              <w:rPr>
                <w:rFonts w:hint="eastAsia"/>
                <w:sz w:val="20"/>
                <w:szCs w:val="20"/>
              </w:rPr>
              <w:t>。教学综合楼：空调系统采用多联机空调系统，室外机组制冷量为</w:t>
            </w:r>
            <w:r>
              <w:rPr>
                <w:rFonts w:ascii="Times New Roman" w:hAnsi="Times New Roman" w:cs="Times New Roman"/>
                <w:sz w:val="20"/>
                <w:szCs w:val="20"/>
              </w:rPr>
              <w:t>1239KW,</w:t>
            </w:r>
            <w:r>
              <w:rPr>
                <w:rFonts w:hint="eastAsia"/>
                <w:sz w:val="20"/>
                <w:szCs w:val="20"/>
              </w:rPr>
              <w:t>功率为</w:t>
            </w:r>
            <w:r>
              <w:rPr>
                <w:rFonts w:ascii="Times New Roman" w:hAnsi="Times New Roman" w:cs="Times New Roman"/>
                <w:sz w:val="20"/>
                <w:szCs w:val="20"/>
              </w:rPr>
              <w:t>373.9KW</w:t>
            </w:r>
            <w:r>
              <w:rPr>
                <w:rFonts w:hint="eastAsia"/>
                <w:sz w:val="20"/>
                <w:szCs w:val="20"/>
              </w:rPr>
              <w:t>；制热量为</w:t>
            </w:r>
            <w:r>
              <w:rPr>
                <w:rFonts w:ascii="Times New Roman" w:hAnsi="Times New Roman" w:cs="Times New Roman"/>
                <w:sz w:val="20"/>
                <w:szCs w:val="20"/>
              </w:rPr>
              <w:t>1386KW,</w:t>
            </w:r>
            <w:r>
              <w:rPr>
                <w:rFonts w:hint="eastAsia"/>
                <w:sz w:val="20"/>
                <w:szCs w:val="20"/>
              </w:rPr>
              <w:t>功率为</w:t>
            </w:r>
            <w:r>
              <w:rPr>
                <w:rFonts w:ascii="Times New Roman" w:hAnsi="Times New Roman" w:cs="Times New Roman"/>
                <w:sz w:val="20"/>
                <w:szCs w:val="20"/>
              </w:rPr>
              <w:t>357.06KW</w:t>
            </w:r>
            <w:r>
              <w:rPr>
                <w:rFonts w:hint="eastAsia"/>
                <w:sz w:val="20"/>
                <w:szCs w:val="20"/>
              </w:rPr>
              <w:t>。报告厅：合班教室和休息室采用单体空调</w:t>
            </w:r>
            <w:r>
              <w:rPr>
                <w:rFonts w:ascii="Times New Roman" w:hAnsi="Times New Roman" w:cs="Times New Roman"/>
                <w:sz w:val="20"/>
                <w:szCs w:val="20"/>
              </w:rPr>
              <w:t>+</w:t>
            </w:r>
            <w:r>
              <w:rPr>
                <w:rFonts w:hint="eastAsia"/>
                <w:sz w:val="20"/>
                <w:szCs w:val="20"/>
              </w:rPr>
              <w:t>新风换气机组；报告厅采用商用直膨式空调机组。制冷量为</w:t>
            </w:r>
            <w:r>
              <w:rPr>
                <w:rFonts w:ascii="Times New Roman" w:hAnsi="Times New Roman" w:cs="Times New Roman"/>
                <w:sz w:val="20"/>
                <w:szCs w:val="20"/>
              </w:rPr>
              <w:t>279KW,</w:t>
            </w:r>
            <w:r>
              <w:rPr>
                <w:rFonts w:hint="eastAsia"/>
                <w:sz w:val="20"/>
                <w:szCs w:val="20"/>
              </w:rPr>
              <w:t>功率为</w:t>
            </w:r>
            <w:r>
              <w:rPr>
                <w:rFonts w:ascii="Times New Roman" w:hAnsi="Times New Roman" w:cs="Times New Roman"/>
                <w:sz w:val="20"/>
                <w:szCs w:val="20"/>
              </w:rPr>
              <w:t>97.52KW</w:t>
            </w:r>
            <w:r>
              <w:rPr>
                <w:rFonts w:hint="eastAsia"/>
                <w:sz w:val="20"/>
                <w:szCs w:val="20"/>
              </w:rPr>
              <w:t>；制热量为</w:t>
            </w:r>
            <w:r>
              <w:rPr>
                <w:rFonts w:ascii="Times New Roman" w:hAnsi="Times New Roman" w:cs="Times New Roman"/>
                <w:sz w:val="20"/>
                <w:szCs w:val="20"/>
              </w:rPr>
              <w:t>308.7KW,</w:t>
            </w:r>
            <w:r>
              <w:rPr>
                <w:rFonts w:hint="eastAsia"/>
                <w:sz w:val="20"/>
                <w:szCs w:val="20"/>
              </w:rPr>
              <w:t>功率为</w:t>
            </w:r>
            <w:r>
              <w:rPr>
                <w:rFonts w:ascii="Times New Roman" w:hAnsi="Times New Roman" w:cs="Times New Roman"/>
                <w:sz w:val="20"/>
                <w:szCs w:val="20"/>
              </w:rPr>
              <w:t>95.12KW</w:t>
            </w:r>
            <w:r>
              <w:rPr>
                <w:rFonts w:hint="eastAsia"/>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）暖通专业竣工图及设计说明，应包含设备表等设计文件；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）冷热源机组采购清单、产品说明书、产品型式性能检测报告。</w:t>
      </w:r>
    </w:p>
    <w:p>
      <w:pPr>
        <w:pStyle w:val="11"/>
        <w:spacing w:before="0" w:beforeAutospacing="0" w:after="0" w:afterAutospacing="0" w:line="288" w:lineRule="auto"/>
        <w:ind w:hanging="52"/>
        <w:jc w:val="both"/>
        <w:rPr>
          <w:sz w:val="21"/>
          <w:szCs w:val="21"/>
        </w:rPr>
      </w:pPr>
      <w:r>
        <w:rPr>
          <w:rFonts w:hint="eastAsia"/>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暖通专业图纸及设计说明：5暖通设计/ 暖通设计说明.docx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7.2.6 采取有效措施降低供暖空调系统的末端系统及输配系统的能耗。（5分）</w:t>
      </w:r>
    </w:p>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tbl>
      <w:tblPr>
        <w:tblStyle w:val="1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394"/>
        <w:gridCol w:w="155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3" w:type="dxa"/>
            <w:noWrap w:val="0"/>
            <w:vAlign w:val="center"/>
          </w:tcPr>
          <w:p>
            <w:pPr>
              <w:pStyle w:val="29"/>
              <w:ind w:firstLine="0" w:firstLineChars="0"/>
              <w:jc w:val="center"/>
            </w:pPr>
            <w:r>
              <w:rPr>
                <w:szCs w:val="21"/>
              </w:rPr>
              <w:t>序号</w:t>
            </w:r>
          </w:p>
        </w:tc>
        <w:tc>
          <w:tcPr>
            <w:tcW w:w="4394" w:type="dxa"/>
            <w:noWrap w:val="0"/>
            <w:vAlign w:val="center"/>
          </w:tcPr>
          <w:p>
            <w:pPr>
              <w:pStyle w:val="29"/>
              <w:ind w:firstLine="0" w:firstLineChars="0"/>
              <w:jc w:val="center"/>
            </w:pPr>
            <w:r>
              <w:rPr>
                <w:szCs w:val="21"/>
              </w:rPr>
              <w:t>评价内容</w:t>
            </w:r>
          </w:p>
        </w:tc>
        <w:tc>
          <w:tcPr>
            <w:tcW w:w="1559" w:type="dxa"/>
            <w:noWrap w:val="0"/>
            <w:vAlign w:val="center"/>
          </w:tcPr>
          <w:p>
            <w:pPr>
              <w:pStyle w:val="29"/>
              <w:ind w:firstLine="0" w:firstLineChars="0"/>
              <w:jc w:val="center"/>
            </w:pPr>
            <w:r>
              <w:rPr>
                <w:szCs w:val="21"/>
              </w:rPr>
              <w:t>评价分值</w:t>
            </w:r>
          </w:p>
        </w:tc>
        <w:tc>
          <w:tcPr>
            <w:tcW w:w="1300" w:type="dxa"/>
            <w:noWrap w:val="0"/>
            <w:vAlign w:val="center"/>
          </w:tcPr>
          <w:p>
            <w:pPr>
              <w:pStyle w:val="29"/>
              <w:ind w:firstLine="0" w:firstLineChars="0"/>
              <w:jc w:val="cente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3" w:type="dxa"/>
            <w:vMerge w:val="restart"/>
            <w:noWrap w:val="0"/>
            <w:vAlign w:val="center"/>
          </w:tcPr>
          <w:p>
            <w:pPr>
              <w:pStyle w:val="29"/>
              <w:ind w:firstLine="0" w:firstLineChars="0"/>
              <w:jc w:val="center"/>
            </w:pPr>
            <w:r>
              <w:rPr>
                <w:rFonts w:hint="eastAsia"/>
              </w:rPr>
              <w:t>1</w:t>
            </w:r>
          </w:p>
        </w:tc>
        <w:tc>
          <w:tcPr>
            <w:tcW w:w="4394" w:type="dxa"/>
            <w:noWrap w:val="0"/>
            <w:vAlign w:val="center"/>
          </w:tcPr>
          <w:p>
            <w:pPr>
              <w:pStyle w:val="29"/>
              <w:ind w:firstLine="0" w:firstLineChars="0"/>
              <w:jc w:val="left"/>
            </w:pPr>
            <w:r>
              <w:rPr>
                <w:rFonts w:hint="eastAsia"/>
              </w:rPr>
              <w:t>通风空调系统</w:t>
            </w:r>
            <w:r>
              <w:t>风机的单位风量耗功率比现行国家标准《</w:t>
            </w:r>
            <w:r>
              <w:rPr>
                <w:rFonts w:hint="eastAsia"/>
              </w:rPr>
              <w:t>公共</w:t>
            </w:r>
            <w:r>
              <w:t>建筑节能设计标准》</w:t>
            </w:r>
            <w:r>
              <w:rPr>
                <w:rFonts w:hint="eastAsia"/>
              </w:rPr>
              <w:t>GB50189的</w:t>
            </w:r>
            <w:r>
              <w:t>规定低</w:t>
            </w:r>
            <w:r>
              <w:rPr>
                <w:rFonts w:hint="eastAsia"/>
              </w:rPr>
              <w:t>20</w:t>
            </w:r>
            <w:r>
              <w:t>%</w:t>
            </w:r>
          </w:p>
        </w:tc>
        <w:tc>
          <w:tcPr>
            <w:tcW w:w="1559" w:type="dxa"/>
            <w:vMerge w:val="restart"/>
            <w:noWrap w:val="0"/>
            <w:vAlign w:val="center"/>
          </w:tcPr>
          <w:p>
            <w:pPr>
              <w:pStyle w:val="29"/>
              <w:ind w:firstLine="0" w:firstLineChars="0"/>
              <w:jc w:val="center"/>
            </w:pPr>
            <w:r>
              <w:rPr>
                <w:rFonts w:hint="eastAsia"/>
              </w:rPr>
              <w:t>2</w:t>
            </w:r>
          </w:p>
        </w:tc>
        <w:tc>
          <w:tcPr>
            <w:tcW w:w="1300" w:type="dxa"/>
            <w:noWrap w:val="0"/>
            <w:vAlign w:val="center"/>
          </w:tcPr>
          <w:p>
            <w:pPr>
              <w:pStyle w:val="29"/>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3" w:type="dxa"/>
            <w:vMerge w:val="continue"/>
            <w:noWrap w:val="0"/>
            <w:vAlign w:val="center"/>
          </w:tcPr>
          <w:p>
            <w:pPr>
              <w:pStyle w:val="29"/>
              <w:ind w:firstLine="0" w:firstLineChars="0"/>
              <w:jc w:val="center"/>
            </w:pPr>
          </w:p>
        </w:tc>
        <w:tc>
          <w:tcPr>
            <w:tcW w:w="4394" w:type="dxa"/>
            <w:noWrap w:val="0"/>
            <w:vAlign w:val="center"/>
          </w:tcPr>
          <w:p>
            <w:pPr>
              <w:pStyle w:val="29"/>
              <w:ind w:firstLine="0" w:firstLineChars="0"/>
              <w:jc w:val="left"/>
            </w:pPr>
            <w:r>
              <w:rPr>
                <w:rFonts w:hint="eastAsia"/>
              </w:rPr>
              <w:t>采用分体空调和多联机空调（热泵）机组</w:t>
            </w:r>
          </w:p>
        </w:tc>
        <w:tc>
          <w:tcPr>
            <w:tcW w:w="1559" w:type="dxa"/>
            <w:vMerge w:val="continue"/>
            <w:noWrap w:val="0"/>
            <w:vAlign w:val="center"/>
          </w:tcPr>
          <w:p>
            <w:pPr>
              <w:pStyle w:val="29"/>
              <w:ind w:firstLine="0" w:firstLineChars="0"/>
              <w:jc w:val="center"/>
            </w:pPr>
          </w:p>
        </w:tc>
        <w:tc>
          <w:tcPr>
            <w:tcW w:w="1300" w:type="dxa"/>
            <w:noWrap w:val="0"/>
            <w:vAlign w:val="center"/>
          </w:tcPr>
          <w:p>
            <w:pPr>
              <w:pStyle w:val="29"/>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3" w:type="dxa"/>
            <w:vMerge w:val="restart"/>
            <w:noWrap w:val="0"/>
            <w:vAlign w:val="center"/>
          </w:tcPr>
          <w:p>
            <w:pPr>
              <w:pStyle w:val="29"/>
              <w:ind w:firstLine="0" w:firstLineChars="0"/>
              <w:jc w:val="center"/>
            </w:pPr>
            <w:r>
              <w:rPr>
                <w:rFonts w:hint="eastAsia"/>
              </w:rPr>
              <w:t>2</w:t>
            </w:r>
          </w:p>
        </w:tc>
        <w:tc>
          <w:tcPr>
            <w:tcW w:w="4394" w:type="dxa"/>
            <w:noWrap w:val="0"/>
            <w:vAlign w:val="center"/>
          </w:tcPr>
          <w:p>
            <w:pPr>
              <w:pStyle w:val="29"/>
              <w:ind w:firstLine="0" w:firstLineChars="0"/>
              <w:jc w:val="left"/>
            </w:pPr>
            <w:r>
              <w:rPr>
                <w:rFonts w:hint="eastAsia"/>
              </w:rPr>
              <w:t>集中供暖</w:t>
            </w:r>
            <w:r>
              <w:t>系统热水循环泵的耗电输热比、空调冷热水系统循环水泵的耗电输</w:t>
            </w:r>
            <w:r>
              <w:rPr>
                <w:rFonts w:hint="eastAsia"/>
              </w:rPr>
              <w:t>冷</w:t>
            </w:r>
            <w:r>
              <w:t>（</w:t>
            </w:r>
            <w:r>
              <w:rPr>
                <w:rFonts w:hint="eastAsia"/>
              </w:rPr>
              <w:t>热</w:t>
            </w:r>
            <w:r>
              <w:t>）</w:t>
            </w:r>
            <w:r>
              <w:rPr>
                <w:rFonts w:hint="eastAsia"/>
              </w:rPr>
              <w:t>比比</w:t>
            </w:r>
            <w:r>
              <w:t>现行国家标准《</w:t>
            </w:r>
            <w:r>
              <w:rPr>
                <w:rFonts w:hint="eastAsia"/>
              </w:rPr>
              <w:t>民用</w:t>
            </w:r>
            <w:r>
              <w:t>建筑</w:t>
            </w:r>
            <w:r>
              <w:rPr>
                <w:rFonts w:hint="eastAsia"/>
              </w:rPr>
              <w:t>供暖</w:t>
            </w:r>
            <w:r>
              <w:t>通风与空气调节设计规范》</w:t>
            </w:r>
            <w:r>
              <w:rPr>
                <w:rFonts w:hint="eastAsia"/>
              </w:rPr>
              <w:t>GB</w:t>
            </w:r>
            <w:r>
              <w:t>50736规定</w:t>
            </w:r>
            <w:r>
              <w:rPr>
                <w:rFonts w:hint="eastAsia"/>
              </w:rPr>
              <w:t>值</w:t>
            </w:r>
            <w:r>
              <w:t>低</w:t>
            </w:r>
            <w:r>
              <w:rPr>
                <w:rFonts w:hint="eastAsia"/>
              </w:rPr>
              <w:t>20</w:t>
            </w:r>
            <w:r>
              <w:t>%</w:t>
            </w:r>
          </w:p>
        </w:tc>
        <w:tc>
          <w:tcPr>
            <w:tcW w:w="1559" w:type="dxa"/>
            <w:vMerge w:val="restart"/>
            <w:noWrap w:val="0"/>
            <w:vAlign w:val="center"/>
          </w:tcPr>
          <w:p>
            <w:pPr>
              <w:pStyle w:val="29"/>
              <w:ind w:firstLine="0" w:firstLineChars="0"/>
              <w:jc w:val="center"/>
            </w:pPr>
            <w:r>
              <w:t>3</w:t>
            </w:r>
          </w:p>
        </w:tc>
        <w:tc>
          <w:tcPr>
            <w:tcW w:w="1300" w:type="dxa"/>
            <w:noWrap w:val="0"/>
            <w:vAlign w:val="center"/>
          </w:tcPr>
          <w:p>
            <w:pPr>
              <w:pStyle w:val="29"/>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33" w:type="dxa"/>
            <w:vMerge w:val="continue"/>
            <w:noWrap w:val="0"/>
            <w:vAlign w:val="center"/>
          </w:tcPr>
          <w:p>
            <w:pPr>
              <w:pStyle w:val="29"/>
              <w:ind w:firstLine="0" w:firstLineChars="0"/>
              <w:jc w:val="center"/>
            </w:pPr>
          </w:p>
        </w:tc>
        <w:tc>
          <w:tcPr>
            <w:tcW w:w="4394" w:type="dxa"/>
            <w:noWrap w:val="0"/>
            <w:vAlign w:val="center"/>
          </w:tcPr>
          <w:p>
            <w:pPr>
              <w:pStyle w:val="29"/>
              <w:ind w:firstLine="0" w:firstLineChars="0"/>
              <w:jc w:val="left"/>
            </w:pPr>
            <w:r>
              <w:rPr>
                <w:rFonts w:hint="eastAsia"/>
              </w:rPr>
              <w:t>非集中采暖空调系统项目</w:t>
            </w:r>
          </w:p>
        </w:tc>
        <w:tc>
          <w:tcPr>
            <w:tcW w:w="1559" w:type="dxa"/>
            <w:vMerge w:val="continue"/>
            <w:noWrap w:val="0"/>
            <w:vAlign w:val="center"/>
          </w:tcPr>
          <w:p>
            <w:pPr>
              <w:pStyle w:val="29"/>
              <w:ind w:firstLine="0" w:firstLineChars="0"/>
              <w:jc w:val="center"/>
            </w:pPr>
          </w:p>
        </w:tc>
        <w:tc>
          <w:tcPr>
            <w:tcW w:w="1300" w:type="dxa"/>
            <w:noWrap w:val="0"/>
            <w:vAlign w:val="center"/>
          </w:tcPr>
          <w:p>
            <w:pPr>
              <w:pStyle w:val="29"/>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127" w:type="dxa"/>
            <w:gridSpan w:val="2"/>
            <w:noWrap w:val="0"/>
            <w:vAlign w:val="center"/>
          </w:tcPr>
          <w:p>
            <w:pPr>
              <w:pStyle w:val="29"/>
              <w:ind w:firstLine="0" w:firstLineChars="0"/>
              <w:jc w:val="center"/>
            </w:pPr>
            <w:r>
              <w:rPr>
                <w:rFonts w:hint="eastAsia"/>
              </w:rPr>
              <w:t>合计</w:t>
            </w:r>
          </w:p>
        </w:tc>
        <w:tc>
          <w:tcPr>
            <w:tcW w:w="1559" w:type="dxa"/>
            <w:noWrap w:val="0"/>
            <w:vAlign w:val="center"/>
          </w:tcPr>
          <w:p>
            <w:pPr>
              <w:pStyle w:val="29"/>
              <w:ind w:firstLine="0" w:firstLineChars="0"/>
              <w:jc w:val="center"/>
            </w:pPr>
            <w:r>
              <w:rPr>
                <w:rFonts w:hint="eastAsia"/>
              </w:rPr>
              <w:t>5</w:t>
            </w:r>
          </w:p>
        </w:tc>
        <w:tc>
          <w:tcPr>
            <w:tcW w:w="1300" w:type="dxa"/>
            <w:noWrap w:val="0"/>
            <w:vAlign w:val="center"/>
          </w:tcPr>
          <w:p>
            <w:pPr>
              <w:pStyle w:val="29"/>
              <w:ind w:firstLine="0" w:firstLineChars="0"/>
              <w:jc w:val="center"/>
            </w:pPr>
            <w:r>
              <w:rPr>
                <w:rFonts w:hint="eastAsia"/>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2 评价要点</w:t>
      </w:r>
    </w:p>
    <w:p>
      <w:pPr>
        <w:spacing w:line="288" w:lineRule="auto"/>
      </w:pPr>
      <w:r>
        <w:rPr>
          <w:rFonts w:hint="eastAsia"/>
        </w:rPr>
        <w:t>通风空调系统风机的单位风量耗功率：</w:t>
      </w:r>
    </w:p>
    <w:tbl>
      <w:tblPr>
        <w:tblStyle w:val="13"/>
        <w:tblW w:w="8045" w:type="dxa"/>
        <w:jc w:val="center"/>
        <w:tblLayout w:type="fixed"/>
        <w:tblCellMar>
          <w:top w:w="0" w:type="dxa"/>
          <w:left w:w="108" w:type="dxa"/>
          <w:bottom w:w="0" w:type="dxa"/>
          <w:right w:w="108" w:type="dxa"/>
        </w:tblCellMar>
      </w:tblPr>
      <w:tblGrid>
        <w:gridCol w:w="2339"/>
        <w:gridCol w:w="2835"/>
        <w:gridCol w:w="2871"/>
      </w:tblGrid>
      <w:tr>
        <w:tblPrEx>
          <w:tblCellMar>
            <w:top w:w="0" w:type="dxa"/>
            <w:left w:w="108" w:type="dxa"/>
            <w:bottom w:w="0" w:type="dxa"/>
            <w:right w:w="108" w:type="dxa"/>
          </w:tblCellMar>
        </w:tblPrEx>
        <w:trPr>
          <w:cantSplit/>
          <w:jc w:val="center"/>
        </w:trPr>
        <w:tc>
          <w:tcPr>
            <w:tcW w:w="2339" w:type="dxa"/>
            <w:tcBorders>
              <w:top w:val="single" w:color="auto" w:sz="4" w:space="0"/>
              <w:left w:val="single" w:color="auto" w:sz="4" w:space="0"/>
              <w:bottom w:val="single" w:color="auto" w:sz="4" w:space="0"/>
              <w:right w:val="single" w:color="auto" w:sz="4" w:space="0"/>
            </w:tcBorders>
            <w:noWrap w:val="0"/>
            <w:vAlign w:val="center"/>
          </w:tcPr>
          <w:p>
            <w:pPr>
              <w:jc w:val="center"/>
              <w:rPr>
                <w:szCs w:val="18"/>
              </w:rPr>
            </w:pPr>
            <w:r>
              <w:rPr>
                <w:rFonts w:hint="eastAsia"/>
                <w:szCs w:val="18"/>
              </w:rPr>
              <w:t>设备类型</w:t>
            </w:r>
          </w:p>
        </w:tc>
        <w:tc>
          <w:tcPr>
            <w:tcW w:w="2835" w:type="dxa"/>
            <w:tcBorders>
              <w:top w:val="single" w:color="auto" w:sz="4" w:space="0"/>
              <w:left w:val="nil"/>
              <w:bottom w:val="single" w:color="auto" w:sz="4" w:space="0"/>
              <w:right w:val="single" w:color="auto" w:sz="4" w:space="0"/>
            </w:tcBorders>
            <w:noWrap w:val="0"/>
            <w:vAlign w:val="center"/>
          </w:tcPr>
          <w:p>
            <w:pPr>
              <w:jc w:val="center"/>
              <w:rPr>
                <w:szCs w:val="18"/>
              </w:rPr>
            </w:pPr>
            <w:r>
              <w:rPr>
                <w:rFonts w:hint="eastAsia"/>
                <w:szCs w:val="18"/>
              </w:rPr>
              <w:t>设备编号</w:t>
            </w:r>
          </w:p>
        </w:tc>
        <w:tc>
          <w:tcPr>
            <w:tcW w:w="2871" w:type="dxa"/>
            <w:tcBorders>
              <w:top w:val="single" w:color="auto" w:sz="4" w:space="0"/>
              <w:left w:val="nil"/>
              <w:bottom w:val="single" w:color="auto" w:sz="4" w:space="0"/>
              <w:right w:val="single" w:color="auto" w:sz="4" w:space="0"/>
            </w:tcBorders>
            <w:noWrap w:val="0"/>
            <w:vAlign w:val="center"/>
          </w:tcPr>
          <w:p>
            <w:pPr>
              <w:jc w:val="center"/>
              <w:rPr>
                <w:szCs w:val="18"/>
              </w:rPr>
            </w:pPr>
            <w:r>
              <w:rPr>
                <w:rFonts w:hint="eastAsia"/>
                <w:szCs w:val="18"/>
              </w:rPr>
              <w:t>单位风量耗功率</w:t>
            </w:r>
          </w:p>
        </w:tc>
      </w:tr>
      <w:tr>
        <w:tblPrEx>
          <w:tblCellMar>
            <w:top w:w="0" w:type="dxa"/>
            <w:left w:w="108" w:type="dxa"/>
            <w:bottom w:w="0" w:type="dxa"/>
            <w:right w:w="108" w:type="dxa"/>
          </w:tblCellMar>
        </w:tblPrEx>
        <w:trPr>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rPr>
                <w:sz w:val="18"/>
                <w:szCs w:val="18"/>
              </w:rPr>
            </w:pPr>
          </w:p>
        </w:tc>
        <w:tc>
          <w:tcPr>
            <w:tcW w:w="2835" w:type="dxa"/>
            <w:tcBorders>
              <w:top w:val="nil"/>
              <w:left w:val="nil"/>
              <w:bottom w:val="single" w:color="auto" w:sz="4" w:space="0"/>
              <w:right w:val="single" w:color="auto" w:sz="4" w:space="0"/>
            </w:tcBorders>
            <w:noWrap w:val="0"/>
            <w:vAlign w:val="top"/>
          </w:tcPr>
          <w:p>
            <w:pPr>
              <w:jc w:val="center"/>
              <w:rPr>
                <w:color w:val="000000"/>
                <w:sz w:val="18"/>
                <w:szCs w:val="18"/>
              </w:rPr>
            </w:pPr>
          </w:p>
        </w:tc>
        <w:tc>
          <w:tcPr>
            <w:tcW w:w="2871" w:type="dxa"/>
            <w:tcBorders>
              <w:top w:val="nil"/>
              <w:left w:val="nil"/>
              <w:bottom w:val="single" w:color="auto" w:sz="4" w:space="0"/>
              <w:right w:val="single" w:color="auto" w:sz="4" w:space="0"/>
            </w:tcBorders>
            <w:noWrap w:val="0"/>
            <w:vAlign w:val="top"/>
          </w:tcPr>
          <w:p>
            <w:pPr>
              <w:jc w:val="center"/>
              <w:rPr>
                <w:color w:val="000000"/>
                <w:sz w:val="18"/>
                <w:szCs w:val="18"/>
              </w:rPr>
            </w:pPr>
          </w:p>
        </w:tc>
      </w:tr>
      <w:tr>
        <w:tblPrEx>
          <w:tblCellMar>
            <w:top w:w="0" w:type="dxa"/>
            <w:left w:w="108" w:type="dxa"/>
            <w:bottom w:w="0" w:type="dxa"/>
            <w:right w:w="108" w:type="dxa"/>
          </w:tblCellMar>
        </w:tblPrEx>
        <w:trPr>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pPr>
          </w:p>
        </w:tc>
        <w:tc>
          <w:tcPr>
            <w:tcW w:w="2835" w:type="dxa"/>
            <w:tcBorders>
              <w:top w:val="nil"/>
              <w:left w:val="nil"/>
              <w:bottom w:val="single" w:color="auto" w:sz="4" w:space="0"/>
              <w:right w:val="single" w:color="auto" w:sz="4" w:space="0"/>
            </w:tcBorders>
            <w:noWrap w:val="0"/>
            <w:vAlign w:val="top"/>
          </w:tcPr>
          <w:p>
            <w:pPr>
              <w:jc w:val="center"/>
              <w:rPr>
                <w:color w:val="000000"/>
                <w:sz w:val="18"/>
                <w:szCs w:val="18"/>
              </w:rPr>
            </w:pPr>
          </w:p>
        </w:tc>
        <w:tc>
          <w:tcPr>
            <w:tcW w:w="2871" w:type="dxa"/>
            <w:tcBorders>
              <w:top w:val="nil"/>
              <w:left w:val="nil"/>
              <w:bottom w:val="single" w:color="auto" w:sz="4" w:space="0"/>
              <w:right w:val="single" w:color="auto" w:sz="4" w:space="0"/>
            </w:tcBorders>
            <w:noWrap w:val="0"/>
            <w:vAlign w:val="top"/>
          </w:tcPr>
          <w:p>
            <w:pPr>
              <w:jc w:val="center"/>
              <w:rPr>
                <w:color w:val="000000"/>
                <w:sz w:val="18"/>
                <w:szCs w:val="18"/>
              </w:rPr>
            </w:pPr>
          </w:p>
        </w:tc>
      </w:tr>
      <w:tr>
        <w:tblPrEx>
          <w:tblCellMar>
            <w:top w:w="0" w:type="dxa"/>
            <w:left w:w="108" w:type="dxa"/>
            <w:bottom w:w="0" w:type="dxa"/>
            <w:right w:w="108" w:type="dxa"/>
          </w:tblCellMar>
        </w:tblPrEx>
        <w:trPr>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pPr>
          </w:p>
        </w:tc>
        <w:tc>
          <w:tcPr>
            <w:tcW w:w="2835" w:type="dxa"/>
            <w:tcBorders>
              <w:top w:val="nil"/>
              <w:left w:val="nil"/>
              <w:bottom w:val="single" w:color="auto" w:sz="4" w:space="0"/>
              <w:right w:val="single" w:color="auto" w:sz="4" w:space="0"/>
            </w:tcBorders>
            <w:noWrap w:val="0"/>
            <w:vAlign w:val="top"/>
          </w:tcPr>
          <w:p>
            <w:pPr>
              <w:jc w:val="center"/>
              <w:rPr>
                <w:color w:val="000000"/>
                <w:sz w:val="18"/>
                <w:szCs w:val="18"/>
              </w:rPr>
            </w:pPr>
          </w:p>
        </w:tc>
        <w:tc>
          <w:tcPr>
            <w:tcW w:w="2871" w:type="dxa"/>
            <w:tcBorders>
              <w:top w:val="nil"/>
              <w:left w:val="nil"/>
              <w:bottom w:val="single" w:color="auto" w:sz="4" w:space="0"/>
              <w:right w:val="single" w:color="auto" w:sz="4" w:space="0"/>
            </w:tcBorders>
            <w:noWrap w:val="0"/>
            <w:vAlign w:val="top"/>
          </w:tcPr>
          <w:p>
            <w:pPr>
              <w:jc w:val="center"/>
              <w:rPr>
                <w:color w:val="000000"/>
                <w:sz w:val="18"/>
                <w:szCs w:val="18"/>
              </w:rPr>
            </w:pPr>
          </w:p>
        </w:tc>
      </w:tr>
      <w:tr>
        <w:tblPrEx>
          <w:tblCellMar>
            <w:top w:w="0" w:type="dxa"/>
            <w:left w:w="108" w:type="dxa"/>
            <w:bottom w:w="0" w:type="dxa"/>
            <w:right w:w="108" w:type="dxa"/>
          </w:tblCellMar>
        </w:tblPrEx>
        <w:trPr>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pPr>
          </w:p>
        </w:tc>
        <w:tc>
          <w:tcPr>
            <w:tcW w:w="2835" w:type="dxa"/>
            <w:tcBorders>
              <w:top w:val="nil"/>
              <w:left w:val="nil"/>
              <w:bottom w:val="single" w:color="auto" w:sz="4" w:space="0"/>
              <w:right w:val="single" w:color="auto" w:sz="4" w:space="0"/>
            </w:tcBorders>
            <w:noWrap w:val="0"/>
            <w:vAlign w:val="top"/>
          </w:tcPr>
          <w:p>
            <w:pPr>
              <w:jc w:val="center"/>
              <w:rPr>
                <w:color w:val="000000"/>
                <w:sz w:val="18"/>
                <w:szCs w:val="18"/>
              </w:rPr>
            </w:pPr>
          </w:p>
        </w:tc>
        <w:tc>
          <w:tcPr>
            <w:tcW w:w="2871" w:type="dxa"/>
            <w:tcBorders>
              <w:top w:val="nil"/>
              <w:left w:val="nil"/>
              <w:bottom w:val="single" w:color="auto" w:sz="4" w:space="0"/>
              <w:right w:val="single" w:color="auto" w:sz="4" w:space="0"/>
            </w:tcBorders>
            <w:noWrap w:val="0"/>
            <w:vAlign w:val="top"/>
          </w:tcPr>
          <w:p>
            <w:pPr>
              <w:jc w:val="center"/>
              <w:rPr>
                <w:color w:val="000000"/>
                <w:sz w:val="18"/>
                <w:szCs w:val="18"/>
              </w:rPr>
            </w:pPr>
          </w:p>
        </w:tc>
      </w:tr>
    </w:tbl>
    <w:p>
      <w:pPr>
        <w:spacing w:line="288" w:lineRule="auto"/>
      </w:pPr>
      <w:r>
        <w:rPr>
          <w:rFonts w:hint="eastAsia"/>
        </w:rPr>
        <w:t>集中供暖系统热水循环泵的耗电输热比：</w:t>
      </w:r>
      <w:r>
        <w:rPr>
          <w:rFonts w:hint="eastAsia"/>
          <w:u w:val="single"/>
        </w:rPr>
        <w:t xml:space="preserve">     </w:t>
      </w:r>
      <w:r>
        <w:rPr>
          <w:u w:val="single"/>
        </w:rPr>
        <w:t xml:space="preserve"> </w:t>
      </w:r>
      <w:r>
        <w:t xml:space="preserve">  </w:t>
      </w:r>
      <w:r>
        <w:rPr>
          <w:rFonts w:hint="eastAsia"/>
        </w:rPr>
        <w:t>，标准规定值：</w:t>
      </w:r>
      <w:r>
        <w:rPr>
          <w:rFonts w:hint="eastAsia"/>
          <w:u w:val="single"/>
        </w:rPr>
        <w:t xml:space="preserve">     </w:t>
      </w:r>
      <w:r>
        <w:rPr>
          <w:rFonts w:hint="eastAsia"/>
        </w:rPr>
        <w:t>。</w:t>
      </w:r>
    </w:p>
    <w:p>
      <w:pPr>
        <w:spacing w:line="288" w:lineRule="auto"/>
      </w:pPr>
      <w:r>
        <w:rPr>
          <w:rFonts w:hint="eastAsia"/>
        </w:rPr>
        <w:t>空调冷热水系统循环水泵的耗电输冷（热）比：</w:t>
      </w:r>
      <w:r>
        <w:rPr>
          <w:rFonts w:hint="eastAsia"/>
          <w:u w:val="single"/>
        </w:rPr>
        <w:t xml:space="preserve">     </w:t>
      </w:r>
      <w:r>
        <w:rPr>
          <w:rFonts w:hint="eastAsia"/>
        </w:rPr>
        <w:t xml:space="preserve"> ，标准规定值：_</w:t>
      </w:r>
      <w:r>
        <w:rPr>
          <w:rFonts w:hint="eastAsia"/>
          <w:u w:val="single"/>
        </w:rPr>
        <w:t xml:space="preserve">      </w:t>
      </w:r>
      <w:r>
        <w:rPr>
          <w:rFonts w:hint="eastAsia"/>
        </w:rPr>
        <w:t>。</w:t>
      </w:r>
    </w:p>
    <w:p>
      <w:pPr>
        <w:spacing w:before="120" w:beforeLines="50" w:after="120" w:afterLines="50"/>
        <w:rPr>
          <w:rFonts w:ascii="Times New Roman" w:hAnsi="Times New Roman" w:cs="Times New Roman"/>
          <w:b/>
          <w:szCs w:val="21"/>
        </w:rPr>
      </w:pPr>
      <w:bookmarkStart w:id="85" w:name="_Toc9945192"/>
      <w:bookmarkStart w:id="86" w:name="_Toc9944768"/>
      <w:bookmarkStart w:id="87" w:name="_Toc9945334"/>
      <w:bookmarkStart w:id="88" w:name="_Toc9945475"/>
      <w:bookmarkStart w:id="89" w:name="_Toc9945048"/>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）暖通专业竣工图及设计说明，</w:t>
      </w:r>
      <w:r>
        <w:rPr>
          <w:rFonts w:ascii="Times New Roman" w:hAnsi="Times New Roman" w:cs="Times New Roman"/>
        </w:rPr>
        <w:t>应包含设备表、风系统图及</w:t>
      </w:r>
      <w:r>
        <w:rPr>
          <w:rFonts w:hint="eastAsia" w:ascii="Times New Roman" w:hAnsi="Times New Roman" w:cs="Times New Roman"/>
        </w:rPr>
        <w:t>水</w:t>
      </w:r>
      <w:r>
        <w:rPr>
          <w:rFonts w:ascii="Times New Roman" w:hAnsi="Times New Roman" w:cs="Times New Roman"/>
        </w:rPr>
        <w:t>系统等设计文件</w:t>
      </w:r>
      <w:r>
        <w:rPr>
          <w:rFonts w:hint="eastAsia" w:ascii="Times New Roman" w:hAnsi="Times New Roman" w:cs="Times New Roman"/>
        </w:rPr>
        <w:t>；</w:t>
      </w:r>
      <w:bookmarkEnd w:id="85"/>
      <w:bookmarkEnd w:id="86"/>
      <w:bookmarkEnd w:id="87"/>
      <w:bookmarkEnd w:id="88"/>
      <w:bookmarkEnd w:id="89"/>
    </w:p>
    <w:p>
      <w:pPr>
        <w:rPr>
          <w:rFonts w:ascii="Times New Roman" w:hAnsi="Times New Roman" w:cs="Times New Roman"/>
        </w:rPr>
      </w:pPr>
      <w:bookmarkStart w:id="90" w:name="_Toc9945049"/>
      <w:bookmarkStart w:id="91" w:name="_Toc9945335"/>
      <w:bookmarkStart w:id="92" w:name="_Toc9944769"/>
      <w:bookmarkStart w:id="93" w:name="_Toc9945476"/>
      <w:bookmarkStart w:id="94" w:name="_Toc9945193"/>
      <w:r>
        <w:rPr>
          <w:rFonts w:ascii="Times New Roman" w:hAnsi="Times New Roman" w:cs="Times New Roman"/>
        </w:rPr>
        <w:t>2</w:t>
      </w:r>
      <w:r>
        <w:rPr>
          <w:rFonts w:hint="eastAsia" w:ascii="Times New Roman" w:hAnsi="Times New Roman" w:cs="Times New Roman"/>
        </w:rPr>
        <w:t>）风机及水泵的产品性能检测报告；</w:t>
      </w:r>
      <w:bookmarkEnd w:id="90"/>
      <w:bookmarkEnd w:id="91"/>
      <w:bookmarkEnd w:id="92"/>
      <w:bookmarkEnd w:id="93"/>
      <w:bookmarkEnd w:id="94"/>
    </w:p>
    <w:p>
      <w:pPr>
        <w:rPr>
          <w:rFonts w:ascii="Times New Roman" w:hAnsi="Times New Roman" w:cs="Times New Roman"/>
        </w:rPr>
      </w:pPr>
      <w:bookmarkStart w:id="95" w:name="_Toc9945194"/>
      <w:bookmarkStart w:id="96" w:name="_Toc9945050"/>
      <w:bookmarkStart w:id="97" w:name="_Toc9945336"/>
      <w:bookmarkStart w:id="98" w:name="_Toc9945477"/>
      <w:bookmarkStart w:id="99" w:name="_Toc9944770"/>
      <w:r>
        <w:rPr>
          <w:rFonts w:hint="eastAsia" w:ascii="Times New Roman" w:hAnsi="Times New Roman" w:cs="Times New Roman"/>
        </w:rPr>
        <w:t>3）风机的单位风量耗功率、空调冷热水系统的耗电输冷（热）比、集中供暖系统热水循环泵的耗电输热比计算书。</w:t>
      </w:r>
      <w:bookmarkEnd w:id="95"/>
      <w:bookmarkEnd w:id="96"/>
      <w:bookmarkEnd w:id="97"/>
      <w:bookmarkEnd w:id="98"/>
      <w:bookmarkEnd w:id="99"/>
    </w:p>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7.2.7 采用节能型电气设备及节能控制措施。（10分）</w:t>
      </w:r>
    </w:p>
    <w:p>
      <w:pPr>
        <w:pStyle w:val="11"/>
        <w:spacing w:before="0" w:beforeAutospacing="0" w:after="0"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7977" w:type="dxa"/>
        <w:jc w:val="center"/>
        <w:tblLayout w:type="autofit"/>
        <w:tblCellMar>
          <w:top w:w="0" w:type="dxa"/>
          <w:left w:w="0" w:type="dxa"/>
          <w:bottom w:w="0" w:type="dxa"/>
          <w:right w:w="0" w:type="dxa"/>
        </w:tblCellMar>
      </w:tblPr>
      <w:tblGrid>
        <w:gridCol w:w="551"/>
        <w:gridCol w:w="5210"/>
        <w:gridCol w:w="1156"/>
        <w:gridCol w:w="1060"/>
      </w:tblGrid>
      <w:tr>
        <w:tblPrEx>
          <w:tblCellMar>
            <w:top w:w="0" w:type="dxa"/>
            <w:left w:w="0" w:type="dxa"/>
            <w:bottom w:w="0" w:type="dxa"/>
            <w:right w:w="0" w:type="dxa"/>
          </w:tblCellMar>
        </w:tblPrEx>
        <w:trPr>
          <w:trHeight w:val="337" w:hRule="atLeast"/>
          <w:jc w:val="center"/>
        </w:trPr>
        <w:tc>
          <w:tcPr>
            <w:tcW w:w="5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5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644" w:hRule="atLeast"/>
          <w:jc w:val="center"/>
        </w:trPr>
        <w:tc>
          <w:tcPr>
            <w:tcW w:w="5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5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主要功能房间的照明功率密度值达到现行国家标准《建筑照明设计标准》</w:t>
            </w:r>
            <w:r>
              <w:rPr>
                <w:rFonts w:ascii="Times New Roman" w:hAnsi="Times New Roman" w:cs="Times New Roman"/>
                <w:sz w:val="21"/>
                <w:szCs w:val="21"/>
              </w:rPr>
              <w:t>GB50034</w:t>
            </w:r>
            <w:r>
              <w:rPr>
                <w:rFonts w:hint="eastAsia"/>
                <w:sz w:val="21"/>
                <w:szCs w:val="21"/>
              </w:rPr>
              <w:t>规定的目标值</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5</w:t>
            </w:r>
          </w:p>
        </w:tc>
      </w:tr>
      <w:tr>
        <w:tblPrEx>
          <w:tblCellMar>
            <w:top w:w="0" w:type="dxa"/>
            <w:left w:w="0" w:type="dxa"/>
            <w:bottom w:w="0" w:type="dxa"/>
            <w:right w:w="0" w:type="dxa"/>
          </w:tblCellMar>
        </w:tblPrEx>
        <w:trPr>
          <w:trHeight w:val="644" w:hRule="atLeast"/>
          <w:jc w:val="center"/>
        </w:trPr>
        <w:tc>
          <w:tcPr>
            <w:tcW w:w="5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5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采光区域的人工照明随天然光照度变化自动调节</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644" w:hRule="atLeast"/>
          <w:jc w:val="center"/>
        </w:trPr>
        <w:tc>
          <w:tcPr>
            <w:tcW w:w="5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5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照明产品、三相配电变压器、水泵、风机等设备满足国家现行有关标准的节能评价值的要求</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644" w:hRule="atLeast"/>
          <w:jc w:val="center"/>
        </w:trPr>
        <w:tc>
          <w:tcPr>
            <w:tcW w:w="5282"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val="en-US" w:eastAsia="zh-CN"/>
              </w:rPr>
            </w:pPr>
            <w:r>
              <w:rPr>
                <w:rFonts w:hint="eastAsia" w:eastAsia="宋体"/>
                <w:sz w:val="21"/>
                <w:szCs w:val="21"/>
                <w:lang w:val="en-US" w:eastAsia="zh-CN"/>
              </w:rPr>
              <w:t>5</w:t>
            </w:r>
          </w:p>
        </w:tc>
      </w:tr>
    </w:tbl>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1"/>
          <w:szCs w:val="21"/>
        </w:rPr>
      </w:pPr>
      <w:r>
        <w:rPr>
          <w:rFonts w:hint="eastAsia"/>
          <w:sz w:val="21"/>
          <w:szCs w:val="21"/>
        </w:rPr>
        <w:t>照明功率密度：</w:t>
      </w:r>
    </w:p>
    <w:tbl>
      <w:tblPr>
        <w:tblStyle w:val="13"/>
        <w:tblW w:w="4759" w:type="pct"/>
        <w:jc w:val="center"/>
        <w:tblLayout w:type="autofit"/>
        <w:tblCellMar>
          <w:top w:w="0" w:type="dxa"/>
          <w:left w:w="0" w:type="dxa"/>
          <w:bottom w:w="0" w:type="dxa"/>
          <w:right w:w="0" w:type="dxa"/>
        </w:tblCellMar>
      </w:tblPr>
      <w:tblGrid>
        <w:gridCol w:w="2047"/>
        <w:gridCol w:w="1574"/>
        <w:gridCol w:w="1428"/>
        <w:gridCol w:w="1573"/>
        <w:gridCol w:w="1476"/>
      </w:tblGrid>
      <w:tr>
        <w:tblPrEx>
          <w:tblCellMar>
            <w:top w:w="0" w:type="dxa"/>
            <w:left w:w="0" w:type="dxa"/>
            <w:bottom w:w="0" w:type="dxa"/>
            <w:right w:w="0" w:type="dxa"/>
          </w:tblCellMar>
        </w:tblPrEx>
        <w:trPr>
          <w:trHeight w:val="285" w:hRule="atLeast"/>
          <w:jc w:val="center"/>
        </w:trPr>
        <w:tc>
          <w:tcPr>
            <w:tcW w:w="1264" w:type="pct"/>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房间类型</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设计照度值（Lx）</w:t>
            </w:r>
          </w:p>
        </w:tc>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照明功率密度（W/m</w:t>
            </w:r>
            <w:r>
              <w:rPr>
                <w:rFonts w:hint="eastAsia"/>
                <w:sz w:val="14"/>
                <w:szCs w:val="14"/>
                <w:vertAlign w:val="superscript"/>
              </w:rPr>
              <w:t>2</w:t>
            </w:r>
            <w:r>
              <w:rPr>
                <w:rFonts w:hint="eastAsia"/>
                <w:sz w:val="21"/>
                <w:szCs w:val="21"/>
              </w:rPr>
              <w:t>)</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972"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实际值</w:t>
            </w:r>
          </w:p>
        </w:tc>
        <w:tc>
          <w:tcPr>
            <w:tcW w:w="88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标准值</w:t>
            </w:r>
          </w:p>
        </w:tc>
        <w:tc>
          <w:tcPr>
            <w:tcW w:w="971"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实际值</w:t>
            </w:r>
          </w:p>
        </w:tc>
        <w:tc>
          <w:tcPr>
            <w:tcW w:w="911" w:type="pct"/>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现行值</w:t>
            </w:r>
          </w:p>
        </w:tc>
      </w:tr>
      <w:tr>
        <w:tblPrEx>
          <w:tblCellMar>
            <w:top w:w="0" w:type="dxa"/>
            <w:left w:w="0" w:type="dxa"/>
            <w:bottom w:w="0" w:type="dxa"/>
            <w:right w:w="0" w:type="dxa"/>
          </w:tblCellMar>
        </w:tblPrEx>
        <w:trPr>
          <w:trHeight w:val="285" w:hRule="atLeast"/>
          <w:jc w:val="center"/>
        </w:trPr>
        <w:tc>
          <w:tcPr>
            <w:tcW w:w="1264"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活动室</w:t>
            </w:r>
          </w:p>
        </w:tc>
        <w:tc>
          <w:tcPr>
            <w:tcW w:w="972"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350</w:t>
            </w:r>
          </w:p>
        </w:tc>
        <w:tc>
          <w:tcPr>
            <w:tcW w:w="88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300</w:t>
            </w:r>
          </w:p>
        </w:tc>
        <w:tc>
          <w:tcPr>
            <w:tcW w:w="971"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w:t>
            </w:r>
          </w:p>
        </w:tc>
        <w:tc>
          <w:tcPr>
            <w:tcW w:w="91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7 </w:t>
            </w:r>
          </w:p>
        </w:tc>
      </w:tr>
      <w:tr>
        <w:tblPrEx>
          <w:tblCellMar>
            <w:top w:w="0" w:type="dxa"/>
            <w:left w:w="0" w:type="dxa"/>
            <w:bottom w:w="0" w:type="dxa"/>
            <w:right w:w="0" w:type="dxa"/>
          </w:tblCellMar>
        </w:tblPrEx>
        <w:trPr>
          <w:trHeight w:val="285" w:hRule="atLeast"/>
          <w:jc w:val="center"/>
        </w:trPr>
        <w:tc>
          <w:tcPr>
            <w:tcW w:w="1264"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多功能厅</w:t>
            </w:r>
          </w:p>
        </w:tc>
        <w:tc>
          <w:tcPr>
            <w:tcW w:w="972"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350</w:t>
            </w:r>
          </w:p>
        </w:tc>
        <w:tc>
          <w:tcPr>
            <w:tcW w:w="88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300 </w:t>
            </w:r>
          </w:p>
        </w:tc>
        <w:tc>
          <w:tcPr>
            <w:tcW w:w="971"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w:t>
            </w:r>
          </w:p>
        </w:tc>
        <w:tc>
          <w:tcPr>
            <w:tcW w:w="91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7</w:t>
            </w:r>
          </w:p>
        </w:tc>
      </w:tr>
      <w:tr>
        <w:tblPrEx>
          <w:tblCellMar>
            <w:top w:w="0" w:type="dxa"/>
            <w:left w:w="0" w:type="dxa"/>
            <w:bottom w:w="0" w:type="dxa"/>
            <w:right w:w="0" w:type="dxa"/>
          </w:tblCellMar>
        </w:tblPrEx>
        <w:trPr>
          <w:trHeight w:val="285" w:hRule="atLeast"/>
          <w:jc w:val="center"/>
        </w:trPr>
        <w:tc>
          <w:tcPr>
            <w:tcW w:w="1264"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办公室</w:t>
            </w:r>
          </w:p>
        </w:tc>
        <w:tc>
          <w:tcPr>
            <w:tcW w:w="972"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350</w:t>
            </w:r>
          </w:p>
        </w:tc>
        <w:tc>
          <w:tcPr>
            <w:tcW w:w="88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300</w:t>
            </w:r>
          </w:p>
        </w:tc>
        <w:tc>
          <w:tcPr>
            <w:tcW w:w="971"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6</w:t>
            </w:r>
          </w:p>
        </w:tc>
        <w:tc>
          <w:tcPr>
            <w:tcW w:w="91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7</w:t>
            </w:r>
          </w:p>
        </w:tc>
      </w:tr>
      <w:tr>
        <w:tblPrEx>
          <w:tblCellMar>
            <w:top w:w="0" w:type="dxa"/>
            <w:left w:w="0" w:type="dxa"/>
            <w:bottom w:w="0" w:type="dxa"/>
            <w:right w:w="0" w:type="dxa"/>
          </w:tblCellMar>
        </w:tblPrEx>
        <w:trPr>
          <w:trHeight w:val="285" w:hRule="atLeast"/>
          <w:jc w:val="center"/>
        </w:trPr>
        <w:tc>
          <w:tcPr>
            <w:tcW w:w="1264"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72"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8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71" w:type="pct"/>
            <w:tcBorders>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11" w:type="pct"/>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126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7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882"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7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11" w:type="pct"/>
            <w:tcBorders>
              <w:top w:val="single" w:color="000000" w:sz="6" w:space="0"/>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0" w:beforeAutospacing="0" w:after="0" w:afterAutospacing="0" w:line="288" w:lineRule="auto"/>
        <w:jc w:val="both"/>
        <w:rPr>
          <w:sz w:val="21"/>
          <w:szCs w:val="21"/>
        </w:rPr>
      </w:pPr>
      <w:r>
        <w:rPr>
          <w:rFonts w:hint="eastAsia"/>
          <w:sz w:val="21"/>
          <w:szCs w:val="21"/>
        </w:rPr>
        <w:t xml:space="preserve">采光区域的人工照明是否可随天然光照度变化自动调节： </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sz w:val="28"/>
          <w:szCs w:val="28"/>
        </w:rPr>
        <w:t>□</w:t>
      </w:r>
      <w:r>
        <w:rPr>
          <w:rFonts w:hint="eastAsia"/>
          <w:sz w:val="21"/>
          <w:szCs w:val="21"/>
        </w:rPr>
        <w:t>否</w:t>
      </w:r>
    </w:p>
    <w:p>
      <w:pPr>
        <w:pStyle w:val="11"/>
        <w:spacing w:before="0" w:beforeAutospacing="0" w:after="0" w:afterAutospacing="0" w:line="288" w:lineRule="auto"/>
        <w:jc w:val="both"/>
        <w:rPr>
          <w:sz w:val="21"/>
          <w:szCs w:val="21"/>
        </w:rPr>
      </w:pPr>
      <w:r>
        <w:rPr>
          <w:rFonts w:hint="eastAsia"/>
          <w:sz w:val="21"/>
          <w:szCs w:val="21"/>
        </w:rPr>
        <w:t>照明产品、三相配电变压器、水泵、风机（及其电机）的能效等级</w:t>
      </w:r>
    </w:p>
    <w:tbl>
      <w:tblPr>
        <w:tblStyle w:val="13"/>
        <w:tblW w:w="8078" w:type="dxa"/>
        <w:jc w:val="center"/>
        <w:tblLayout w:type="autofit"/>
        <w:tblCellMar>
          <w:top w:w="0" w:type="dxa"/>
          <w:left w:w="0" w:type="dxa"/>
          <w:bottom w:w="0" w:type="dxa"/>
          <w:right w:w="0" w:type="dxa"/>
        </w:tblCellMar>
      </w:tblPr>
      <w:tblGrid>
        <w:gridCol w:w="1686"/>
        <w:gridCol w:w="2785"/>
        <w:gridCol w:w="1618"/>
        <w:gridCol w:w="1989"/>
      </w:tblGrid>
      <w:tr>
        <w:tblPrEx>
          <w:tblCellMar>
            <w:top w:w="0" w:type="dxa"/>
            <w:left w:w="0" w:type="dxa"/>
            <w:bottom w:w="0" w:type="dxa"/>
            <w:right w:w="0" w:type="dxa"/>
          </w:tblCellMar>
        </w:tblPrEx>
        <w:trPr>
          <w:jc w:val="center"/>
        </w:trPr>
        <w:tc>
          <w:tcPr>
            <w:tcW w:w="154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设备名称</w:t>
            </w:r>
          </w:p>
        </w:tc>
        <w:tc>
          <w:tcPr>
            <w:tcW w:w="255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设备型号</w:t>
            </w:r>
          </w:p>
        </w:tc>
        <w:tc>
          <w:tcPr>
            <w:tcW w:w="3311"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能效水平</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设备参数</w:t>
            </w:r>
          </w:p>
        </w:tc>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能效等级</w:t>
            </w:r>
          </w:p>
        </w:tc>
      </w:tr>
      <w:tr>
        <w:tblPrEx>
          <w:tblCellMar>
            <w:top w:w="0" w:type="dxa"/>
            <w:left w:w="0" w:type="dxa"/>
            <w:bottom w:w="0" w:type="dxa"/>
            <w:right w:w="0"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5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5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5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61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）电气专业竣工图及设计说明，应包含照明设计要求、照明设计标准、照明控制措施等；</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）照明装修竣工图及设计说明，应包含照明系统图、平面施工图、设备表等；</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）照明产品采购清单、照明功率密度计算书及现场检测报告；</w:t>
      </w:r>
    </w:p>
    <w:p>
      <w:pPr>
        <w:pStyle w:val="11"/>
        <w:spacing w:before="0" w:beforeAutospacing="0" w:after="0" w:afterAutospacing="0"/>
      </w:pPr>
      <w:r>
        <w:rPr>
          <w:rFonts w:ascii="Times New Roman" w:hAnsi="Times New Roman" w:cs="Times New Roman"/>
          <w:sz w:val="21"/>
          <w:szCs w:val="21"/>
        </w:rPr>
        <w:t>4</w:t>
      </w:r>
      <w:r>
        <w:rPr>
          <w:rFonts w:hint="eastAsia"/>
          <w:sz w:val="21"/>
          <w:szCs w:val="21"/>
        </w:rPr>
        <w:t>）电气设备能效等级分析报告、电气设备的产品说明书或检测报告。</w:t>
      </w:r>
    </w:p>
    <w:p>
      <w:pPr>
        <w:pStyle w:val="11"/>
        <w:spacing w:before="0" w:beforeAutospacing="0" w:after="0" w:afterAutospacing="0"/>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832"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电气专业图纸及设计说明：8电气设计/ 电气设计说明.docx</w:t>
            </w:r>
          </w:p>
        </w:tc>
      </w:tr>
    </w:tbl>
    <w:p>
      <w:pPr>
        <w:rPr>
          <w:rFonts w:ascii="Times New Roman" w:hAnsi="Times New Roman" w:cs="Times New Roman"/>
          <w:b/>
          <w:bCs/>
        </w:rPr>
      </w:pP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7.2.8 采取措施降低建筑能耗。（10分）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8000" w:type="dxa"/>
        <w:jc w:val="center"/>
        <w:tblLayout w:type="autofit"/>
        <w:tblCellMar>
          <w:top w:w="0" w:type="dxa"/>
          <w:left w:w="0" w:type="dxa"/>
          <w:bottom w:w="0" w:type="dxa"/>
          <w:right w:w="0" w:type="dxa"/>
        </w:tblCellMar>
      </w:tblPr>
      <w:tblGrid>
        <w:gridCol w:w="734"/>
        <w:gridCol w:w="4402"/>
        <w:gridCol w:w="1562"/>
        <w:gridCol w:w="1302"/>
      </w:tblGrid>
      <w:tr>
        <w:tblPrEx>
          <w:tblCellMar>
            <w:top w:w="0" w:type="dxa"/>
            <w:left w:w="0" w:type="dxa"/>
            <w:bottom w:w="0" w:type="dxa"/>
            <w:right w:w="0" w:type="dxa"/>
          </w:tblCellMar>
        </w:tblPrEx>
        <w:trPr>
          <w:trHeight w:val="195" w:hRule="atLeast"/>
          <w:jc w:val="center"/>
        </w:trPr>
        <w:tc>
          <w:tcPr>
            <w:tcW w:w="5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评价分值</w:t>
            </w:r>
          </w:p>
        </w:tc>
        <w:tc>
          <w:tcPr>
            <w:tcW w:w="10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644" w:hRule="atLeast"/>
          <w:jc w:val="center"/>
        </w:trPr>
        <w:tc>
          <w:tcPr>
            <w:tcW w:w="5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建筑能耗相比国家现行有关建筑节能标准降低</w:t>
            </w: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0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trHeight w:val="644" w:hRule="atLeast"/>
          <w:jc w:val="center"/>
        </w:trPr>
        <w:tc>
          <w:tcPr>
            <w:tcW w:w="51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建筑能耗相比国家现行有关建筑节能标准降低</w:t>
            </w:r>
            <w:r>
              <w:rPr>
                <w:rFonts w:ascii="Times New Roman" w:hAnsi="Times New Roman" w:cs="Times New Roman"/>
                <w:sz w:val="21"/>
                <w:szCs w:val="21"/>
              </w:rPr>
              <w:t>20%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644" w:hRule="atLeast"/>
          <w:jc w:val="center"/>
        </w:trPr>
        <w:tc>
          <w:tcPr>
            <w:tcW w:w="4911"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8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eastAsia="zh-CN"/>
              </w:rPr>
            </w:pPr>
          </w:p>
        </w:tc>
      </w:tr>
      <w:tr>
        <w:tblPrEx>
          <w:tblCellMar>
            <w:top w:w="0" w:type="dxa"/>
            <w:left w:w="0" w:type="dxa"/>
            <w:bottom w:w="0" w:type="dxa"/>
            <w:right w:w="0" w:type="dxa"/>
          </w:tblCellMar>
        </w:tblPrEx>
        <w:trPr>
          <w:jc w:val="center"/>
        </w:trPr>
        <w:tc>
          <w:tcPr>
            <w:tcW w:w="733" w:type="dxa"/>
            <w:tcBorders>
              <w:top w:val="nil"/>
              <w:left w:val="nil"/>
              <w:bottom w:val="nil"/>
              <w:right w:val="nil"/>
            </w:tcBorders>
            <w:noWrap w:val="0"/>
            <w:vAlign w:val="center"/>
          </w:tcPr>
          <w:p>
            <w:pPr>
              <w:rPr>
                <w:sz w:val="1"/>
              </w:rPr>
            </w:pPr>
          </w:p>
        </w:tc>
        <w:tc>
          <w:tcPr>
            <w:tcW w:w="4394"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299"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能耗计算结果：</w:t>
      </w:r>
    </w:p>
    <w:tbl>
      <w:tblPr>
        <w:tblStyle w:val="13"/>
        <w:tblW w:w="7958" w:type="dxa"/>
        <w:jc w:val="center"/>
        <w:tblLayout w:type="autofit"/>
        <w:tblCellMar>
          <w:top w:w="0" w:type="dxa"/>
          <w:left w:w="0" w:type="dxa"/>
          <w:bottom w:w="0" w:type="dxa"/>
          <w:right w:w="0" w:type="dxa"/>
        </w:tblCellMar>
      </w:tblPr>
      <w:tblGrid>
        <w:gridCol w:w="2842"/>
        <w:gridCol w:w="1563"/>
        <w:gridCol w:w="1990"/>
        <w:gridCol w:w="1563"/>
      </w:tblGrid>
      <w:tr>
        <w:tblPrEx>
          <w:tblCellMar>
            <w:top w:w="0" w:type="dxa"/>
            <w:left w:w="0" w:type="dxa"/>
            <w:bottom w:w="0" w:type="dxa"/>
            <w:right w:w="0" w:type="dxa"/>
          </w:tblCellMar>
        </w:tblPrEx>
        <w:trPr>
          <w:trHeight w:val="285" w:hRule="atLeast"/>
          <w:jc w:val="center"/>
        </w:trPr>
        <w:tc>
          <w:tcPr>
            <w:tcW w:w="2619" w:type="dxa"/>
            <w:tcBorders>
              <w:top w:val="single" w:color="000000" w:sz="8" w:space="0"/>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建筑分项能耗</w:t>
            </w:r>
          </w:p>
        </w:tc>
        <w:tc>
          <w:tcPr>
            <w:tcW w:w="1343" w:type="dxa"/>
            <w:tcBorders>
              <w:top w:val="single" w:color="000000" w:sz="8" w:space="0"/>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单位</w:t>
            </w:r>
          </w:p>
        </w:tc>
        <w:tc>
          <w:tcPr>
            <w:tcW w:w="1769" w:type="dxa"/>
            <w:tcBorders>
              <w:top w:val="single" w:color="000000" w:sz="8" w:space="0"/>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能耗约束值</w:t>
            </w:r>
          </w:p>
        </w:tc>
        <w:tc>
          <w:tcPr>
            <w:tcW w:w="1343" w:type="dxa"/>
            <w:tcBorders>
              <w:top w:val="single" w:color="000000" w:sz="8" w:space="0"/>
              <w:bottom w:val="single" w:color="000000" w:sz="6"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jc w:val="center"/>
            </w:pPr>
            <w:r>
              <w:rPr>
                <w:rFonts w:hint="eastAsia"/>
                <w:sz w:val="21"/>
                <w:szCs w:val="21"/>
              </w:rPr>
              <w:t>实际能耗</w:t>
            </w:r>
          </w:p>
        </w:tc>
      </w:tr>
      <w:tr>
        <w:tblPrEx>
          <w:tblCellMar>
            <w:top w:w="0" w:type="dxa"/>
            <w:left w:w="0" w:type="dxa"/>
            <w:bottom w:w="0" w:type="dxa"/>
            <w:right w:w="0" w:type="dxa"/>
          </w:tblCellMar>
        </w:tblPrEx>
        <w:trPr>
          <w:trHeight w:val="285" w:hRule="atLeast"/>
          <w:jc w:val="center"/>
        </w:trPr>
        <w:tc>
          <w:tcPr>
            <w:tcW w:w="2619" w:type="dxa"/>
            <w:tcBorders>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供暖空调系统能耗</w:t>
            </w:r>
          </w:p>
        </w:tc>
        <w:tc>
          <w:tcPr>
            <w:tcW w:w="1343"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kWh/m</w:t>
            </w:r>
            <w:r>
              <w:rPr>
                <w:rFonts w:ascii="Times New Roman" w:hAnsi="Times New Roman" w:cs="Times New Roman"/>
                <w:sz w:val="14"/>
                <w:szCs w:val="14"/>
                <w:vertAlign w:val="superscript"/>
              </w:rPr>
              <w:t>2</w:t>
            </w:r>
          </w:p>
        </w:tc>
        <w:tc>
          <w:tcPr>
            <w:tcW w:w="1769" w:type="dxa"/>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43" w:type="dxa"/>
            <w:tcBorders>
              <w:bottom w:val="single" w:color="000000" w:sz="6" w:space="0"/>
              <w:right w:val="single" w:color="000000" w:sz="8" w:space="0"/>
            </w:tcBorders>
            <w:noWrap w:val="0"/>
            <w:tcMar>
              <w:top w:w="0" w:type="dxa"/>
              <w:left w:w="108" w:type="dxa"/>
              <w:bottom w:w="0" w:type="dxa"/>
              <w:right w:w="98"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2619" w:type="dxa"/>
            <w:tcBorders>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照明系统能耗</w:t>
            </w:r>
          </w:p>
        </w:tc>
        <w:tc>
          <w:tcPr>
            <w:tcW w:w="1343"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kWh/m</w:t>
            </w:r>
            <w:r>
              <w:rPr>
                <w:rFonts w:ascii="Times New Roman" w:hAnsi="Times New Roman" w:cs="Times New Roman"/>
                <w:sz w:val="14"/>
                <w:szCs w:val="14"/>
                <w:vertAlign w:val="superscript"/>
              </w:rPr>
              <w:t>2</w:t>
            </w:r>
          </w:p>
        </w:tc>
        <w:tc>
          <w:tcPr>
            <w:tcW w:w="1769" w:type="dxa"/>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343" w:type="dxa"/>
            <w:tcBorders>
              <w:bottom w:val="single" w:color="000000" w:sz="6" w:space="0"/>
              <w:right w:val="single" w:color="000000" w:sz="8" w:space="0"/>
            </w:tcBorders>
            <w:noWrap w:val="0"/>
            <w:tcMar>
              <w:top w:w="0" w:type="dxa"/>
              <w:left w:w="108" w:type="dxa"/>
              <w:bottom w:w="0" w:type="dxa"/>
              <w:right w:w="98"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2619" w:type="dxa"/>
            <w:tcBorders>
              <w:left w:val="single" w:color="000000" w:sz="8" w:space="0"/>
              <w:bottom w:val="single" w:color="000000" w:sz="6"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单位面积全年总能耗</w:t>
            </w:r>
          </w:p>
        </w:tc>
        <w:tc>
          <w:tcPr>
            <w:tcW w:w="1343" w:type="dxa"/>
            <w:tcBorders>
              <w:bottom w:val="single" w:color="000000" w:sz="6"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kWh/m</w:t>
            </w:r>
            <w:r>
              <w:rPr>
                <w:rFonts w:ascii="Times New Roman" w:hAnsi="Times New Roman" w:cs="Times New Roman"/>
                <w:sz w:val="14"/>
                <w:szCs w:val="14"/>
                <w:vertAlign w:val="superscript"/>
              </w:rPr>
              <w:t>2</w:t>
            </w:r>
          </w:p>
        </w:tc>
        <w:tc>
          <w:tcPr>
            <w:tcW w:w="1769" w:type="dxa"/>
            <w:tcBorders>
              <w:bottom w:val="single" w:color="000000" w:sz="6" w:space="0"/>
              <w:right w:val="single" w:color="000000" w:sz="6" w:space="0"/>
            </w:tcBorders>
            <w:noWrap w:val="0"/>
            <w:tcMar>
              <w:top w:w="0" w:type="dxa"/>
              <w:left w:w="108"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r>
              <w:rPr>
                <w:rFonts w:ascii="Arial" w:hAnsi="Arial" w:cs="Arial"/>
                <w:color w:val="333333"/>
                <w:sz w:val="20"/>
                <w:szCs w:val="20"/>
                <w:shd w:val="clear" w:color="auto" w:fill="FFFFFF"/>
              </w:rPr>
              <w:t xml:space="preserve">22.64～ 157.29 </w:t>
            </w:r>
            <w:r>
              <w:rPr>
                <w:rFonts w:ascii="Times New Roman" w:hAnsi="Times New Roman" w:cs="Times New Roman"/>
                <w:sz w:val="21"/>
                <w:szCs w:val="21"/>
              </w:rPr>
              <w:t>​</w:t>
            </w:r>
          </w:p>
        </w:tc>
        <w:tc>
          <w:tcPr>
            <w:tcW w:w="1343" w:type="dxa"/>
            <w:tcBorders>
              <w:bottom w:val="single" w:color="000000" w:sz="6" w:space="0"/>
              <w:right w:val="single" w:color="000000" w:sz="8" w:space="0"/>
            </w:tcBorders>
            <w:noWrap w:val="0"/>
            <w:tcMar>
              <w:top w:w="0" w:type="dxa"/>
              <w:left w:w="108" w:type="dxa"/>
              <w:bottom w:w="0" w:type="dxa"/>
              <w:right w:w="98" w:type="dxa"/>
            </w:tcMar>
            <w:vAlign w:val="top"/>
          </w:tcPr>
          <w:p>
            <w:pPr>
              <w:pStyle w:val="11"/>
              <w:spacing w:before="0" w:beforeAutospacing="0" w:after="0" w:afterAutospacing="0"/>
              <w:jc w:val="center"/>
            </w:pPr>
            <w:r>
              <w:rPr>
                <w:rFonts w:ascii="Times New Roman" w:hAnsi="Times New Roman" w:cs="Times New Roman"/>
                <w:sz w:val="21"/>
                <w:szCs w:val="21"/>
              </w:rPr>
              <w:t>106.7 </w:t>
            </w:r>
          </w:p>
        </w:tc>
      </w:tr>
      <w:tr>
        <w:tblPrEx>
          <w:tblCellMar>
            <w:top w:w="0" w:type="dxa"/>
            <w:left w:w="0" w:type="dxa"/>
            <w:bottom w:w="0" w:type="dxa"/>
            <w:right w:w="0" w:type="dxa"/>
          </w:tblCellMar>
        </w:tblPrEx>
        <w:trPr>
          <w:trHeight w:val="300" w:hRule="atLeast"/>
          <w:jc w:val="center"/>
        </w:trPr>
        <w:tc>
          <w:tcPr>
            <w:tcW w:w="2619" w:type="dxa"/>
            <w:tcBorders>
              <w:left w:val="single" w:color="000000" w:sz="8" w:space="0"/>
              <w:bottom w:val="single" w:color="000000" w:sz="8" w:space="0"/>
              <w:right w:val="single" w:color="000000" w:sz="6" w:space="0"/>
            </w:tcBorders>
            <w:noWrap w:val="0"/>
            <w:tcMar>
              <w:top w:w="0" w:type="dxa"/>
              <w:left w:w="98" w:type="dxa"/>
              <w:bottom w:w="0" w:type="dxa"/>
              <w:right w:w="101" w:type="dxa"/>
            </w:tcMar>
            <w:vAlign w:val="center"/>
          </w:tcPr>
          <w:p>
            <w:pPr>
              <w:pStyle w:val="11"/>
              <w:spacing w:before="0" w:beforeAutospacing="0" w:after="0" w:afterAutospacing="0"/>
              <w:jc w:val="center"/>
            </w:pPr>
            <w:r>
              <w:rPr>
                <w:rFonts w:hint="eastAsia"/>
                <w:sz w:val="21"/>
                <w:szCs w:val="21"/>
              </w:rPr>
              <w:t>能耗降低幅度</w:t>
            </w:r>
          </w:p>
        </w:tc>
        <w:tc>
          <w:tcPr>
            <w:tcW w:w="1343" w:type="dxa"/>
            <w:tcBorders>
              <w:bottom w:val="single" w:color="000000" w:sz="8" w:space="0"/>
              <w:right w:val="single" w:color="000000" w:sz="6" w:space="0"/>
            </w:tcBorders>
            <w:noWrap w:val="0"/>
            <w:tcMar>
              <w:top w:w="0" w:type="dxa"/>
              <w:left w:w="108" w:type="dxa"/>
              <w:bottom w:w="0" w:type="dxa"/>
              <w:right w:w="101" w:type="dxa"/>
            </w:tcMar>
            <w:vAlign w:val="center"/>
          </w:tcPr>
          <w:p>
            <w:pPr>
              <w:pStyle w:val="11"/>
              <w:spacing w:before="0" w:beforeAutospacing="0" w:after="0" w:afterAutospacing="0"/>
              <w:jc w:val="center"/>
            </w:pPr>
            <w:r>
              <w:rPr>
                <w:rFonts w:hint="eastAsia"/>
                <w:sz w:val="21"/>
                <w:szCs w:val="21"/>
              </w:rPr>
              <w:t>％</w:t>
            </w:r>
          </w:p>
        </w:tc>
        <w:tc>
          <w:tcPr>
            <w:tcW w:w="3328" w:type="dxa"/>
            <w:gridSpan w:val="2"/>
            <w:tcBorders>
              <w:bottom w:val="single" w:color="000000" w:sz="8" w:space="0"/>
              <w:right w:val="single" w:color="000000" w:sz="8" w:space="0"/>
            </w:tcBorders>
            <w:noWrap w:val="0"/>
            <w:tcMar>
              <w:top w:w="0" w:type="dxa"/>
              <w:left w:w="108" w:type="dxa"/>
              <w:bottom w:w="0" w:type="dxa"/>
              <w:right w:w="98" w:type="dxa"/>
            </w:tcMar>
            <w:vAlign w:val="center"/>
          </w:tcPr>
          <w:p>
            <w:pPr>
              <w:pStyle w:val="11"/>
              <w:spacing w:before="0" w:beforeAutospacing="0" w:after="0" w:afterAutospacing="0" w:line="288" w:lineRule="auto"/>
              <w:ind w:firstLine="360"/>
              <w:jc w:val="center"/>
            </w:pPr>
            <w:r>
              <w:rPr>
                <w:rFonts w:ascii="Times New Roman" w:hAnsi="Times New Roman" w:cs="Times New Roman"/>
              </w:rPr>
              <w:t>10 </w:t>
            </w:r>
          </w:p>
        </w:tc>
      </w:tr>
      <w:tr>
        <w:tblPrEx>
          <w:tblCellMar>
            <w:top w:w="0" w:type="dxa"/>
            <w:left w:w="0" w:type="dxa"/>
            <w:bottom w:w="0" w:type="dxa"/>
            <w:right w:w="0" w:type="dxa"/>
          </w:tblCellMar>
        </w:tblPrEx>
        <w:trPr>
          <w:jc w:val="center"/>
        </w:trPr>
        <w:tc>
          <w:tcPr>
            <w:tcW w:w="2835"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985"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r>
    </w:tbl>
    <w:p>
      <w:pPr>
        <w:pStyle w:val="11"/>
        <w:spacing w:before="0" w:beforeAutospacing="0" w:after="0" w:afterAutospacing="0" w:line="288" w:lineRule="auto"/>
        <w:jc w:val="both"/>
        <w:rPr>
          <w:sz w:val="21"/>
          <w:szCs w:val="21"/>
        </w:rPr>
      </w:pPr>
      <w:r>
        <w:rPr>
          <w:rFonts w:hint="eastAsia"/>
          <w:sz w:val="21"/>
          <w:szCs w:val="21"/>
        </w:rPr>
        <w:t>执行的节能设计标准：</w:t>
      </w:r>
      <w:r>
        <w:rPr>
          <w:rFonts w:hint="eastAsia"/>
          <w:sz w:val="21"/>
          <w:szCs w:val="21"/>
          <w:u w:val="single"/>
        </w:rPr>
        <w:t>        </w:t>
      </w:r>
      <w:r>
        <w:rPr>
          <w:rFonts w:ascii="Arial" w:hAnsi="Arial" w:cs="Arial"/>
          <w:color w:val="333333"/>
          <w:sz w:val="21"/>
          <w:szCs w:val="21"/>
          <w:u w:val="single"/>
          <w:shd w:val="clear" w:color="auto" w:fill="FFFFFF"/>
        </w:rPr>
        <w:t>《建筑外窗空气渗透性能分级及其检测方法》（GB/T7106）规定的4级</w:t>
      </w:r>
      <w:r>
        <w:rPr>
          <w:rFonts w:hint="eastAsia" w:ascii="MS Mincho" w:hAnsi="MS Mincho" w:eastAsia="MS Mincho" w:cs="MS Mincho"/>
          <w:sz w:val="21"/>
          <w:szCs w:val="21"/>
          <w:u w:val="single"/>
        </w:rPr>
        <w:t>​</w:t>
      </w:r>
      <w:r>
        <w:rPr>
          <w:rFonts w:hint="eastAsia"/>
          <w:sz w:val="21"/>
          <w:szCs w:val="21"/>
          <w:u w:val="single"/>
        </w:rPr>
        <w:t xml:space="preserve">                          </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）暖通空调专业竣工图及设计说明、暖通空调能耗模拟计算书；</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）内装竣工图及设计说明、电气专业竣工图及设计说明、照明能耗模拟计算书；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）投入使用满</w:t>
      </w:r>
      <w:r>
        <w:rPr>
          <w:rFonts w:ascii="Times New Roman" w:hAnsi="Times New Roman" w:cs="Times New Roman"/>
          <w:sz w:val="21"/>
          <w:szCs w:val="21"/>
        </w:rPr>
        <w:t>1</w:t>
      </w:r>
      <w:r>
        <w:rPr>
          <w:rFonts w:hint="eastAsia"/>
          <w:sz w:val="21"/>
          <w:szCs w:val="21"/>
        </w:rPr>
        <w:t>年，应提供建筑能耗记录及节能率计算报告。</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暖通专业图纸及设计说明：5暖通设计/ 暖通设计说明.docx</w:t>
            </w:r>
            <w:r>
              <w:rPr>
                <w:rFonts w:ascii="Times New Roman" w:hAnsi="Times New Roman" w:cs="Times New Roman"/>
                <w:sz w:val="20"/>
                <w:szCs w:val="20"/>
              </w:rPr>
              <w:br w:type="textWrapping"/>
            </w:r>
            <w:r>
              <w:rPr>
                <w:rStyle w:val="26"/>
                <w:rFonts w:ascii="Times New Roman" w:hAnsi="Times New Roman" w:cs="Times New Roman"/>
                <w:sz w:val="20"/>
                <w:szCs w:val="20"/>
              </w:rPr>
              <w:t>电气专业图纸及设计说明：8电气设计/ 电气设计说明.docx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7.2.9 结合当地气候和自然资源条件合理利用可再生能源。（10分）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7967" w:type="dxa"/>
        <w:jc w:val="center"/>
        <w:tblLayout w:type="autofit"/>
        <w:tblCellMar>
          <w:top w:w="0" w:type="dxa"/>
          <w:left w:w="0" w:type="dxa"/>
          <w:bottom w:w="0" w:type="dxa"/>
          <w:right w:w="0" w:type="dxa"/>
        </w:tblCellMar>
      </w:tblPr>
      <w:tblGrid>
        <w:gridCol w:w="838"/>
        <w:gridCol w:w="1677"/>
        <w:gridCol w:w="2605"/>
        <w:gridCol w:w="1562"/>
        <w:gridCol w:w="1285"/>
      </w:tblGrid>
      <w:tr>
        <w:tblPrEx>
          <w:tblCellMar>
            <w:top w:w="0" w:type="dxa"/>
            <w:left w:w="0" w:type="dxa"/>
            <w:bottom w:w="0" w:type="dxa"/>
            <w:right w:w="0" w:type="dxa"/>
          </w:tblCellMar>
        </w:tblPrEx>
        <w:trPr>
          <w:trHeight w:val="356" w:hRule="atLeast"/>
          <w:jc w:val="center"/>
        </w:trPr>
        <w:tc>
          <w:tcPr>
            <w:tcW w:w="62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058"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393" w:hRule="atLeast"/>
          <w:jc w:val="center"/>
        </w:trPr>
        <w:tc>
          <w:tcPr>
            <w:tcW w:w="62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45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由可再生能源提供的生活用热水比例</w:t>
            </w:r>
            <w:r>
              <w:rPr>
                <w:rFonts w:ascii="Times New Roman" w:hAnsi="Times New Roman" w:cs="Times New Roman"/>
                <w:sz w:val="21"/>
                <w:szCs w:val="21"/>
              </w:rPr>
              <w:t>R</w:t>
            </w:r>
            <w:r>
              <w:rPr>
                <w:rFonts w:ascii="Times New Roman" w:hAnsi="Times New Roman" w:cs="Times New Roman"/>
                <w:sz w:val="14"/>
                <w:szCs w:val="14"/>
                <w:vertAlign w:val="subscript"/>
              </w:rPr>
              <w:t>hw</w:t>
            </w: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20%≤R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35%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35%≤R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50%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50%≤R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65%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1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65%≤R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80%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trHeight w:val="11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17" w:lineRule="atLeast"/>
              <w:jc w:val="center"/>
              <w:rPr>
                <w:sz w:val="21"/>
                <w:szCs w:val="21"/>
              </w:rPr>
            </w:pPr>
            <w:r>
              <w:rPr>
                <w:rFonts w:ascii="Times New Roman" w:hAnsi="Times New Roman" w:cs="Times New Roman"/>
                <w:sz w:val="21"/>
                <w:szCs w:val="21"/>
              </w:rPr>
              <w:t>R</w:t>
            </w:r>
            <w:r>
              <w:rPr>
                <w:rFonts w:ascii="Times New Roman" w:hAnsi="Times New Roman" w:cs="Times New Roman"/>
                <w:sz w:val="14"/>
                <w:szCs w:val="14"/>
                <w:vertAlign w:val="subscript"/>
              </w:rPr>
              <w:t>hw</w:t>
            </w:r>
            <w:r>
              <w:rPr>
                <w:rFonts w:ascii="Times New Roman" w:hAnsi="Times New Roman" w:cs="Times New Roman"/>
                <w:sz w:val="21"/>
                <w:szCs w:val="21"/>
              </w:rPr>
              <w:t>≥80%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17" w:lineRule="atLeast"/>
              <w:jc w:val="center"/>
              <w:rPr>
                <w:sz w:val="21"/>
                <w:szCs w:val="21"/>
              </w:rPr>
            </w:pPr>
            <w:r>
              <w:rPr>
                <w:rFonts w:ascii="Times New Roman" w:hAnsi="Times New Roman" w:cs="Times New Roman"/>
                <w:sz w:val="21"/>
                <w:szCs w:val="21"/>
              </w:rPr>
              <w:t>10</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117"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3" w:hRule="atLeast"/>
          <w:jc w:val="center"/>
        </w:trPr>
        <w:tc>
          <w:tcPr>
            <w:tcW w:w="62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45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由可再生能源提供的空调用冷量和热量比例</w:t>
            </w:r>
            <w:r>
              <w:rPr>
                <w:rFonts w:ascii="Times New Roman" w:hAnsi="Times New Roman" w:cs="Times New Roman"/>
                <w:sz w:val="21"/>
                <w:szCs w:val="21"/>
              </w:rPr>
              <w:t>R</w:t>
            </w:r>
            <w:r>
              <w:rPr>
                <w:rFonts w:ascii="Times New Roman" w:hAnsi="Times New Roman" w:cs="Times New Roman"/>
                <w:sz w:val="14"/>
                <w:szCs w:val="14"/>
                <w:vertAlign w:val="subscript"/>
              </w:rPr>
              <w:t>ch</w:t>
            </w: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20%≤R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35%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9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96" w:lineRule="atLeast"/>
              <w:jc w:val="center"/>
              <w:rPr>
                <w:sz w:val="21"/>
                <w:szCs w:val="21"/>
              </w:rPr>
            </w:pPr>
            <w:r>
              <w:rPr>
                <w:rFonts w:ascii="Times New Roman" w:hAnsi="Times New Roman" w:cs="Times New Roman"/>
                <w:sz w:val="21"/>
                <w:szCs w:val="21"/>
              </w:rPr>
              <w:t>35%≤R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50%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96" w:lineRule="atLeast"/>
              <w:jc w:val="center"/>
              <w:rPr>
                <w:sz w:val="21"/>
                <w:szCs w:val="21"/>
              </w:rPr>
            </w:pPr>
            <w:r>
              <w:rPr>
                <w:rFonts w:ascii="Times New Roman" w:hAnsi="Times New Roman" w:cs="Times New Roman"/>
                <w:sz w:val="21"/>
                <w:szCs w:val="21"/>
              </w:rPr>
              <w:t>4</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96"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50%≤R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65%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6</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6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65%≤R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80%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R</w:t>
            </w:r>
            <w:r>
              <w:rPr>
                <w:rFonts w:ascii="Times New Roman" w:hAnsi="Times New Roman" w:cs="Times New Roman"/>
                <w:sz w:val="14"/>
                <w:szCs w:val="14"/>
                <w:vertAlign w:val="subscript"/>
              </w:rPr>
              <w:t>ch</w:t>
            </w:r>
            <w:r>
              <w:rPr>
                <w:rFonts w:ascii="Times New Roman" w:hAnsi="Times New Roman" w:cs="Times New Roman"/>
                <w:sz w:val="21"/>
                <w:szCs w:val="21"/>
              </w:rPr>
              <w:t>≥80%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10</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21" w:hRule="atLeast"/>
          <w:jc w:val="center"/>
        </w:trPr>
        <w:tc>
          <w:tcPr>
            <w:tcW w:w="62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45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由可再生能源提供的电量比例</w:t>
            </w:r>
            <w:r>
              <w:rPr>
                <w:rFonts w:ascii="Times New Roman" w:hAnsi="Times New Roman" w:cs="Times New Roman"/>
                <w:sz w:val="21"/>
                <w:szCs w:val="21"/>
              </w:rPr>
              <w:t>R</w:t>
            </w:r>
            <w:r>
              <w:rPr>
                <w:rFonts w:ascii="Times New Roman" w:hAnsi="Times New Roman" w:cs="Times New Roman"/>
                <w:sz w:val="14"/>
                <w:szCs w:val="14"/>
                <w:vertAlign w:val="subscript"/>
              </w:rPr>
              <w:t>e</w:t>
            </w: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0.5%≤R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1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14" w:lineRule="atLeast"/>
              <w:jc w:val="center"/>
              <w:rPr>
                <w:sz w:val="21"/>
                <w:szCs w:val="21"/>
              </w:rPr>
            </w:pPr>
            <w:r>
              <w:rPr>
                <w:rFonts w:ascii="Times New Roman" w:hAnsi="Times New Roman" w:cs="Times New Roman"/>
                <w:sz w:val="21"/>
                <w:szCs w:val="21"/>
              </w:rPr>
              <w:t>1.0%≤R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2.0%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14" w:lineRule="atLeast"/>
              <w:jc w:val="center"/>
              <w:rPr>
                <w:sz w:val="21"/>
                <w:szCs w:val="21"/>
              </w:rPr>
            </w:pPr>
            <w:r>
              <w:rPr>
                <w:rFonts w:ascii="Times New Roman" w:hAnsi="Times New Roman" w:cs="Times New Roman"/>
                <w:sz w:val="21"/>
                <w:szCs w:val="21"/>
              </w:rPr>
              <w:t>4</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114"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2.0%≤R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3.0%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6</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3.0%≤R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4.0%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8</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70"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8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38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8" w:lineRule="atLeast"/>
              <w:jc w:val="center"/>
              <w:rPr>
                <w:sz w:val="21"/>
                <w:szCs w:val="21"/>
              </w:rPr>
            </w:pPr>
            <w:r>
              <w:rPr>
                <w:rFonts w:ascii="Times New Roman" w:hAnsi="Times New Roman" w:cs="Times New Roman"/>
                <w:sz w:val="21"/>
                <w:szCs w:val="21"/>
              </w:rPr>
              <w:t>R</w:t>
            </w:r>
            <w:r>
              <w:rPr>
                <w:rFonts w:ascii="Times New Roman" w:hAnsi="Times New Roman" w:cs="Times New Roman"/>
                <w:sz w:val="14"/>
                <w:szCs w:val="14"/>
                <w:vertAlign w:val="subscript"/>
              </w:rPr>
              <w:t>e</w:t>
            </w:r>
            <w:r>
              <w:rPr>
                <w:rFonts w:ascii="Times New Roman" w:hAnsi="Times New Roman" w:cs="Times New Roman"/>
                <w:sz w:val="21"/>
                <w:szCs w:val="21"/>
              </w:rPr>
              <w:t>≥4.0%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88" w:lineRule="atLeast"/>
              <w:jc w:val="center"/>
              <w:rPr>
                <w:sz w:val="21"/>
                <w:szCs w:val="21"/>
              </w:rPr>
            </w:pPr>
            <w:r>
              <w:rPr>
                <w:rFonts w:ascii="Times New Roman" w:hAnsi="Times New Roman" w:cs="Times New Roman"/>
                <w:sz w:val="21"/>
                <w:szCs w:val="21"/>
              </w:rPr>
              <w:t>10</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88" w:lineRule="atLeast"/>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33" w:hRule="atLeast"/>
          <w:jc w:val="center"/>
        </w:trPr>
        <w:tc>
          <w:tcPr>
            <w:tcW w:w="4894"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836" w:type="dxa"/>
            <w:tcBorders>
              <w:top w:val="nil"/>
              <w:left w:val="nil"/>
              <w:bottom w:val="nil"/>
              <w:right w:val="nil"/>
            </w:tcBorders>
            <w:noWrap w:val="0"/>
            <w:vAlign w:val="center"/>
          </w:tcPr>
          <w:p>
            <w:pPr>
              <w:rPr>
                <w:sz w:val="1"/>
              </w:rPr>
            </w:pPr>
          </w:p>
        </w:tc>
        <w:tc>
          <w:tcPr>
            <w:tcW w:w="1674" w:type="dxa"/>
            <w:tcBorders>
              <w:top w:val="nil"/>
              <w:left w:val="nil"/>
              <w:bottom w:val="nil"/>
              <w:right w:val="nil"/>
            </w:tcBorders>
            <w:noWrap w:val="0"/>
            <w:vAlign w:val="center"/>
          </w:tcPr>
          <w:p>
            <w:pPr>
              <w:rPr>
                <w:sz w:val="1"/>
              </w:rPr>
            </w:pPr>
          </w:p>
        </w:tc>
        <w:tc>
          <w:tcPr>
            <w:tcW w:w="2600"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283" w:type="dxa"/>
            <w:tcBorders>
              <w:top w:val="nil"/>
              <w:left w:val="nil"/>
              <w:bottom w:val="nil"/>
              <w:right w:val="nil"/>
            </w:tcBorders>
            <w:noWrap w:val="0"/>
            <w:vAlign w:val="center"/>
          </w:tcPr>
          <w:p>
            <w:pPr>
              <w:rPr>
                <w:sz w:val="1"/>
              </w:rPr>
            </w:pPr>
          </w:p>
        </w:tc>
      </w:tr>
    </w:tbl>
    <w:p>
      <w:pPr>
        <w:pStyle w:val="11"/>
        <w:spacing w:before="0" w:beforeAutospacing="0" w:after="0" w:afterAutospacing="0" w:line="288" w:lineRule="auto"/>
        <w:jc w:val="both"/>
        <w:rPr>
          <w:sz w:val="21"/>
          <w:szCs w:val="21"/>
        </w:rPr>
      </w:pPr>
      <w:r>
        <w:rPr>
          <w:rFonts w:hint="eastAsia"/>
          <w:sz w:val="21"/>
          <w:szCs w:val="21"/>
        </w:rPr>
        <w:t>可再生能源应用的投资回收期：</w:t>
      </w:r>
      <w:r>
        <w:rPr>
          <w:rFonts w:hint="eastAsia"/>
          <w:sz w:val="21"/>
          <w:szCs w:val="21"/>
          <w:u w:val="single"/>
        </w:rPr>
        <w:t>   5-10      </w:t>
      </w:r>
      <w:r>
        <w:rPr>
          <w:rFonts w:hint="eastAsia"/>
          <w:sz w:val="21"/>
          <w:szCs w:val="21"/>
        </w:rPr>
        <w:t>年</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可再生能源用途：</w:t>
      </w:r>
      <w:r>
        <w:rPr>
          <w:rStyle w:val="25"/>
          <w:rFonts w:hint="eastAsia" w:ascii="MS Mincho" w:hAnsi="MS Mincho" w:eastAsia="MS Mincho" w:cs="MS Mincho"/>
          <w:sz w:val="28"/>
          <w:szCs w:val="28"/>
        </w:rPr>
        <w:t>☑</w:t>
      </w:r>
      <w:r>
        <w:rPr>
          <w:rFonts w:hint="eastAsia"/>
          <w:sz w:val="21"/>
          <w:szCs w:val="21"/>
        </w:rPr>
        <w:t xml:space="preserve">生活热水   </w:t>
      </w:r>
      <w:r>
        <w:rPr>
          <w:rStyle w:val="25"/>
          <w:rFonts w:hint="eastAsia" w:ascii="MS Mincho" w:hAnsi="MS Mincho" w:eastAsia="MS Mincho" w:cs="MS Mincho"/>
          <w:sz w:val="28"/>
          <w:szCs w:val="28"/>
        </w:rPr>
        <w:t>☑</w:t>
      </w:r>
      <w:r>
        <w:rPr>
          <w:rFonts w:hint="eastAsia"/>
          <w:sz w:val="21"/>
          <w:szCs w:val="21"/>
        </w:rPr>
        <w:t xml:space="preserve">供热供冷   </w:t>
      </w:r>
      <w:r>
        <w:rPr>
          <w:rStyle w:val="25"/>
          <w:rFonts w:hint="eastAsia" w:ascii="MS Mincho" w:hAnsi="MS Mincho" w:eastAsia="MS Mincho" w:cs="MS Mincho"/>
          <w:sz w:val="28"/>
          <w:szCs w:val="28"/>
        </w:rPr>
        <w:t>☑</w:t>
      </w:r>
      <w:r>
        <w:rPr>
          <w:rFonts w:hint="eastAsia"/>
          <w:sz w:val="21"/>
          <w:szCs w:val="21"/>
        </w:rPr>
        <w:t xml:space="preserve">供电   </w:t>
      </w:r>
    </w:p>
    <w:p>
      <w:pPr>
        <w:pStyle w:val="11"/>
        <w:spacing w:before="0" w:beforeAutospacing="0" w:after="0" w:afterAutospacing="0"/>
        <w:jc w:val="both"/>
      </w:pPr>
      <w:r>
        <w:rPr>
          <w:rFonts w:hint="eastAsia"/>
          <w:sz w:val="21"/>
          <w:szCs w:val="21"/>
        </w:rPr>
        <w:t>可再生能源应用形式：</w:t>
      </w:r>
      <w:r>
        <w:rPr>
          <w:rStyle w:val="25"/>
          <w:rFonts w:hint="eastAsia" w:ascii="MS Mincho" w:hAnsi="MS Mincho" w:eastAsia="MS Mincho" w:cs="MS Mincho"/>
          <w:sz w:val="28"/>
          <w:szCs w:val="28"/>
        </w:rPr>
        <w:t>☑</w:t>
      </w:r>
      <w:r>
        <w:rPr>
          <w:rFonts w:hint="eastAsia"/>
          <w:sz w:val="21"/>
          <w:szCs w:val="21"/>
        </w:rPr>
        <w:t xml:space="preserve">太阳能光热   </w:t>
      </w:r>
      <w:r>
        <w:rPr>
          <w:rStyle w:val="25"/>
          <w:rFonts w:hint="eastAsia" w:ascii="MS Mincho" w:hAnsi="MS Mincho" w:eastAsia="MS Mincho" w:cs="MS Mincho"/>
          <w:sz w:val="28"/>
          <w:szCs w:val="28"/>
        </w:rPr>
        <w:t>☑</w:t>
      </w:r>
      <w:r>
        <w:rPr>
          <w:rFonts w:hint="eastAsia"/>
          <w:sz w:val="21"/>
          <w:szCs w:val="21"/>
        </w:rPr>
        <w:t xml:space="preserve">太阳能光电   </w:t>
      </w:r>
      <w:r>
        <w:rPr>
          <w:rStyle w:val="25"/>
          <w:rFonts w:hint="eastAsia" w:ascii="MS Mincho" w:hAnsi="MS Mincho" w:eastAsia="MS Mincho" w:cs="MS Mincho"/>
          <w:sz w:val="28"/>
          <w:szCs w:val="28"/>
        </w:rPr>
        <w:t>☐</w:t>
      </w:r>
      <w:r>
        <w:rPr>
          <w:rFonts w:hint="eastAsia"/>
          <w:sz w:val="21"/>
          <w:szCs w:val="21"/>
        </w:rPr>
        <w:t xml:space="preserve">地源热泵   </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w:t>
      </w:r>
    </w:p>
    <w:p>
      <w:pPr>
        <w:pStyle w:val="11"/>
        <w:spacing w:before="0" w:beforeAutospacing="0" w:after="0" w:afterAutospacing="0"/>
        <w:jc w:val="both"/>
      </w:pPr>
      <w:r>
        <w:rPr>
          <w:rFonts w:hint="eastAsia"/>
          <w:sz w:val="21"/>
          <w:szCs w:val="21"/>
        </w:rPr>
        <w:t>请简要说明可再生能源利用条件、应用形式、用途与用量。</w:t>
      </w:r>
    </w:p>
    <w:tbl>
      <w:tblPr>
        <w:tblStyle w:val="13"/>
        <w:tblW w:w="0" w:type="auto"/>
        <w:jc w:val="center"/>
        <w:tblLayout w:type="autofit"/>
        <w:tblCellMar>
          <w:top w:w="0" w:type="dxa"/>
          <w:left w:w="0" w:type="dxa"/>
          <w:bottom w:w="0" w:type="dxa"/>
          <w:right w:w="0" w:type="dxa"/>
        </w:tblCellMar>
      </w:tblPr>
      <w:tblGrid>
        <w:gridCol w:w="7972"/>
      </w:tblGrid>
      <w:tr>
        <w:tblPrEx>
          <w:tblCellMar>
            <w:top w:w="0" w:type="dxa"/>
            <w:left w:w="0" w:type="dxa"/>
            <w:bottom w:w="0" w:type="dxa"/>
            <w:right w:w="0" w:type="dxa"/>
          </w:tblCellMar>
        </w:tblPrEx>
        <w:trPr>
          <w:trHeight w:val="2634" w:hRule="atLeast"/>
          <w:jc w:val="center"/>
        </w:trPr>
        <w:tc>
          <w:tcPr>
            <w:tcW w:w="7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生活热水来自太阳能系统；特殊情况考虑电辅助加热。</w:t>
            </w:r>
          </w:p>
          <w:p>
            <w:pPr>
              <w:pStyle w:val="11"/>
              <w:spacing w:before="0" w:beforeAutospacing="0" w:after="0" w:afterAutospacing="0"/>
              <w:ind w:firstLine="400"/>
            </w:pPr>
            <w:r>
              <w:rPr>
                <w:rFonts w:hint="eastAsia"/>
                <w:sz w:val="20"/>
                <w:szCs w:val="20"/>
              </w:rPr>
              <w:t xml:space="preserve">屋面太阳能发电占用量的 </w:t>
            </w:r>
            <w:r>
              <w:rPr>
                <w:rFonts w:ascii="Times New Roman" w:hAnsi="Times New Roman" w:cs="Times New Roman"/>
                <w:sz w:val="20"/>
                <w:szCs w:val="20"/>
              </w:rPr>
              <w:t xml:space="preserve">1% </w:t>
            </w:r>
            <w:r>
              <w:rPr>
                <w:rFonts w:hint="eastAsia"/>
                <w:sz w:val="20"/>
                <w:szCs w:val="20"/>
              </w:rPr>
              <w:t>左右，体育馆有使用太阳能热水系统。</w:t>
            </w:r>
          </w:p>
          <w:p>
            <w:pPr>
              <w:pStyle w:val="11"/>
              <w:spacing w:before="0" w:beforeAutospacing="0" w:after="0" w:afterAutospacing="0"/>
              <w:ind w:firstLine="400"/>
            </w:pPr>
            <w:r>
              <w:rPr>
                <w:rFonts w:hint="eastAsia"/>
                <w:sz w:val="20"/>
                <w:szCs w:val="20"/>
              </w:rPr>
              <w:t>项目地平均日照小时数为</w:t>
            </w:r>
            <w:r>
              <w:rPr>
                <w:rFonts w:ascii="Times New Roman" w:hAnsi="Times New Roman" w:cs="Times New Roman"/>
                <w:sz w:val="20"/>
                <w:szCs w:val="20"/>
              </w:rPr>
              <w:t>7.5h</w:t>
            </w:r>
            <w:r>
              <w:rPr>
                <w:rFonts w:hint="eastAsia"/>
                <w:sz w:val="20"/>
                <w:szCs w:val="20"/>
              </w:rPr>
              <w:t>，水平面年总辐照量为</w:t>
            </w:r>
            <w:r>
              <w:rPr>
                <w:rFonts w:ascii="Times New Roman" w:hAnsi="Times New Roman" w:cs="Times New Roman"/>
                <w:sz w:val="20"/>
                <w:szCs w:val="20"/>
              </w:rPr>
              <w:t>5978.7 MJ/(m2</w:t>
            </w:r>
            <w:r>
              <w:rPr>
                <w:rFonts w:hint="eastAsia"/>
                <w:sz w:val="20"/>
                <w:szCs w:val="20"/>
              </w:rPr>
              <w:t>·</w:t>
            </w:r>
            <w:r>
              <w:rPr>
                <w:rFonts w:ascii="Times New Roman" w:hAnsi="Times New Roman" w:cs="Times New Roman"/>
                <w:sz w:val="20"/>
                <w:szCs w:val="20"/>
              </w:rPr>
              <w:t>a)</w:t>
            </w:r>
            <w:r>
              <w:rPr>
                <w:rFonts w:hint="eastAsia"/>
                <w:sz w:val="20"/>
                <w:szCs w:val="20"/>
              </w:rPr>
              <w:t>，水平面年平均日辐照量为</w:t>
            </w:r>
            <w:r>
              <w:rPr>
                <w:rFonts w:ascii="Times New Roman" w:hAnsi="Times New Roman" w:cs="Times New Roman"/>
                <w:sz w:val="20"/>
                <w:szCs w:val="20"/>
              </w:rPr>
              <w:t>16.38 MJ/(m2</w:t>
            </w:r>
            <w:r>
              <w:rPr>
                <w:rFonts w:hint="eastAsia"/>
                <w:sz w:val="20"/>
                <w:szCs w:val="20"/>
              </w:rPr>
              <w:t>·</w:t>
            </w:r>
            <w:r>
              <w:rPr>
                <w:rFonts w:ascii="Times New Roman" w:hAnsi="Times New Roman" w:cs="Times New Roman"/>
                <w:sz w:val="20"/>
                <w:szCs w:val="20"/>
              </w:rPr>
              <w:t>a)</w:t>
            </w:r>
            <w:r>
              <w:rPr>
                <w:rFonts w:hint="eastAsia"/>
                <w:sz w:val="20"/>
                <w:szCs w:val="20"/>
              </w:rPr>
              <w:t>；当地纬度倾角平面年总辐照量为</w:t>
            </w:r>
            <w:r>
              <w:rPr>
                <w:rFonts w:ascii="Times New Roman" w:hAnsi="Times New Roman" w:cs="Times New Roman"/>
                <w:sz w:val="20"/>
                <w:szCs w:val="20"/>
              </w:rPr>
              <w:t>7613.1 MJ/(m2</w:t>
            </w:r>
            <w:r>
              <w:rPr>
                <w:rFonts w:hint="eastAsia"/>
                <w:sz w:val="20"/>
                <w:szCs w:val="20"/>
              </w:rPr>
              <w:t>·</w:t>
            </w:r>
            <w:r>
              <w:rPr>
                <w:rFonts w:ascii="Times New Roman" w:hAnsi="Times New Roman" w:cs="Times New Roman"/>
                <w:sz w:val="20"/>
                <w:szCs w:val="20"/>
              </w:rPr>
              <w:t>a)</w:t>
            </w:r>
            <w:r>
              <w:rPr>
                <w:rFonts w:hint="eastAsia"/>
                <w:sz w:val="20"/>
                <w:szCs w:val="20"/>
              </w:rPr>
              <w:t>，当地纬度倾角平面日辐照量为</w:t>
            </w:r>
            <w:r>
              <w:rPr>
                <w:rFonts w:ascii="Times New Roman" w:hAnsi="Times New Roman" w:cs="Times New Roman"/>
                <w:sz w:val="20"/>
                <w:szCs w:val="20"/>
              </w:rPr>
              <w:t>19.62 MJ/(m2</w:t>
            </w:r>
            <w:r>
              <w:rPr>
                <w:rFonts w:hint="eastAsia"/>
                <w:sz w:val="20"/>
                <w:szCs w:val="20"/>
              </w:rPr>
              <w:t>·</w:t>
            </w:r>
            <w:r>
              <w:rPr>
                <w:rFonts w:ascii="Times New Roman" w:hAnsi="Times New Roman" w:cs="Times New Roman"/>
                <w:sz w:val="20"/>
                <w:szCs w:val="20"/>
              </w:rPr>
              <w:t>a)</w:t>
            </w:r>
            <w:r>
              <w:rPr>
                <w:rFonts w:hint="eastAsia"/>
                <w:sz w:val="20"/>
                <w:szCs w:val="20"/>
              </w:rPr>
              <w:t>。</w:t>
            </w:r>
          </w:p>
          <w:p>
            <w:pPr>
              <w:pStyle w:val="11"/>
              <w:spacing w:before="0" w:beforeAutospacing="0" w:after="0" w:afterAutospacing="0"/>
              <w:ind w:firstLine="400"/>
            </w:pPr>
            <w:r>
              <w:rPr>
                <w:rFonts w:hint="eastAsia"/>
                <w:sz w:val="20"/>
                <w:szCs w:val="20"/>
              </w:rPr>
              <w:t>项目利用太能提供部分生活热水，占总生活热水用量的</w:t>
            </w:r>
            <w:r>
              <w:rPr>
                <w:rFonts w:ascii="Times New Roman" w:hAnsi="Times New Roman" w:cs="Times New Roman"/>
                <w:sz w:val="20"/>
                <w:szCs w:val="20"/>
              </w:rPr>
              <w:t>52.5</w:t>
            </w:r>
            <w:r>
              <w:rPr>
                <w:rFonts w:hint="eastAsia"/>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）可再生能源利用专项竣工文件及竣工验收记录；</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）可再生能源产品说明书及性能检测报告；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）可再生能源应用分析报告，应包含用量、经济性、运行维护情况等内容；</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）与可再生能源利用相关的暖通、给排水专业竣工图及设计说明。</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给排水专业图纸及设计说明：6给排水设计/ 建筑施工图.dwg</w:t>
            </w:r>
            <w:r>
              <w:rPr>
                <w:rFonts w:ascii="Times New Roman" w:hAnsi="Times New Roman" w:cs="Times New Roman"/>
                <w:sz w:val="20"/>
                <w:szCs w:val="20"/>
              </w:rPr>
              <w:br w:type="textWrapping"/>
            </w:r>
            <w:r>
              <w:rPr>
                <w:rStyle w:val="26"/>
                <w:rFonts w:ascii="Times New Roman" w:hAnsi="Times New Roman" w:cs="Times New Roman"/>
                <w:sz w:val="20"/>
                <w:szCs w:val="20"/>
              </w:rPr>
              <w:t>暖通专业图纸及设计说明：5暖通设计/ 暖通设计说明.docx</w:t>
            </w:r>
            <w:r>
              <w:rPr>
                <w:rFonts w:ascii="Times New Roman" w:hAnsi="Times New Roman" w:cs="Times New Roman"/>
                <w:sz w:val="20"/>
                <w:szCs w:val="20"/>
              </w:rPr>
              <w:br w:type="textWrapping"/>
            </w:r>
            <w:r>
              <w:rPr>
                <w:rStyle w:val="26"/>
                <w:rFonts w:ascii="Times New Roman" w:hAnsi="Times New Roman" w:cs="Times New Roman"/>
                <w:sz w:val="20"/>
                <w:szCs w:val="20"/>
              </w:rPr>
              <w:t>电气专业图纸及设计说明：8电气设计/ 电气设计说明.docx</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7.2.10 使用较高用水效率等级的卫生器具。（15分）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7978" w:type="dxa"/>
        <w:jc w:val="center"/>
        <w:tblLayout w:type="autofit"/>
        <w:tblCellMar>
          <w:top w:w="0" w:type="dxa"/>
          <w:left w:w="0" w:type="dxa"/>
          <w:bottom w:w="0" w:type="dxa"/>
          <w:right w:w="0" w:type="dxa"/>
        </w:tblCellMar>
      </w:tblPr>
      <w:tblGrid>
        <w:gridCol w:w="723"/>
        <w:gridCol w:w="4402"/>
        <w:gridCol w:w="1562"/>
        <w:gridCol w:w="1291"/>
      </w:tblGrid>
      <w:tr>
        <w:tblPrEx>
          <w:tblCellMar>
            <w:top w:w="0" w:type="dxa"/>
            <w:left w:w="0" w:type="dxa"/>
            <w:bottom w:w="0" w:type="dxa"/>
            <w:right w:w="0" w:type="dxa"/>
          </w:tblCellMar>
        </w:tblPrEx>
        <w:trPr>
          <w:jc w:val="center"/>
        </w:trPr>
        <w:tc>
          <w:tcPr>
            <w:tcW w:w="5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0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5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全部卫生器具的用水效率等级达到</w:t>
            </w:r>
            <w:r>
              <w:rPr>
                <w:rFonts w:ascii="Times New Roman" w:hAnsi="Times New Roman" w:cs="Times New Roman"/>
                <w:sz w:val="21"/>
                <w:szCs w:val="21"/>
              </w:rPr>
              <w:t>2</w:t>
            </w:r>
            <w:r>
              <w:rPr>
                <w:rFonts w:hint="eastAsia"/>
                <w:sz w:val="21"/>
                <w:szCs w:val="21"/>
              </w:rPr>
              <w:t>级</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0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rFonts w:hint="eastAsia" w:eastAsia="宋体"/>
                <w:sz w:val="21"/>
                <w:szCs w:val="21"/>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8</w:t>
            </w:r>
          </w:p>
        </w:tc>
      </w:tr>
      <w:tr>
        <w:tblPrEx>
          <w:tblCellMar>
            <w:top w:w="0" w:type="dxa"/>
            <w:left w:w="0" w:type="dxa"/>
            <w:bottom w:w="0" w:type="dxa"/>
            <w:right w:w="0" w:type="dxa"/>
          </w:tblCellMar>
        </w:tblPrEx>
        <w:trPr>
          <w:jc w:val="center"/>
        </w:trPr>
        <w:tc>
          <w:tcPr>
            <w:tcW w:w="5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ascii="Times New Roman" w:hAnsi="Times New Roman" w:cs="Times New Roman"/>
                <w:sz w:val="21"/>
                <w:szCs w:val="21"/>
              </w:rPr>
              <w:t>50%</w:t>
            </w:r>
            <w:r>
              <w:rPr>
                <w:rFonts w:hint="eastAsia"/>
                <w:sz w:val="21"/>
                <w:szCs w:val="21"/>
              </w:rPr>
              <w:t>以上卫生器具的用水效率等级达到</w:t>
            </w:r>
            <w:r>
              <w:rPr>
                <w:rFonts w:ascii="Times New Roman" w:hAnsi="Times New Roman" w:cs="Times New Roman"/>
                <w:sz w:val="21"/>
                <w:szCs w:val="21"/>
              </w:rPr>
              <w:t>1</w:t>
            </w:r>
            <w:r>
              <w:rPr>
                <w:rFonts w:hint="eastAsia"/>
                <w:sz w:val="21"/>
                <w:szCs w:val="21"/>
              </w:rPr>
              <w:t>级且其他达到</w:t>
            </w:r>
            <w:r>
              <w:rPr>
                <w:rFonts w:ascii="Times New Roman" w:hAnsi="Times New Roman" w:cs="Times New Roman"/>
                <w:sz w:val="21"/>
                <w:szCs w:val="21"/>
              </w:rPr>
              <w:t>2</w:t>
            </w:r>
            <w:r>
              <w:rPr>
                <w:rFonts w:hint="eastAsia"/>
                <w:sz w:val="21"/>
                <w:szCs w:val="21"/>
              </w:rPr>
              <w:t>级</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12</w:t>
            </w:r>
          </w:p>
        </w:tc>
        <w:tc>
          <w:tcPr>
            <w:tcW w:w="10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5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全部卫生器具的用水效率等级达到</w:t>
            </w:r>
            <w:r>
              <w:rPr>
                <w:rFonts w:ascii="Times New Roman" w:hAnsi="Times New Roman" w:cs="Times New Roman"/>
                <w:sz w:val="21"/>
                <w:szCs w:val="21"/>
              </w:rPr>
              <w:t>1</w:t>
            </w:r>
            <w:r>
              <w:rPr>
                <w:rFonts w:hint="eastAsia"/>
                <w:sz w:val="21"/>
                <w:szCs w:val="21"/>
              </w:rPr>
              <w:t>级</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0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jc w:val="center"/>
        </w:trPr>
        <w:tc>
          <w:tcPr>
            <w:tcW w:w="4900"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0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eastAsia="zh-CN"/>
              </w:rPr>
            </w:pPr>
            <w:r>
              <w:rPr>
                <w:rFonts w:hint="eastAsia" w:ascii="Times New Roman" w:hAnsi="Times New Roman" w:eastAsia="宋体" w:cs="Times New Roman"/>
                <w:sz w:val="21"/>
                <w:szCs w:val="21"/>
                <w:lang w:val="en-US" w:eastAsia="zh-CN"/>
              </w:rPr>
              <w:t>8</w:t>
            </w:r>
          </w:p>
        </w:tc>
      </w:tr>
      <w:tr>
        <w:tblPrEx>
          <w:tblCellMar>
            <w:top w:w="0" w:type="dxa"/>
            <w:left w:w="0" w:type="dxa"/>
            <w:bottom w:w="0" w:type="dxa"/>
            <w:right w:w="0" w:type="dxa"/>
          </w:tblCellMar>
        </w:tblPrEx>
        <w:trPr>
          <w:jc w:val="center"/>
        </w:trPr>
        <w:tc>
          <w:tcPr>
            <w:tcW w:w="722" w:type="dxa"/>
            <w:tcBorders>
              <w:top w:val="nil"/>
              <w:left w:val="nil"/>
              <w:bottom w:val="nil"/>
              <w:right w:val="nil"/>
            </w:tcBorders>
            <w:noWrap w:val="0"/>
            <w:vAlign w:val="center"/>
          </w:tcPr>
          <w:p>
            <w:pPr>
              <w:rPr>
                <w:sz w:val="1"/>
              </w:rPr>
            </w:pPr>
          </w:p>
        </w:tc>
        <w:tc>
          <w:tcPr>
            <w:tcW w:w="4394"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288"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rPr>
          <w:sz w:val="21"/>
          <w:szCs w:val="21"/>
        </w:rPr>
      </w:pPr>
      <w:r>
        <w:rPr>
          <w:rFonts w:hint="eastAsia"/>
          <w:sz w:val="21"/>
          <w:szCs w:val="21"/>
        </w:rPr>
        <w:t>节水器具清单</w:t>
      </w:r>
    </w:p>
    <w:tbl>
      <w:tblPr>
        <w:tblStyle w:val="13"/>
        <w:tblW w:w="8002" w:type="dxa"/>
        <w:jc w:val="center"/>
        <w:tblLayout w:type="autofit"/>
        <w:tblCellMar>
          <w:top w:w="0" w:type="dxa"/>
          <w:left w:w="0" w:type="dxa"/>
          <w:bottom w:w="0" w:type="dxa"/>
          <w:right w:w="0" w:type="dxa"/>
        </w:tblCellMar>
      </w:tblPr>
      <w:tblGrid>
        <w:gridCol w:w="2110"/>
        <w:gridCol w:w="3010"/>
        <w:gridCol w:w="2882"/>
      </w:tblGrid>
      <w:tr>
        <w:tblPrEx>
          <w:tblCellMar>
            <w:top w:w="0" w:type="dxa"/>
            <w:left w:w="0" w:type="dxa"/>
            <w:bottom w:w="0" w:type="dxa"/>
            <w:right w:w="0" w:type="dxa"/>
          </w:tblCellMar>
        </w:tblPrEx>
        <w:trPr>
          <w:jc w:val="center"/>
        </w:trPr>
        <w:tc>
          <w:tcPr>
            <w:tcW w:w="19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节水器具</w:t>
            </w:r>
          </w:p>
        </w:tc>
        <w:tc>
          <w:tcPr>
            <w:tcW w:w="27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节水器具参数</w:t>
            </w:r>
          </w:p>
        </w:tc>
        <w:tc>
          <w:tcPr>
            <w:tcW w:w="26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用水效率等级</w:t>
            </w:r>
          </w:p>
        </w:tc>
      </w:tr>
      <w:tr>
        <w:tblPrEx>
          <w:tblCellMar>
            <w:top w:w="0" w:type="dxa"/>
            <w:left w:w="0" w:type="dxa"/>
            <w:bottom w:w="0" w:type="dxa"/>
            <w:right w:w="0" w:type="dxa"/>
          </w:tblCellMar>
        </w:tblPrEx>
        <w:trPr>
          <w:jc w:val="center"/>
        </w:trPr>
        <w:tc>
          <w:tcPr>
            <w:tcW w:w="19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水嘴​</w:t>
            </w:r>
          </w:p>
        </w:tc>
        <w:tc>
          <w:tcPr>
            <w:tcW w:w="27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0.100L/s​</w:t>
            </w:r>
          </w:p>
        </w:tc>
        <w:tc>
          <w:tcPr>
            <w:tcW w:w="26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一级</w:t>
            </w:r>
          </w:p>
        </w:tc>
      </w:tr>
      <w:tr>
        <w:tblPrEx>
          <w:tblCellMar>
            <w:top w:w="0" w:type="dxa"/>
            <w:left w:w="0" w:type="dxa"/>
            <w:bottom w:w="0" w:type="dxa"/>
            <w:right w:w="0" w:type="dxa"/>
          </w:tblCellMar>
        </w:tblPrEx>
        <w:trPr>
          <w:jc w:val="center"/>
        </w:trPr>
        <w:tc>
          <w:tcPr>
            <w:tcW w:w="19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坐便器 </w:t>
            </w:r>
          </w:p>
        </w:tc>
        <w:tc>
          <w:tcPr>
            <w:tcW w:w="27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≤4.0​</w:t>
            </w:r>
          </w:p>
        </w:tc>
        <w:tc>
          <w:tcPr>
            <w:tcW w:w="26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一级</w:t>
            </w:r>
          </w:p>
        </w:tc>
      </w:tr>
      <w:tr>
        <w:tblPrEx>
          <w:tblCellMar>
            <w:top w:w="0" w:type="dxa"/>
            <w:left w:w="0" w:type="dxa"/>
            <w:bottom w:w="0" w:type="dxa"/>
            <w:right w:w="0" w:type="dxa"/>
          </w:tblCellMar>
        </w:tblPrEx>
        <w:trPr>
          <w:jc w:val="center"/>
        </w:trPr>
        <w:tc>
          <w:tcPr>
            <w:tcW w:w="19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小便器</w:t>
            </w:r>
          </w:p>
        </w:tc>
        <w:tc>
          <w:tcPr>
            <w:tcW w:w="27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2.0</w:t>
            </w:r>
          </w:p>
        </w:tc>
        <w:tc>
          <w:tcPr>
            <w:tcW w:w="26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一级</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）给排水专业竣工图及设计说明，应包含节水器具选用说明；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）卫生器具相关产品说明、产品节水性能检测报告等。</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给排水专业图纸及设计说明：6给排水设计/ 建筑施工图.dwg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7.2.11 绿化灌溉及空调冷却水系统采用节水设备或技术。（12分）</w:t>
      </w:r>
    </w:p>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tbl>
      <w:tblPr>
        <w:tblStyle w:val="13"/>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9"/>
        <w:gridCol w:w="3461"/>
        <w:gridCol w:w="1559"/>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szCs w:val="21"/>
              </w:rPr>
              <w:t>序号</w:t>
            </w:r>
          </w:p>
        </w:tc>
        <w:tc>
          <w:tcPr>
            <w:tcW w:w="4410" w:type="dxa"/>
            <w:gridSpan w:val="2"/>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szCs w:val="21"/>
              </w:rPr>
              <w:t>评价内容</w:t>
            </w:r>
          </w:p>
        </w:tc>
        <w:tc>
          <w:tcPr>
            <w:tcW w:w="155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szCs w:val="21"/>
              </w:rPr>
              <w:t>评价分值</w:t>
            </w:r>
          </w:p>
        </w:tc>
        <w:tc>
          <w:tcPr>
            <w:tcW w:w="1291"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pPr>
              <w:spacing w:line="288" w:lineRule="auto"/>
              <w:jc w:val="center"/>
              <w:rPr>
                <w:rFonts w:ascii="Times New Roman" w:hAnsi="Times New Roman" w:cs="Times New Roman"/>
                <w:szCs w:val="21"/>
              </w:rPr>
            </w:pPr>
            <w:r>
              <w:rPr>
                <w:rFonts w:ascii="Times New Roman" w:hAnsi="Times New Roman" w:cs="Times New Roman"/>
                <w:szCs w:val="21"/>
              </w:rPr>
              <w:t>1</w:t>
            </w:r>
          </w:p>
        </w:tc>
        <w:tc>
          <w:tcPr>
            <w:tcW w:w="949" w:type="dxa"/>
            <w:vMerge w:val="restart"/>
            <w:noWrap w:val="0"/>
            <w:vAlign w:val="center"/>
          </w:tcPr>
          <w:p>
            <w:pPr>
              <w:spacing w:line="288" w:lineRule="auto"/>
              <w:rPr>
                <w:rFonts w:ascii="Times New Roman" w:hAnsi="Times New Roman" w:cs="Times New Roman"/>
                <w:bCs/>
                <w:lang w:val="zh-CN"/>
              </w:rPr>
            </w:pPr>
            <w:r>
              <w:rPr>
                <w:rFonts w:ascii="Times New Roman" w:hAnsi="Times New Roman" w:cs="Times New Roman"/>
                <w:szCs w:val="21"/>
              </w:rPr>
              <w:t>绿化灌溉采用节水设备或技术</w:t>
            </w:r>
          </w:p>
        </w:tc>
        <w:tc>
          <w:tcPr>
            <w:tcW w:w="3461" w:type="dxa"/>
            <w:noWrap w:val="0"/>
            <w:vAlign w:val="center"/>
          </w:tcPr>
          <w:p>
            <w:pPr>
              <w:spacing w:line="288" w:lineRule="auto"/>
              <w:rPr>
                <w:rFonts w:ascii="Times New Roman" w:hAnsi="Times New Roman" w:cs="Times New Roman"/>
                <w:bCs/>
                <w:lang w:val="zh-CN"/>
              </w:rPr>
            </w:pPr>
            <w:r>
              <w:rPr>
                <w:rFonts w:ascii="Times New Roman" w:hAnsi="Times New Roman" w:cs="Times New Roman"/>
                <w:bCs/>
                <w:lang w:val="zh-CN"/>
              </w:rPr>
              <w:t>采用节水灌溉系统</w:t>
            </w:r>
          </w:p>
        </w:tc>
        <w:tc>
          <w:tcPr>
            <w:tcW w:w="155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4</w:t>
            </w:r>
          </w:p>
        </w:tc>
        <w:tc>
          <w:tcPr>
            <w:tcW w:w="1291" w:type="dxa"/>
            <w:vMerge w:val="restart"/>
            <w:noWrap w:val="0"/>
            <w:vAlign w:val="center"/>
          </w:tcPr>
          <w:p>
            <w:pPr>
              <w:spacing w:line="288" w:lineRule="auto"/>
              <w:jc w:val="center"/>
              <w:rPr>
                <w:rFonts w:ascii="Times New Roman" w:hAnsi="Times New Roman" w:cs="Times New Roman"/>
                <w:b/>
                <w:bCs/>
                <w:lang w:val="zh-CN"/>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pPr>
              <w:spacing w:line="288" w:lineRule="auto"/>
              <w:jc w:val="center"/>
              <w:rPr>
                <w:rFonts w:ascii="Times New Roman" w:hAnsi="Times New Roman" w:cs="Times New Roman"/>
                <w:bCs/>
                <w:lang w:val="zh-CN"/>
              </w:rPr>
            </w:pPr>
          </w:p>
        </w:tc>
        <w:tc>
          <w:tcPr>
            <w:tcW w:w="949" w:type="dxa"/>
            <w:vMerge w:val="continue"/>
            <w:noWrap w:val="0"/>
            <w:vAlign w:val="center"/>
          </w:tcPr>
          <w:p>
            <w:pPr>
              <w:spacing w:line="288" w:lineRule="auto"/>
              <w:rPr>
                <w:rFonts w:ascii="Times New Roman" w:hAnsi="Times New Roman" w:cs="Times New Roman"/>
                <w:bCs/>
                <w:lang w:val="zh-CN"/>
              </w:rPr>
            </w:pPr>
          </w:p>
        </w:tc>
        <w:tc>
          <w:tcPr>
            <w:tcW w:w="3461" w:type="dxa"/>
            <w:noWrap w:val="0"/>
            <w:vAlign w:val="center"/>
          </w:tcPr>
          <w:p>
            <w:pPr>
              <w:spacing w:line="288" w:lineRule="auto"/>
              <w:rPr>
                <w:rFonts w:ascii="Times New Roman" w:hAnsi="Times New Roman" w:cs="Times New Roman"/>
                <w:bCs/>
                <w:lang w:val="zh-CN"/>
              </w:rPr>
            </w:pPr>
            <w:r>
              <w:rPr>
                <w:rFonts w:ascii="Times New Roman" w:hAnsi="Times New Roman" w:cs="Times New Roman"/>
                <w:bCs/>
                <w:lang w:val="zh-CN"/>
              </w:rPr>
              <w:t>在采用节水灌溉系统的基础上，设置土壤湿度感应器、雨天关闭装置等节水控制措施，种植无需永久灌溉植物</w:t>
            </w:r>
          </w:p>
        </w:tc>
        <w:tc>
          <w:tcPr>
            <w:tcW w:w="155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6</w:t>
            </w:r>
          </w:p>
        </w:tc>
        <w:tc>
          <w:tcPr>
            <w:tcW w:w="1291" w:type="dxa"/>
            <w:vMerge w:val="continue"/>
            <w:noWrap w:val="0"/>
            <w:vAlign w:val="center"/>
          </w:tcPr>
          <w:p>
            <w:pPr>
              <w:spacing w:line="288" w:lineRule="auto"/>
              <w:jc w:val="center"/>
              <w:rPr>
                <w:rFonts w:ascii="Times New Roman" w:hAnsi="Times New Roman" w:cs="Times New Roman"/>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pPr>
              <w:spacing w:line="288" w:lineRule="auto"/>
              <w:jc w:val="center"/>
              <w:rPr>
                <w:rFonts w:ascii="Times New Roman" w:hAnsi="Times New Roman" w:cs="Times New Roman"/>
                <w:szCs w:val="21"/>
              </w:rPr>
            </w:pPr>
            <w:r>
              <w:rPr>
                <w:rFonts w:ascii="Times New Roman" w:hAnsi="Times New Roman" w:cs="Times New Roman"/>
                <w:szCs w:val="21"/>
              </w:rPr>
              <w:t>2</w:t>
            </w:r>
          </w:p>
        </w:tc>
        <w:tc>
          <w:tcPr>
            <w:tcW w:w="949" w:type="dxa"/>
            <w:vMerge w:val="restart"/>
            <w:noWrap w:val="0"/>
            <w:vAlign w:val="center"/>
          </w:tcPr>
          <w:p>
            <w:pPr>
              <w:spacing w:line="288" w:lineRule="auto"/>
              <w:rPr>
                <w:rFonts w:ascii="Times New Roman" w:hAnsi="Times New Roman" w:cs="Times New Roman"/>
                <w:bCs/>
                <w:lang w:val="zh-CN"/>
              </w:rPr>
            </w:pPr>
            <w:r>
              <w:rPr>
                <w:rFonts w:ascii="Times New Roman" w:hAnsi="Times New Roman" w:cs="Times New Roman"/>
                <w:szCs w:val="21"/>
              </w:rPr>
              <w:t>空调冷却水系统采用节水设备或技术</w:t>
            </w:r>
          </w:p>
        </w:tc>
        <w:tc>
          <w:tcPr>
            <w:tcW w:w="3461" w:type="dxa"/>
            <w:noWrap w:val="0"/>
            <w:vAlign w:val="center"/>
          </w:tcPr>
          <w:p>
            <w:pPr>
              <w:spacing w:line="288" w:lineRule="auto"/>
              <w:rPr>
                <w:rFonts w:ascii="Times New Roman" w:hAnsi="Times New Roman" w:cs="Times New Roman"/>
                <w:bCs/>
                <w:lang w:val="zh-CN"/>
              </w:rPr>
            </w:pPr>
            <w:bookmarkStart w:id="100" w:name="OLE_LINK195"/>
            <w:bookmarkStart w:id="101" w:name="OLE_LINK196"/>
            <w:r>
              <w:rPr>
                <w:rFonts w:ascii="Times New Roman" w:hAnsi="Times New Roman" w:cs="Times New Roman"/>
                <w:bCs/>
                <w:lang w:val="zh-CN"/>
              </w:rPr>
              <w:t>循环冷却水系统采取设置水处理措施、加大集水盘、设置平衡管或平衡水箱等方式，避免冷却水泵停泵时冷却水溢出</w:t>
            </w:r>
            <w:bookmarkEnd w:id="100"/>
            <w:bookmarkEnd w:id="101"/>
          </w:p>
        </w:tc>
        <w:tc>
          <w:tcPr>
            <w:tcW w:w="155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tc>
          <w:tcPr>
            <w:tcW w:w="1291" w:type="dxa"/>
            <w:vMerge w:val="restart"/>
            <w:noWrap w:val="0"/>
            <w:vAlign w:val="center"/>
          </w:tcPr>
          <w:p>
            <w:pPr>
              <w:spacing w:line="288" w:lineRule="auto"/>
              <w:jc w:val="center"/>
              <w:rPr>
                <w:rFonts w:ascii="Times New Roman" w:hAnsi="Times New Roman" w:cs="Times New Roman"/>
                <w:b/>
                <w:bCs/>
                <w:lang w:val="zh-CN"/>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pPr>
              <w:spacing w:line="288" w:lineRule="auto"/>
              <w:jc w:val="center"/>
              <w:rPr>
                <w:rFonts w:ascii="Times New Roman" w:hAnsi="Times New Roman" w:cs="Times New Roman"/>
                <w:bCs/>
                <w:lang w:val="zh-CN"/>
              </w:rPr>
            </w:pPr>
          </w:p>
        </w:tc>
        <w:tc>
          <w:tcPr>
            <w:tcW w:w="949" w:type="dxa"/>
            <w:vMerge w:val="continue"/>
            <w:noWrap w:val="0"/>
            <w:vAlign w:val="center"/>
          </w:tcPr>
          <w:p>
            <w:pPr>
              <w:spacing w:line="288" w:lineRule="auto"/>
              <w:jc w:val="center"/>
              <w:rPr>
                <w:rFonts w:ascii="Times New Roman" w:hAnsi="Times New Roman" w:cs="Times New Roman"/>
                <w:bCs/>
                <w:lang w:val="zh-CN"/>
              </w:rPr>
            </w:pPr>
          </w:p>
        </w:tc>
        <w:tc>
          <w:tcPr>
            <w:tcW w:w="3461" w:type="dxa"/>
            <w:noWrap w:val="0"/>
            <w:vAlign w:val="center"/>
          </w:tcPr>
          <w:p>
            <w:pPr>
              <w:spacing w:line="288" w:lineRule="auto"/>
              <w:rPr>
                <w:rFonts w:ascii="Times New Roman" w:hAnsi="Times New Roman" w:cs="Times New Roman"/>
                <w:bCs/>
                <w:lang w:val="zh-CN"/>
              </w:rPr>
            </w:pPr>
            <w:r>
              <w:rPr>
                <w:rFonts w:ascii="Times New Roman" w:hAnsi="Times New Roman" w:cs="Times New Roman"/>
                <w:bCs/>
                <w:lang w:val="zh-CN"/>
              </w:rPr>
              <w:t>采用无蒸发耗水量的冷却技术</w:t>
            </w:r>
          </w:p>
        </w:tc>
        <w:tc>
          <w:tcPr>
            <w:tcW w:w="155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6</w:t>
            </w:r>
          </w:p>
        </w:tc>
        <w:tc>
          <w:tcPr>
            <w:tcW w:w="1291" w:type="dxa"/>
            <w:vMerge w:val="continue"/>
            <w:noWrap w:val="0"/>
            <w:vAlign w:val="center"/>
          </w:tcPr>
          <w:p>
            <w:pPr>
              <w:spacing w:line="288" w:lineRule="auto"/>
              <w:jc w:val="center"/>
              <w:rPr>
                <w:rFonts w:ascii="Times New Roman" w:hAnsi="Times New Roman" w:cs="Times New Roman"/>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9" w:type="dxa"/>
            <w:gridSpan w:val="3"/>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noWrap w:val="0"/>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12</w:t>
            </w:r>
          </w:p>
        </w:tc>
        <w:tc>
          <w:tcPr>
            <w:tcW w:w="1291" w:type="dxa"/>
            <w:noWrap w:val="0"/>
            <w:vAlign w:val="center"/>
          </w:tcPr>
          <w:p>
            <w:pPr>
              <w:spacing w:line="288" w:lineRule="auto"/>
              <w:jc w:val="center"/>
              <w:rPr>
                <w:rFonts w:ascii="Times New Roman" w:hAnsi="Times New Roman" w:cs="Times New Roman"/>
                <w:b/>
                <w:bCs/>
                <w:lang w:val="zh-CN"/>
              </w:rPr>
            </w:pPr>
            <w:r>
              <w:rPr>
                <w:rFonts w:hint="eastAsia" w:ascii="Times New Roman" w:hAnsi="Times New Roman" w:cs="Times New Roman"/>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2 评价要点</w:t>
      </w:r>
    </w:p>
    <w:p>
      <w:pPr>
        <w:spacing w:line="288" w:lineRule="auto"/>
        <w:rPr>
          <w:rFonts w:ascii="Times New Roman" w:hAnsi="Times New Roman" w:cs="Times New Roman"/>
          <w:szCs w:val="21"/>
          <w:lang w:val="zh-CN"/>
        </w:rPr>
      </w:pPr>
      <w:r>
        <w:rPr>
          <w:rFonts w:ascii="Times New Roman" w:hAnsi="Times New Roman" w:cs="Times New Roman"/>
          <w:szCs w:val="21"/>
          <w:lang w:val="zh-CN"/>
        </w:rPr>
        <w:t>1）绿化灌溉</w:t>
      </w:r>
    </w:p>
    <w:p>
      <w:pPr>
        <w:spacing w:line="288" w:lineRule="auto"/>
        <w:rPr>
          <w:rFonts w:ascii="Times New Roman" w:hAnsi="Times New Roman" w:cs="Times New Roman"/>
          <w:szCs w:val="21"/>
          <w:lang w:val="zh-CN"/>
        </w:rPr>
      </w:pPr>
      <w:r>
        <w:rPr>
          <w:rFonts w:ascii="Times New Roman" w:hAnsi="Times New Roman" w:cs="Times New Roman"/>
          <w:szCs w:val="21"/>
          <w:lang w:val="zh-CN"/>
        </w:rPr>
        <w:t>节水灌溉方式为：</w:t>
      </w:r>
      <w:r>
        <w:rPr>
          <w:rFonts w:hint="eastAsia"/>
          <w:sz w:val="28"/>
        </w:rPr>
        <w:sym w:font="Wingdings 2" w:char="F0A3"/>
      </w:r>
      <w:r>
        <w:rPr>
          <w:rFonts w:ascii="Times New Roman" w:hAnsi="Times New Roman" w:cs="Times New Roman"/>
          <w:szCs w:val="21"/>
          <w:lang w:val="zh-CN"/>
        </w:rPr>
        <w:t>滴灌、</w:t>
      </w:r>
      <w:r>
        <w:rPr>
          <w:rFonts w:hint="eastAsia"/>
          <w:sz w:val="28"/>
        </w:rPr>
        <w:sym w:font="Wingdings 2" w:char="F0A3"/>
      </w:r>
      <w:r>
        <w:rPr>
          <w:rFonts w:ascii="Times New Roman" w:hAnsi="Times New Roman" w:cs="Times New Roman"/>
          <w:szCs w:val="21"/>
          <w:lang w:val="zh-CN"/>
        </w:rPr>
        <w:t>微喷灌、</w:t>
      </w:r>
      <w:r>
        <w:rPr>
          <w:rFonts w:hint="eastAsia"/>
          <w:sz w:val="28"/>
        </w:rPr>
        <w:sym w:font="Wingdings 2" w:char="F0A3"/>
      </w:r>
      <w:r>
        <w:rPr>
          <w:rFonts w:ascii="Times New Roman" w:hAnsi="Times New Roman" w:cs="Times New Roman"/>
          <w:szCs w:val="21"/>
        </w:rPr>
        <w:t>地下</w:t>
      </w:r>
      <w:r>
        <w:rPr>
          <w:rFonts w:ascii="Times New Roman" w:hAnsi="Times New Roman" w:cs="Times New Roman"/>
          <w:szCs w:val="21"/>
          <w:lang w:val="zh-CN"/>
        </w:rPr>
        <w:t>渗灌、</w:t>
      </w:r>
      <w:r>
        <w:rPr>
          <w:rFonts w:hint="eastAsia"/>
          <w:sz w:val="28"/>
        </w:rPr>
        <w:sym w:font="Wingdings 2" w:char="F0A3"/>
      </w:r>
      <w:r>
        <w:rPr>
          <w:rFonts w:ascii="Times New Roman" w:hAnsi="Times New Roman" w:cs="Times New Roman"/>
          <w:szCs w:val="21"/>
          <w:lang w:val="zh-CN"/>
        </w:rPr>
        <w:t>涌流灌、</w:t>
      </w:r>
      <w:r>
        <w:rPr>
          <w:rFonts w:hint="eastAsia"/>
          <w:sz w:val="28"/>
        </w:rPr>
        <w:sym w:font="Wingdings 2" w:char="F0A3"/>
      </w:r>
      <w:r>
        <w:rPr>
          <w:rFonts w:ascii="Times New Roman" w:hAnsi="Times New Roman" w:cs="Times New Roman"/>
          <w:szCs w:val="21"/>
          <w:lang w:val="zh-CN"/>
        </w:rPr>
        <w:t>喷灌、</w:t>
      </w:r>
      <w:r>
        <w:rPr>
          <w:rFonts w:hint="eastAsia"/>
          <w:sz w:val="28"/>
        </w:rPr>
        <w:sym w:font="Wingdings 2" w:char="F0A3"/>
      </w:r>
      <w:r>
        <w:rPr>
          <w:rFonts w:ascii="Times New Roman" w:hAnsi="Times New Roman" w:cs="Times New Roman"/>
          <w:szCs w:val="21"/>
          <w:lang w:val="zh-CN"/>
        </w:rPr>
        <w:t>其他</w:t>
      </w:r>
      <w:r>
        <w:rPr>
          <w:rFonts w:ascii="Times New Roman" w:hAnsi="Times New Roman" w:cs="Times New Roman"/>
          <w:szCs w:val="21"/>
          <w:u w:val="single"/>
          <w:lang w:val="zh-CN"/>
        </w:rPr>
        <w:t xml:space="preserve"> </w:t>
      </w:r>
      <w:r>
        <w:rPr>
          <w:rFonts w:hint="eastAsia" w:ascii="Times New Roman" w:hAnsi="Times New Roman" w:cs="Times New Roman"/>
          <w:szCs w:val="21"/>
          <w:u w:val="single"/>
          <w:lang w:val="zh-CN"/>
        </w:rPr>
        <w:t xml:space="preserve">    </w:t>
      </w:r>
      <w:r>
        <w:rPr>
          <w:rFonts w:ascii="Times New Roman" w:hAnsi="Times New Roman" w:cs="Times New Roman"/>
          <w:szCs w:val="21"/>
          <w:u w:val="single"/>
          <w:lang w:val="zh-CN"/>
        </w:rPr>
        <w:t xml:space="preserve">           </w:t>
      </w:r>
    </w:p>
    <w:p>
      <w:pPr>
        <w:spacing w:line="288" w:lineRule="auto"/>
        <w:rPr>
          <w:rFonts w:ascii="Times New Roman" w:hAnsi="Times New Roman" w:cs="Times New Roman"/>
        </w:rPr>
      </w:pPr>
      <w:r>
        <w:rPr>
          <w:rFonts w:ascii="Times New Roman" w:hAnsi="Times New Roman" w:cs="Times New Roman"/>
        </w:rPr>
        <w:t>节水控制措施：</w:t>
      </w:r>
      <w:r>
        <w:rPr>
          <w:rFonts w:hint="eastAsia"/>
          <w:sz w:val="28"/>
        </w:rPr>
        <w:sym w:font="Wingdings 2" w:char="F0A3"/>
      </w:r>
      <w:r>
        <w:rPr>
          <w:rFonts w:ascii="Times New Roman" w:hAnsi="Times New Roman" w:cs="Times New Roman"/>
          <w:szCs w:val="21"/>
          <w:lang w:val="zh-CN"/>
        </w:rPr>
        <w:t>土壤湿度感应器、</w:t>
      </w:r>
      <w:r>
        <w:rPr>
          <w:rFonts w:hint="eastAsia"/>
          <w:sz w:val="28"/>
        </w:rPr>
        <w:sym w:font="Wingdings 2" w:char="F0A3"/>
      </w:r>
      <w:r>
        <w:rPr>
          <w:rFonts w:ascii="Times New Roman" w:hAnsi="Times New Roman" w:cs="Times New Roman"/>
          <w:szCs w:val="21"/>
          <w:lang w:val="zh-CN"/>
        </w:rPr>
        <w:t>雨天自动关闭装置、</w:t>
      </w:r>
      <w:r>
        <w:rPr>
          <w:rFonts w:hint="eastAsia"/>
          <w:sz w:val="28"/>
        </w:rPr>
        <w:sym w:font="Wingdings 2" w:char="F0A3"/>
      </w:r>
      <w:r>
        <w:rPr>
          <w:rFonts w:ascii="Times New Roman" w:hAnsi="Times New Roman" w:cs="Times New Roman"/>
          <w:szCs w:val="21"/>
        </w:rPr>
        <w:t>种植无需永久灌溉植物</w:t>
      </w:r>
    </w:p>
    <w:p>
      <w:pPr>
        <w:rPr>
          <w:rFonts w:ascii="Times New Roman" w:hAnsi="Times New Roman" w:cs="Times New Roman"/>
          <w:szCs w:val="21"/>
        </w:rPr>
      </w:pPr>
      <w:r>
        <w:rPr>
          <w:rFonts w:ascii="Times New Roman" w:hAnsi="Times New Roman" w:cs="Times New Roman"/>
        </w:rPr>
        <w:t>请简要说明节水灌溉方式和节水控制措施以及应用效果。</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ind w:firstLine="440" w:firstLineChars="200"/>
              <w:rPr>
                <w:szCs w:val="21"/>
              </w:rPr>
            </w:pPr>
            <w:r>
              <w:rPr>
                <w:rFonts w:hint="eastAsia"/>
                <w:szCs w:val="21"/>
              </w:rPr>
              <w:t>本项目绿化灌溉采用微灌、渗灌、低压管灌等节水灌溉方式，微喷灌喷头流量应不大于250L/h，浇洒半径一般在5米左右。同时采用湿度传感器或雨天关闭的调节控制器。</w:t>
            </w:r>
          </w:p>
        </w:tc>
      </w:tr>
    </w:tbl>
    <w:p>
      <w:pPr>
        <w:spacing w:line="288" w:lineRule="auto"/>
        <w:rPr>
          <w:rFonts w:ascii="Times New Roman" w:hAnsi="Times New Roman" w:cs="Times New Roman"/>
          <w:szCs w:val="21"/>
          <w:lang w:val="zh-CN"/>
        </w:rPr>
      </w:pPr>
      <w:r>
        <w:rPr>
          <w:rFonts w:ascii="Times New Roman" w:hAnsi="Times New Roman" w:cs="Times New Roman"/>
          <w:szCs w:val="21"/>
          <w:lang w:val="zh-CN"/>
        </w:rPr>
        <w:t>2）空调冷却水系统节水措施：</w:t>
      </w:r>
      <w:r>
        <w:rPr>
          <w:rFonts w:hint="eastAsia"/>
          <w:sz w:val="28"/>
        </w:rPr>
        <w:sym w:font="Wingdings 2" w:char="F0A3"/>
      </w:r>
      <w:r>
        <w:rPr>
          <w:rFonts w:ascii="Times New Roman" w:hAnsi="Times New Roman" w:cs="Times New Roman"/>
          <w:szCs w:val="21"/>
          <w:lang w:val="zh-CN"/>
        </w:rPr>
        <w:t>加大集水盘、</w:t>
      </w:r>
      <w:r>
        <w:rPr>
          <w:rFonts w:hint="eastAsia"/>
          <w:sz w:val="28"/>
        </w:rPr>
        <w:sym w:font="Wingdings 2" w:char="F0A3"/>
      </w:r>
      <w:r>
        <w:rPr>
          <w:rFonts w:ascii="Times New Roman" w:hAnsi="Times New Roman" w:cs="Times New Roman"/>
          <w:szCs w:val="21"/>
          <w:lang w:val="zh-CN"/>
        </w:rPr>
        <w:t>设置平衡管或平衡水箱、</w:t>
      </w:r>
      <w:r>
        <w:rPr>
          <w:rFonts w:hint="eastAsia"/>
          <w:sz w:val="28"/>
        </w:rPr>
        <w:sym w:font="Wingdings 2" w:char="F0A3"/>
      </w:r>
      <w:r>
        <w:rPr>
          <w:rFonts w:ascii="Times New Roman" w:hAnsi="Times New Roman" w:cs="Times New Roman"/>
          <w:szCs w:val="21"/>
        </w:rPr>
        <w:t>无蒸发耗水量冷却技术、</w:t>
      </w:r>
      <w:r>
        <w:rPr>
          <w:rFonts w:hint="eastAsia"/>
          <w:sz w:val="28"/>
        </w:rPr>
        <w:sym w:font="Wingdings 2" w:char="F0A3"/>
      </w:r>
      <w:r>
        <w:rPr>
          <w:rFonts w:ascii="Times New Roman" w:hAnsi="Times New Roman" w:cs="Times New Roman"/>
          <w:szCs w:val="21"/>
          <w:lang w:val="zh-CN"/>
        </w:rPr>
        <w:t>其他</w:t>
      </w:r>
      <w:r>
        <w:rPr>
          <w:rFonts w:ascii="Times New Roman" w:hAnsi="Times New Roman" w:cs="Times New Roman"/>
          <w:szCs w:val="21"/>
          <w:u w:val="single"/>
          <w:lang w:val="zh-CN"/>
        </w:rPr>
        <w:t xml:space="preserve">             </w:t>
      </w:r>
    </w:p>
    <w:p>
      <w:pPr>
        <w:rPr>
          <w:rFonts w:ascii="Times New Roman" w:hAnsi="Times New Roman" w:cs="Times New Roman"/>
          <w:szCs w:val="21"/>
        </w:rPr>
      </w:pPr>
      <w:r>
        <w:rPr>
          <w:rFonts w:ascii="Times New Roman" w:hAnsi="Times New Roman" w:cs="Times New Roman"/>
          <w:szCs w:val="21"/>
          <w:lang w:val="zh-CN"/>
        </w:rPr>
        <w:t>请简要说明循环冷却系统采用的节水技术和水质处理措施。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88" w:type="dxa"/>
            <w:shd w:val="clear" w:color="auto" w:fill="auto"/>
            <w:noWrap w:val="0"/>
            <w:vAlign w:val="top"/>
          </w:tcPr>
          <w:p>
            <w:pPr>
              <w:ind w:firstLine="440" w:firstLineChars="200"/>
              <w:rPr>
                <w:szCs w:val="21"/>
              </w:rPr>
            </w:pPr>
            <w:r>
              <w:rPr>
                <w:rFonts w:hint="eastAsia"/>
                <w:szCs w:val="21"/>
              </w:rPr>
              <w:t>采用多联机及风冷机组，不需冷却补水。</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pPr>
        <w:rPr>
          <w:rFonts w:ascii="Times New Roman" w:hAnsi="Times New Roman" w:cs="Times New Roman"/>
        </w:rPr>
      </w:pPr>
      <w:r>
        <w:rPr>
          <w:rFonts w:hint="eastAsia" w:ascii="Times New Roman" w:hAnsi="Times New Roman" w:cs="Times New Roman"/>
        </w:rPr>
        <w:t>1）绿化灌溉系统竣工图纸，应包含绿化灌溉系统设计说明、灌溉平面图、节水灌溉设备材料表、节水灌溉设备产品说明书、产品节水性能检测报告等；</w:t>
      </w:r>
    </w:p>
    <w:p>
      <w:pPr>
        <w:rPr>
          <w:rFonts w:ascii="Times New Roman" w:hAnsi="Times New Roman" w:cs="Times New Roman"/>
        </w:rPr>
      </w:pPr>
      <w:r>
        <w:rPr>
          <w:rFonts w:hint="eastAsia" w:ascii="Times New Roman" w:hAnsi="Times New Roman" w:cs="Times New Roman"/>
        </w:rPr>
        <w:t>2）暖通专业竣工图及设计说明，应包括空调冷却水系统设计说明、冷却设备材料表</w:t>
      </w:r>
      <w:r>
        <w:rPr>
          <w:rFonts w:ascii="Times New Roman" w:hAnsi="Times New Roman" w:cs="Times New Roman"/>
        </w:rPr>
        <w:t>及</w:t>
      </w:r>
      <w:r>
        <w:rPr>
          <w:rFonts w:hint="eastAsia" w:ascii="Times New Roman" w:hAnsi="Times New Roman" w:cs="Times New Roman"/>
        </w:rPr>
        <w:t>产品说明书。</w:t>
      </w:r>
    </w:p>
    <w:p>
      <w:pPr>
        <w:spacing w:line="288" w:lineRule="auto"/>
        <w:rPr>
          <w:szCs w:val="21"/>
        </w:rPr>
      </w:pPr>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7.2.12  结合雨水综合利用设施营造室外景观水体，室外景观水体利用雨水的补水量大于水体蒸发量的60%，且采用保障水体水质的生态水处理技术。（8分）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8044" w:type="dxa"/>
        <w:jc w:val="center"/>
        <w:tblLayout w:type="autofit"/>
        <w:tblCellMar>
          <w:top w:w="0" w:type="dxa"/>
          <w:left w:w="0" w:type="dxa"/>
          <w:bottom w:w="0" w:type="dxa"/>
          <w:right w:w="0" w:type="dxa"/>
        </w:tblCellMar>
      </w:tblPr>
      <w:tblGrid>
        <w:gridCol w:w="722"/>
        <w:gridCol w:w="4436"/>
        <w:gridCol w:w="1562"/>
        <w:gridCol w:w="1324"/>
      </w:tblGrid>
      <w:tr>
        <w:tblPrEx>
          <w:tblCellMar>
            <w:top w:w="0" w:type="dxa"/>
            <w:left w:w="0" w:type="dxa"/>
            <w:bottom w:w="0" w:type="dxa"/>
            <w:right w:w="0" w:type="dxa"/>
          </w:tblCellMar>
        </w:tblPrEx>
        <w:trPr>
          <w:jc w:val="center"/>
        </w:trPr>
        <w:tc>
          <w:tcPr>
            <w:tcW w:w="5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2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50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2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对进入室外景观水体的雨水，利用生态设施削减径流污染</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10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42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利用水生动、植物保障室外景观水体水质</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5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2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未设置景观水体</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0</w:t>
            </w:r>
          </w:p>
        </w:tc>
      </w:tr>
      <w:tr>
        <w:tblPrEx>
          <w:tblCellMar>
            <w:top w:w="0" w:type="dxa"/>
            <w:left w:w="0" w:type="dxa"/>
            <w:bottom w:w="0" w:type="dxa"/>
            <w:right w:w="0" w:type="dxa"/>
          </w:tblCellMar>
        </w:tblPrEx>
        <w:trPr>
          <w:jc w:val="center"/>
        </w:trPr>
        <w:tc>
          <w:tcPr>
            <w:tcW w:w="4933"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0</w:t>
            </w:r>
          </w:p>
        </w:tc>
      </w:tr>
      <w:tr>
        <w:tblPrEx>
          <w:tblCellMar>
            <w:top w:w="0" w:type="dxa"/>
            <w:left w:w="0" w:type="dxa"/>
            <w:bottom w:w="0" w:type="dxa"/>
            <w:right w:w="0" w:type="dxa"/>
          </w:tblCellMar>
        </w:tblPrEx>
        <w:trPr>
          <w:jc w:val="center"/>
        </w:trPr>
        <w:tc>
          <w:tcPr>
            <w:tcW w:w="721" w:type="dxa"/>
            <w:tcBorders>
              <w:top w:val="nil"/>
              <w:left w:val="nil"/>
              <w:bottom w:val="nil"/>
              <w:right w:val="nil"/>
            </w:tcBorders>
            <w:noWrap w:val="0"/>
            <w:vAlign w:val="center"/>
          </w:tcPr>
          <w:p>
            <w:pPr>
              <w:rPr>
                <w:sz w:val="1"/>
              </w:rPr>
            </w:pPr>
          </w:p>
        </w:tc>
        <w:tc>
          <w:tcPr>
            <w:tcW w:w="4428"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321"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pPr>
      <w:r>
        <w:rPr>
          <w:rFonts w:hint="eastAsia"/>
          <w:sz w:val="21"/>
          <w:szCs w:val="21"/>
        </w:rPr>
        <w:t>景观水体利用雨水的补水量占其水体蒸发量的比例：</w:t>
      </w:r>
      <w:r>
        <w:rPr>
          <w:rFonts w:hint="eastAsia"/>
          <w:sz w:val="21"/>
          <w:szCs w:val="21"/>
          <w:u w:val="single"/>
        </w:rPr>
        <w:t>  60 </w:t>
      </w:r>
      <w:r>
        <w:rPr>
          <w:rFonts w:hint="eastAsia"/>
          <w:sz w:val="21"/>
          <w:szCs w:val="21"/>
        </w:rPr>
        <w:t>（%）</w:t>
      </w:r>
    </w:p>
    <w:p>
      <w:pPr>
        <w:pStyle w:val="11"/>
        <w:spacing w:before="0" w:beforeAutospacing="0" w:after="0" w:afterAutospacing="0"/>
      </w:pPr>
      <w:r>
        <w:rPr>
          <w:rFonts w:hint="eastAsia"/>
          <w:sz w:val="21"/>
          <w:szCs w:val="21"/>
        </w:rPr>
        <w:t>景观水体补水来源：</w:t>
      </w:r>
      <w:r>
        <w:rPr>
          <w:rStyle w:val="25"/>
          <w:rFonts w:hint="eastAsia" w:ascii="MS Mincho" w:hAnsi="MS Mincho" w:eastAsia="MS Mincho" w:cs="MS Mincho"/>
          <w:sz w:val="28"/>
          <w:szCs w:val="28"/>
        </w:rPr>
        <w:t>☑</w:t>
      </w:r>
      <w:r>
        <w:rPr>
          <w:rFonts w:hint="eastAsia"/>
          <w:sz w:val="21"/>
          <w:szCs w:val="21"/>
        </w:rPr>
        <w:t>地表水、</w:t>
      </w:r>
      <w:r>
        <w:rPr>
          <w:rStyle w:val="25"/>
          <w:rFonts w:hint="eastAsia" w:ascii="MS Mincho" w:hAnsi="MS Mincho" w:eastAsia="MS Mincho" w:cs="MS Mincho"/>
          <w:sz w:val="28"/>
          <w:szCs w:val="28"/>
        </w:rPr>
        <w:t>☑</w:t>
      </w:r>
      <w:r>
        <w:rPr>
          <w:rFonts w:hint="eastAsia"/>
          <w:sz w:val="21"/>
          <w:szCs w:val="21"/>
        </w:rPr>
        <w:t>市政中水、</w:t>
      </w:r>
      <w:r>
        <w:rPr>
          <w:rStyle w:val="25"/>
          <w:rFonts w:hint="eastAsia" w:ascii="MS Mincho" w:hAnsi="MS Mincho" w:eastAsia="MS Mincho" w:cs="MS Mincho"/>
          <w:sz w:val="28"/>
          <w:szCs w:val="28"/>
        </w:rPr>
        <w:t>☑</w:t>
      </w:r>
      <w:r>
        <w:rPr>
          <w:rFonts w:hint="eastAsia"/>
          <w:sz w:val="21"/>
          <w:szCs w:val="21"/>
        </w:rPr>
        <w:t>建筑中水、</w:t>
      </w:r>
      <w:r>
        <w:rPr>
          <w:rStyle w:val="25"/>
          <w:rFonts w:hint="eastAsia" w:ascii="MS Mincho" w:hAnsi="MS Mincho" w:eastAsia="MS Mincho" w:cs="MS Mincho"/>
          <w:sz w:val="28"/>
          <w:szCs w:val="28"/>
        </w:rPr>
        <w:t>☑</w:t>
      </w:r>
      <w:r>
        <w:rPr>
          <w:rFonts w:hint="eastAsia"/>
          <w:sz w:val="21"/>
          <w:szCs w:val="21"/>
        </w:rPr>
        <w:t>雨水</w:t>
      </w:r>
    </w:p>
    <w:p>
      <w:pPr>
        <w:pStyle w:val="11"/>
        <w:spacing w:before="0" w:beforeAutospacing="0" w:after="0" w:afterAutospacing="0"/>
        <w:jc w:val="both"/>
      </w:pPr>
      <w:r>
        <w:rPr>
          <w:rFonts w:hint="eastAsia"/>
          <w:sz w:val="21"/>
          <w:szCs w:val="21"/>
        </w:rPr>
        <w:t>请简要说明景观水体的径流污染削减措施、水质控制措施以及实际效果。</w:t>
      </w:r>
    </w:p>
    <w:tbl>
      <w:tblPr>
        <w:tblStyle w:val="13"/>
        <w:tblW w:w="0" w:type="auto"/>
        <w:jc w:val="center"/>
        <w:tblLayout w:type="autofit"/>
        <w:tblCellMar>
          <w:top w:w="0" w:type="dxa"/>
          <w:left w:w="0" w:type="dxa"/>
          <w:bottom w:w="0" w:type="dxa"/>
          <w:right w:w="0" w:type="dxa"/>
        </w:tblCellMar>
      </w:tblPr>
      <w:tblGrid>
        <w:gridCol w:w="7972"/>
      </w:tblGrid>
      <w:tr>
        <w:tblPrEx>
          <w:tblCellMar>
            <w:top w:w="0" w:type="dxa"/>
            <w:left w:w="0" w:type="dxa"/>
            <w:bottom w:w="0" w:type="dxa"/>
            <w:right w:w="0" w:type="dxa"/>
          </w:tblCellMar>
        </w:tblPrEx>
        <w:trPr>
          <w:trHeight w:val="2308" w:hRule="atLeast"/>
          <w:jc w:val="center"/>
        </w:trPr>
        <w:tc>
          <w:tcPr>
            <w:tcW w:w="797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121212"/>
                <w:sz w:val="27"/>
                <w:szCs w:val="27"/>
                <w:shd w:val="clear" w:color="auto" w:fill="FFFFFF"/>
              </w:rPr>
              <w:t>景观水体治理的主要目的就是为控制水体中的COD、BOD5、氮、磷等污染物质的含量及菌藻滋生，确保水体清澈、洁净、无异味。在景观水体治理上，只有了解让景观水体水质恶化的原因，才能寻求更有效的处理措施来解决问题。</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）给排水专业竣工图及设计说明，应包括室内外给排水消防系统设计及施工说明、室外给排水总图、景观给排水设计说明、景观给排水平面图、雨水利用设施和雨水生态系统工艺流程图及详图；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）景观专业竣工图及设计说明，应包含总平面竖向图、场地铺装平面图、种植图、雨水生态处理设施详图、水景详图等；</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）景观水体补水量平衡计算书、水质检测报告。</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给排水专业图纸及设计说明：6给排水设计/ 建筑施工图.dwg</w:t>
            </w:r>
          </w:p>
        </w:tc>
      </w:tr>
    </w:tbl>
    <w:p>
      <w:pPr>
        <w:pStyle w:val="11"/>
        <w:spacing w:before="0" w:beforeAutospacing="0" w:after="0" w:afterAutospacing="0"/>
        <w:jc w:val="both"/>
        <w:rPr>
          <w:rFonts w:ascii="Times New Roman" w:hAnsi="Times New Roman" w:cs="Times New Roman"/>
          <w:b/>
          <w:bCs/>
        </w:rPr>
      </w:pP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7.2.13 使用非传统水源。（15分）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026" w:type="dxa"/>
        <w:jc w:val="center"/>
        <w:tblLayout w:type="autofit"/>
        <w:tblCellMar>
          <w:top w:w="0" w:type="dxa"/>
          <w:left w:w="0" w:type="dxa"/>
          <w:bottom w:w="0" w:type="dxa"/>
          <w:right w:w="0" w:type="dxa"/>
        </w:tblCellMar>
      </w:tblPr>
      <w:tblGrid>
        <w:gridCol w:w="710"/>
        <w:gridCol w:w="1344"/>
        <w:gridCol w:w="3692"/>
        <w:gridCol w:w="1746"/>
        <w:gridCol w:w="1534"/>
      </w:tblGrid>
      <w:tr>
        <w:tblPrEx>
          <w:tblCellMar>
            <w:top w:w="0" w:type="dxa"/>
            <w:left w:w="0" w:type="dxa"/>
            <w:bottom w:w="0" w:type="dxa"/>
            <w:right w:w="0" w:type="dxa"/>
          </w:tblCellMar>
        </w:tblPrEx>
        <w:trPr>
          <w:jc w:val="center"/>
        </w:trPr>
        <w:tc>
          <w:tcPr>
            <w:tcW w:w="49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812"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15" w:hRule="atLeast"/>
          <w:jc w:val="center"/>
        </w:trPr>
        <w:tc>
          <w:tcPr>
            <w:tcW w:w="49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112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绿化灌溉</w:t>
            </w:r>
          </w:p>
        </w:tc>
        <w:tc>
          <w:tcPr>
            <w:tcW w:w="34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绿化灌溉、车库及道路冲洗、洗车用水采用非传统水源的用水量占其总用水量的比例不低于</w:t>
            </w:r>
            <w:r>
              <w:rPr>
                <w:rFonts w:ascii="Times New Roman" w:hAnsi="Times New Roman" w:cs="Times New Roman"/>
                <w:sz w:val="21"/>
                <w:szCs w:val="21"/>
              </w:rPr>
              <w:t>40%</w:t>
            </w:r>
            <w:r>
              <w:rPr>
                <w:rFonts w:hint="eastAsia"/>
                <w:sz w:val="21"/>
                <w:szCs w:val="21"/>
              </w:rPr>
              <w:t>。</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val="en-US" w:eastAsia="zh-CN"/>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1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4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绿化灌溉、车库及道路冲洗、洗车用水采用非传统水源的用水量占其总用水量的比例不低于</w:t>
            </w:r>
            <w:r>
              <w:rPr>
                <w:rFonts w:ascii="Times New Roman" w:hAnsi="Times New Roman" w:cs="Times New Roman"/>
                <w:sz w:val="21"/>
                <w:szCs w:val="21"/>
              </w:rPr>
              <w:t>60%</w:t>
            </w:r>
            <w:r>
              <w:rPr>
                <w:rFonts w:hint="eastAsia"/>
                <w:sz w:val="21"/>
                <w:szCs w:val="21"/>
              </w:rPr>
              <w:t>。</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431" w:hRule="atLeast"/>
          <w:jc w:val="center"/>
        </w:trPr>
        <w:tc>
          <w:tcPr>
            <w:tcW w:w="49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12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冲厕</w:t>
            </w:r>
          </w:p>
        </w:tc>
        <w:tc>
          <w:tcPr>
            <w:tcW w:w="34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冲厕采用非传统水源的用水量占其总用水量的比例不低于</w:t>
            </w:r>
            <w:r>
              <w:rPr>
                <w:rFonts w:ascii="Times New Roman" w:hAnsi="Times New Roman" w:cs="Times New Roman"/>
                <w:sz w:val="21"/>
                <w:szCs w:val="21"/>
              </w:rPr>
              <w:t>30%</w:t>
            </w:r>
            <w:r>
              <w:rPr>
                <w:rFonts w:hint="eastAsia"/>
                <w:sz w:val="21"/>
                <w:szCs w:val="21"/>
              </w:rPr>
              <w:t>。</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4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pPr>
            <w:r>
              <w:rPr>
                <w:rFonts w:hint="eastAsia"/>
                <w:sz w:val="21"/>
                <w:szCs w:val="21"/>
              </w:rPr>
              <w:t>冲厕采用非传统水源的用水量占其总用水量的比例不低于</w:t>
            </w:r>
            <w:r>
              <w:rPr>
                <w:rFonts w:ascii="Times New Roman" w:hAnsi="Times New Roman" w:cs="Times New Roman"/>
                <w:sz w:val="21"/>
                <w:szCs w:val="21"/>
              </w:rPr>
              <w:t>50%</w:t>
            </w:r>
            <w:r>
              <w:rPr>
                <w:rFonts w:hint="eastAsia"/>
                <w:sz w:val="21"/>
                <w:szCs w:val="21"/>
              </w:rPr>
              <w:t>。</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pPr>
            <w:r>
              <w:rPr>
                <w:rFonts w:ascii="Times New Roman" w:hAnsi="Times New Roman" w:cs="Times New Roman"/>
                <w:sz w:val="21"/>
                <w:szCs w:val="21"/>
              </w:rPr>
              <w:t>5</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70" w:lineRule="atLeast"/>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58" w:hRule="atLeast"/>
          <w:jc w:val="center"/>
        </w:trPr>
        <w:tc>
          <w:tcPr>
            <w:tcW w:w="49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8" w:lineRule="atLeast"/>
              <w:jc w:val="center"/>
            </w:pPr>
            <w:r>
              <w:rPr>
                <w:rFonts w:ascii="Times New Roman" w:hAnsi="Times New Roman" w:cs="Times New Roman"/>
                <w:sz w:val="21"/>
                <w:szCs w:val="21"/>
              </w:rPr>
              <w:t>3</w:t>
            </w:r>
          </w:p>
        </w:tc>
        <w:tc>
          <w:tcPr>
            <w:tcW w:w="112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8" w:lineRule="atLeast"/>
              <w:jc w:val="center"/>
            </w:pPr>
            <w:r>
              <w:rPr>
                <w:rFonts w:hint="eastAsia"/>
                <w:sz w:val="21"/>
                <w:szCs w:val="21"/>
              </w:rPr>
              <w:t>冷却水补水</w:t>
            </w:r>
          </w:p>
        </w:tc>
        <w:tc>
          <w:tcPr>
            <w:tcW w:w="34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8" w:lineRule="atLeast"/>
            </w:pPr>
            <w:r>
              <w:rPr>
                <w:rFonts w:hint="eastAsia"/>
                <w:sz w:val="21"/>
                <w:szCs w:val="21"/>
              </w:rPr>
              <w:t>冷却水补水采用非传统水源的用水量占其总用水量的比例不低于</w:t>
            </w:r>
            <w:r>
              <w:rPr>
                <w:rFonts w:ascii="Times New Roman" w:hAnsi="Times New Roman" w:cs="Times New Roman"/>
                <w:sz w:val="21"/>
                <w:szCs w:val="21"/>
              </w:rPr>
              <w:t>20%</w:t>
            </w:r>
            <w:r>
              <w:rPr>
                <w:rFonts w:hint="eastAsia"/>
                <w:sz w:val="21"/>
                <w:szCs w:val="21"/>
              </w:rPr>
              <w:t>。</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8" w:lineRule="atLeast"/>
              <w:jc w:val="center"/>
            </w:pPr>
            <w:r>
              <w:rPr>
                <w:rFonts w:ascii="Times New Roman" w:hAnsi="Times New Roman" w:cs="Times New Roman"/>
                <w:sz w:val="21"/>
                <w:szCs w:val="21"/>
              </w:rPr>
              <w:t>3</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8" w:lineRule="atLeast"/>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15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47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7" w:lineRule="atLeast"/>
            </w:pPr>
            <w:r>
              <w:rPr>
                <w:rFonts w:hint="eastAsia"/>
                <w:sz w:val="21"/>
                <w:szCs w:val="21"/>
              </w:rPr>
              <w:t>冷却水补水采用非传统水源的用水量占其总用水量的比例不低于</w:t>
            </w:r>
            <w:r>
              <w:rPr>
                <w:rFonts w:ascii="Times New Roman" w:hAnsi="Times New Roman" w:cs="Times New Roman"/>
                <w:sz w:val="21"/>
                <w:szCs w:val="21"/>
              </w:rPr>
              <w:t>40%</w:t>
            </w:r>
            <w:r>
              <w:rPr>
                <w:rFonts w:hint="eastAsia"/>
                <w:sz w:val="21"/>
                <w:szCs w:val="21"/>
              </w:rPr>
              <w:t>。</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7" w:lineRule="atLeast"/>
              <w:jc w:val="center"/>
            </w:pPr>
            <w:r>
              <w:rPr>
                <w:rFonts w:ascii="Times New Roman" w:hAnsi="Times New Roman" w:cs="Times New Roman"/>
                <w:sz w:val="21"/>
                <w:szCs w:val="21"/>
              </w:rPr>
              <w:t>5</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57" w:lineRule="atLeast"/>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5521"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5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13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09" w:type="dxa"/>
            <w:tcBorders>
              <w:top w:val="nil"/>
              <w:left w:val="nil"/>
              <w:bottom w:val="nil"/>
              <w:right w:val="nil"/>
            </w:tcBorders>
            <w:noWrap w:val="0"/>
            <w:vAlign w:val="center"/>
          </w:tcPr>
          <w:p>
            <w:pPr>
              <w:rPr>
                <w:sz w:val="1"/>
              </w:rPr>
            </w:pPr>
          </w:p>
        </w:tc>
        <w:tc>
          <w:tcPr>
            <w:tcW w:w="1342" w:type="dxa"/>
            <w:tcBorders>
              <w:top w:val="nil"/>
              <w:left w:val="nil"/>
              <w:bottom w:val="nil"/>
              <w:right w:val="nil"/>
            </w:tcBorders>
            <w:noWrap w:val="0"/>
            <w:vAlign w:val="center"/>
          </w:tcPr>
          <w:p>
            <w:pPr>
              <w:rPr>
                <w:sz w:val="1"/>
              </w:rPr>
            </w:pPr>
          </w:p>
        </w:tc>
        <w:tc>
          <w:tcPr>
            <w:tcW w:w="3686" w:type="dxa"/>
            <w:tcBorders>
              <w:top w:val="nil"/>
              <w:left w:val="nil"/>
              <w:bottom w:val="nil"/>
              <w:right w:val="nil"/>
            </w:tcBorders>
            <w:noWrap w:val="0"/>
            <w:vAlign w:val="center"/>
          </w:tcPr>
          <w:p>
            <w:pPr>
              <w:rPr>
                <w:sz w:val="1"/>
              </w:rPr>
            </w:pPr>
          </w:p>
        </w:tc>
        <w:tc>
          <w:tcPr>
            <w:tcW w:w="1743" w:type="dxa"/>
            <w:tcBorders>
              <w:top w:val="nil"/>
              <w:left w:val="nil"/>
              <w:bottom w:val="nil"/>
              <w:right w:val="nil"/>
            </w:tcBorders>
            <w:noWrap w:val="0"/>
            <w:vAlign w:val="center"/>
          </w:tcPr>
          <w:p>
            <w:pPr>
              <w:rPr>
                <w:sz w:val="1"/>
              </w:rPr>
            </w:pPr>
          </w:p>
        </w:tc>
        <w:tc>
          <w:tcPr>
            <w:tcW w:w="1531"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ind w:firstLine="400"/>
        <w:jc w:val="both"/>
        <w:rPr>
          <w:sz w:val="28"/>
          <w:szCs w:val="28"/>
        </w:rPr>
      </w:pPr>
      <w:r>
        <w:rPr>
          <w:rFonts w:hint="eastAsia"/>
          <w:sz w:val="21"/>
          <w:szCs w:val="21"/>
        </w:rPr>
        <w:t>建筑类型为：</w:t>
      </w:r>
      <w:r>
        <w:rPr>
          <w:rStyle w:val="25"/>
          <w:rFonts w:hint="eastAsia" w:ascii="MS Mincho" w:hAnsi="MS Mincho" w:eastAsia="MS Mincho" w:cs="MS Mincho"/>
          <w:sz w:val="28"/>
          <w:szCs w:val="28"/>
        </w:rPr>
        <w:t>☐</w:t>
      </w:r>
      <w:r>
        <w:rPr>
          <w:rFonts w:hint="eastAsia"/>
          <w:sz w:val="21"/>
          <w:szCs w:val="21"/>
        </w:rPr>
        <w:t>住宅、</w:t>
      </w:r>
      <w:r>
        <w:rPr>
          <w:rStyle w:val="25"/>
          <w:rFonts w:hint="eastAsia" w:ascii="MS Mincho" w:hAnsi="MS Mincho" w:eastAsia="MS Mincho" w:cs="MS Mincho"/>
          <w:sz w:val="28"/>
          <w:szCs w:val="28"/>
        </w:rPr>
        <w:t>☐</w:t>
      </w:r>
      <w:r>
        <w:rPr>
          <w:rFonts w:hint="eastAsia"/>
          <w:sz w:val="21"/>
          <w:szCs w:val="21"/>
        </w:rPr>
        <w:t>办公楼、</w:t>
      </w:r>
      <w:r>
        <w:rPr>
          <w:rStyle w:val="25"/>
          <w:rFonts w:hint="eastAsia" w:ascii="MS Mincho" w:hAnsi="MS Mincho" w:eastAsia="MS Mincho" w:cs="MS Mincho"/>
          <w:sz w:val="28"/>
          <w:szCs w:val="28"/>
        </w:rPr>
        <w:t>☐</w:t>
      </w:r>
      <w:r>
        <w:rPr>
          <w:rFonts w:hint="eastAsia"/>
          <w:sz w:val="21"/>
          <w:szCs w:val="21"/>
        </w:rPr>
        <w:t>商场、</w:t>
      </w:r>
      <w:r>
        <w:rPr>
          <w:rStyle w:val="25"/>
          <w:rFonts w:hint="eastAsia" w:ascii="MS Mincho" w:hAnsi="MS Mincho" w:eastAsia="MS Mincho" w:cs="MS Mincho"/>
          <w:sz w:val="28"/>
          <w:szCs w:val="28"/>
        </w:rPr>
        <w:t>☐</w:t>
      </w:r>
      <w:r>
        <w:rPr>
          <w:rFonts w:hint="eastAsia"/>
          <w:sz w:val="21"/>
          <w:szCs w:val="21"/>
        </w:rPr>
        <w:t>旅馆类、</w:t>
      </w:r>
      <w:r>
        <w:rPr>
          <w:rStyle w:val="25"/>
          <w:rFonts w:hint="eastAsia" w:ascii="MS Mincho" w:hAnsi="MS Mincho" w:eastAsia="MS Mincho" w:cs="MS Mincho"/>
          <w:sz w:val="28"/>
          <w:szCs w:val="28"/>
        </w:rPr>
        <w:t>☑</w:t>
      </w:r>
      <w:r>
        <w:rPr>
          <w:rFonts w:hint="eastAsia"/>
          <w:sz w:val="21"/>
          <w:szCs w:val="21"/>
        </w:rPr>
        <w:t>其他</w:t>
      </w:r>
      <w:r>
        <w:rPr>
          <w:rFonts w:hint="eastAsia"/>
          <w:sz w:val="21"/>
          <w:szCs w:val="21"/>
          <w:u w:val="single"/>
        </w:rPr>
        <w:t xml:space="preserve">    幼儿园      </w:t>
      </w:r>
    </w:p>
    <w:p>
      <w:pPr>
        <w:pStyle w:val="11"/>
        <w:spacing w:before="0" w:beforeAutospacing="0" w:after="0" w:afterAutospacing="0" w:line="288" w:lineRule="auto"/>
        <w:ind w:firstLine="400"/>
        <w:jc w:val="both"/>
        <w:rPr>
          <w:sz w:val="28"/>
          <w:szCs w:val="28"/>
        </w:rPr>
      </w:pPr>
      <w:r>
        <w:rPr>
          <w:rFonts w:hint="eastAsia"/>
          <w:sz w:val="21"/>
          <w:szCs w:val="21"/>
        </w:rPr>
        <w:t>非传统水源利用方式：</w:t>
      </w:r>
      <w:r>
        <w:rPr>
          <w:rStyle w:val="25"/>
          <w:rFonts w:hint="eastAsia" w:ascii="MS Mincho" w:hAnsi="MS Mincho" w:eastAsia="MS Mincho" w:cs="MS Mincho"/>
          <w:sz w:val="28"/>
          <w:szCs w:val="28"/>
        </w:rPr>
        <w:t>☑</w:t>
      </w:r>
      <w:r>
        <w:rPr>
          <w:rFonts w:hint="eastAsia"/>
          <w:sz w:val="21"/>
          <w:szCs w:val="21"/>
        </w:rPr>
        <w:t>自建中水、</w:t>
      </w:r>
      <w:r>
        <w:rPr>
          <w:rStyle w:val="25"/>
          <w:rFonts w:hint="eastAsia" w:ascii="MS Mincho" w:hAnsi="MS Mincho" w:eastAsia="MS Mincho" w:cs="MS Mincho"/>
          <w:sz w:val="28"/>
          <w:szCs w:val="28"/>
        </w:rPr>
        <w:t>☑</w:t>
      </w:r>
      <w:r>
        <w:rPr>
          <w:rFonts w:hint="eastAsia"/>
          <w:sz w:val="21"/>
          <w:szCs w:val="21"/>
        </w:rPr>
        <w:t>市政中水</w:t>
      </w:r>
    </w:p>
    <w:p>
      <w:pPr>
        <w:pStyle w:val="11"/>
        <w:spacing w:before="0" w:beforeAutospacing="0" w:after="0" w:afterAutospacing="0" w:line="288" w:lineRule="auto"/>
        <w:ind w:firstLine="400"/>
        <w:jc w:val="both"/>
        <w:rPr>
          <w:sz w:val="21"/>
          <w:szCs w:val="21"/>
        </w:rPr>
      </w:pPr>
      <w:r>
        <w:rPr>
          <w:rFonts w:hint="eastAsia"/>
          <w:sz w:val="21"/>
          <w:szCs w:val="21"/>
        </w:rPr>
        <w:t>建筑可回用水量为：</w:t>
      </w:r>
      <w:r>
        <w:rPr>
          <w:rFonts w:hint="eastAsia"/>
          <w:sz w:val="21"/>
          <w:szCs w:val="21"/>
          <w:u w:val="single"/>
        </w:rPr>
        <w:t xml:space="preserve">      50      </w:t>
      </w: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3</w:t>
      </w:r>
      <w:r>
        <w:rPr>
          <w:rFonts w:ascii="Times New Roman" w:hAnsi="Times New Roman" w:cs="Times New Roman"/>
          <w:sz w:val="21"/>
          <w:szCs w:val="21"/>
        </w:rPr>
        <w:t>/d</w:t>
      </w:r>
      <w:r>
        <w:rPr>
          <w:rFonts w:hint="eastAsia"/>
          <w:sz w:val="21"/>
          <w:szCs w:val="21"/>
        </w:rPr>
        <w:t>），非传统水源实际利用量为：</w:t>
      </w:r>
      <w:r>
        <w:rPr>
          <w:rFonts w:hint="eastAsia"/>
          <w:sz w:val="21"/>
          <w:szCs w:val="21"/>
          <w:u w:val="single"/>
        </w:rPr>
        <w:t xml:space="preserve">    20     </w:t>
      </w: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3</w:t>
      </w:r>
      <w:r>
        <w:rPr>
          <w:rFonts w:hint="eastAsia"/>
          <w:sz w:val="21"/>
          <w:szCs w:val="21"/>
        </w:rPr>
        <w:t>）。</w:t>
      </w:r>
    </w:p>
    <w:p>
      <w:pPr>
        <w:pStyle w:val="11"/>
        <w:spacing w:before="0" w:beforeAutospacing="0" w:after="0" w:afterAutospacing="0" w:line="288" w:lineRule="auto"/>
        <w:ind w:left="420"/>
        <w:jc w:val="both"/>
        <w:rPr>
          <w:sz w:val="21"/>
          <w:szCs w:val="21"/>
        </w:rPr>
      </w:pPr>
      <w:r>
        <w:rPr>
          <w:rFonts w:hint="eastAsia"/>
          <w:sz w:val="21"/>
          <w:szCs w:val="21"/>
        </w:rPr>
        <w:t>非传统水源利用情况：</w:t>
      </w:r>
    </w:p>
    <w:tbl>
      <w:tblPr>
        <w:tblStyle w:val="13"/>
        <w:tblW w:w="8929" w:type="dxa"/>
        <w:jc w:val="center"/>
        <w:tblLayout w:type="autofit"/>
        <w:tblCellMar>
          <w:top w:w="0" w:type="dxa"/>
          <w:left w:w="0" w:type="dxa"/>
          <w:bottom w:w="0" w:type="dxa"/>
          <w:right w:w="0" w:type="dxa"/>
        </w:tblCellMar>
      </w:tblPr>
      <w:tblGrid>
        <w:gridCol w:w="1473"/>
        <w:gridCol w:w="2276"/>
        <w:gridCol w:w="2590"/>
        <w:gridCol w:w="2590"/>
      </w:tblGrid>
      <w:tr>
        <w:tblPrEx>
          <w:tblCellMar>
            <w:top w:w="0" w:type="dxa"/>
            <w:left w:w="0" w:type="dxa"/>
            <w:bottom w:w="0" w:type="dxa"/>
            <w:right w:w="0" w:type="dxa"/>
          </w:tblCellMar>
        </w:tblPrEx>
        <w:trPr>
          <w:jc w:val="center"/>
        </w:trPr>
        <w:tc>
          <w:tcPr>
            <w:tcW w:w="1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用途</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总用水量</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非传统水源利用量</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非传统水源利用率</w:t>
            </w:r>
          </w:p>
        </w:tc>
      </w:tr>
      <w:tr>
        <w:tblPrEx>
          <w:tblCellMar>
            <w:top w:w="0" w:type="dxa"/>
            <w:left w:w="0" w:type="dxa"/>
            <w:bottom w:w="0" w:type="dxa"/>
            <w:right w:w="0" w:type="dxa"/>
          </w:tblCellMar>
        </w:tblPrEx>
        <w:trPr>
          <w:jc w:val="center"/>
        </w:trPr>
        <w:tc>
          <w:tcPr>
            <w:tcW w:w="1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1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0" w:beforeAutospacing="0" w:after="0" w:afterAutospacing="0"/>
        <w:jc w:val="both"/>
      </w:pPr>
      <w:r>
        <w:rPr>
          <w:rFonts w:hint="eastAsia"/>
          <w:sz w:val="21"/>
          <w:szCs w:val="21"/>
        </w:rPr>
        <w:t>请简要说明非传统水源利用方式、用量及所占比例。</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小区污水、废水经室外化粪池处理后部分排入本地块中水站</w:t>
            </w:r>
            <w:r>
              <w:rPr>
                <w:rFonts w:ascii="Times New Roman" w:hAnsi="Times New Roman" w:cs="Times New Roman"/>
                <w:sz w:val="20"/>
                <w:szCs w:val="20"/>
              </w:rPr>
              <w:t>,</w:t>
            </w:r>
            <w:r>
              <w:rPr>
                <w:rFonts w:hint="eastAsia"/>
                <w:sz w:val="20"/>
                <w:szCs w:val="20"/>
              </w:rPr>
              <w:t>作为中水水源，部分排入西侧、南侧市政污水管网。处理后的中水回用于室外绿化灌溉、道路冲洗、洗车和景观补水等。</w:t>
            </w:r>
          </w:p>
          <w:p>
            <w:pPr>
              <w:pStyle w:val="11"/>
              <w:spacing w:before="0" w:beforeAutospacing="0" w:after="0" w:afterAutospacing="0"/>
              <w:ind w:firstLine="400"/>
            </w:pPr>
            <w:r>
              <w:rPr>
                <w:rFonts w:hint="eastAsia"/>
                <w:sz w:val="20"/>
                <w:szCs w:val="20"/>
              </w:rPr>
              <w:t>本项目设置中水系统，收集废水和雨水，处理后用于绿化浇灌和景观补水。</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）给排水专业竣工图及设计说明，应包含非传统水源利用工艺流程图及机房详图、非传统水源机房给水系统图；</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）非传统水源利用方案及的当地相关主管部门的许可；</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非传统水源利用率计算书，应包含杂用水需要用水量、非传统水源可利用量、设计利用量、补水水源等相关水量估算及水平衡分析、中水用水协议、已投入使用的项目应提供非传统水源用水量记录、非传统水源水质检测报告。</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给排水专业图纸及设计说明：6给排水设计/ 建筑施工图.dwg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7.2.14 建筑所有区域实施土建工程与装修工程一体化设计及施工。（8分）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0" w:type="auto"/>
        <w:jc w:val="center"/>
        <w:tblLayout w:type="autofit"/>
        <w:tblCellMar>
          <w:top w:w="0" w:type="dxa"/>
          <w:left w:w="0" w:type="dxa"/>
          <w:bottom w:w="0" w:type="dxa"/>
          <w:right w:w="0" w:type="dxa"/>
        </w:tblCellMar>
      </w:tblPr>
      <w:tblGrid>
        <w:gridCol w:w="828"/>
        <w:gridCol w:w="1554"/>
        <w:gridCol w:w="2958"/>
        <w:gridCol w:w="1554"/>
        <w:gridCol w:w="1402"/>
      </w:tblGrid>
      <w:tr>
        <w:tblPrEx>
          <w:tblCellMar>
            <w:top w:w="0" w:type="dxa"/>
            <w:left w:w="0" w:type="dxa"/>
            <w:bottom w:w="0" w:type="dxa"/>
            <w:right w:w="0" w:type="dxa"/>
          </w:tblCellMar>
        </w:tblPrEx>
        <w:trPr>
          <w:jc w:val="center"/>
        </w:trPr>
        <w:tc>
          <w:tcPr>
            <w:tcW w:w="6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296"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3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8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建筑类型</w:t>
            </w:r>
          </w:p>
        </w:tc>
        <w:tc>
          <w:tcPr>
            <w:tcW w:w="27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实施要求</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6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混合功能</w:t>
            </w:r>
          </w:p>
        </w:tc>
        <w:tc>
          <w:tcPr>
            <w:tcW w:w="27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按住宅建筑和公共建筑分别评价，取平均分</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6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住宅建筑</w:t>
            </w:r>
          </w:p>
        </w:tc>
        <w:tc>
          <w:tcPr>
            <w:tcW w:w="27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按实施户数与总户数的比例折算计分</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6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公共建筑</w:t>
            </w:r>
          </w:p>
        </w:tc>
        <w:tc>
          <w:tcPr>
            <w:tcW w:w="274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按实施建筑面积与总建筑面积的比例折算计分</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8</w:t>
            </w:r>
          </w:p>
        </w:tc>
      </w:tr>
      <w:tr>
        <w:tblPrEx>
          <w:tblCellMar>
            <w:top w:w="0" w:type="dxa"/>
            <w:left w:w="0" w:type="dxa"/>
            <w:bottom w:w="0" w:type="dxa"/>
            <w:right w:w="0" w:type="dxa"/>
          </w:tblCellMar>
        </w:tblPrEx>
        <w:trPr>
          <w:jc w:val="center"/>
        </w:trPr>
        <w:tc>
          <w:tcPr>
            <w:tcW w:w="5124"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3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8</w:t>
            </w:r>
          </w:p>
        </w:tc>
      </w:tr>
      <w:tr>
        <w:tblPrEx>
          <w:tblCellMar>
            <w:top w:w="0" w:type="dxa"/>
            <w:left w:w="0" w:type="dxa"/>
            <w:bottom w:w="0" w:type="dxa"/>
            <w:right w:w="0" w:type="dxa"/>
          </w:tblCellMar>
        </w:tblPrEx>
        <w:trPr>
          <w:jc w:val="center"/>
        </w:trPr>
        <w:tc>
          <w:tcPr>
            <w:tcW w:w="828" w:type="dxa"/>
            <w:tcBorders>
              <w:top w:val="nil"/>
              <w:left w:val="nil"/>
              <w:bottom w:val="nil"/>
              <w:right w:val="nil"/>
            </w:tcBorders>
            <w:noWrap w:val="0"/>
            <w:vAlign w:val="center"/>
          </w:tcPr>
          <w:p>
            <w:pPr>
              <w:rPr>
                <w:sz w:val="1"/>
              </w:rPr>
            </w:pPr>
          </w:p>
        </w:tc>
        <w:tc>
          <w:tcPr>
            <w:tcW w:w="1554" w:type="dxa"/>
            <w:tcBorders>
              <w:top w:val="nil"/>
              <w:left w:val="nil"/>
              <w:bottom w:val="nil"/>
              <w:right w:val="nil"/>
            </w:tcBorders>
            <w:noWrap w:val="0"/>
            <w:vAlign w:val="center"/>
          </w:tcPr>
          <w:p>
            <w:pPr>
              <w:rPr>
                <w:sz w:val="1"/>
              </w:rPr>
            </w:pPr>
          </w:p>
        </w:tc>
        <w:tc>
          <w:tcPr>
            <w:tcW w:w="2958" w:type="dxa"/>
            <w:tcBorders>
              <w:top w:val="nil"/>
              <w:left w:val="nil"/>
              <w:bottom w:val="nil"/>
              <w:right w:val="nil"/>
            </w:tcBorders>
            <w:noWrap w:val="0"/>
            <w:vAlign w:val="center"/>
          </w:tcPr>
          <w:p>
            <w:pPr>
              <w:rPr>
                <w:sz w:val="1"/>
              </w:rPr>
            </w:pPr>
          </w:p>
        </w:tc>
        <w:tc>
          <w:tcPr>
            <w:tcW w:w="1554" w:type="dxa"/>
            <w:tcBorders>
              <w:top w:val="nil"/>
              <w:left w:val="nil"/>
              <w:bottom w:val="nil"/>
              <w:right w:val="nil"/>
            </w:tcBorders>
            <w:noWrap w:val="0"/>
            <w:vAlign w:val="center"/>
          </w:tcPr>
          <w:p>
            <w:pPr>
              <w:rPr>
                <w:sz w:val="1"/>
              </w:rPr>
            </w:pPr>
          </w:p>
        </w:tc>
        <w:tc>
          <w:tcPr>
            <w:tcW w:w="1402"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1</w:t>
      </w:r>
      <w:r>
        <w:rPr>
          <w:rFonts w:hint="eastAsia"/>
          <w:sz w:val="21"/>
          <w:szCs w:val="21"/>
        </w:rPr>
        <w:t>）住宅总户数</w:t>
      </w:r>
      <w:r>
        <w:rPr>
          <w:rFonts w:hint="eastAsia"/>
          <w:sz w:val="21"/>
          <w:szCs w:val="21"/>
          <w:u w:val="single"/>
        </w:rPr>
        <w:t xml:space="preserve">           </w:t>
      </w:r>
      <w:r>
        <w:rPr>
          <w:rFonts w:hint="eastAsia"/>
          <w:sz w:val="21"/>
          <w:szCs w:val="21"/>
        </w:rPr>
        <w:t>，实施土建与装修一体化设计施工的户数</w:t>
      </w:r>
      <w:r>
        <w:rPr>
          <w:rFonts w:hint="eastAsia"/>
          <w:sz w:val="21"/>
          <w:szCs w:val="21"/>
          <w:u w:val="single"/>
        </w:rPr>
        <w:t xml:space="preserve">            </w:t>
      </w:r>
      <w:r>
        <w:rPr>
          <w:rFonts w:hint="eastAsia"/>
          <w:sz w:val="21"/>
          <w:szCs w:val="21"/>
        </w:rPr>
        <w:t>，装修比例</w:t>
      </w:r>
      <w:r>
        <w:rPr>
          <w:rFonts w:hint="eastAsia"/>
          <w:sz w:val="21"/>
          <w:szCs w:val="21"/>
          <w:u w:val="single"/>
        </w:rPr>
        <w:t xml:space="preserve">          </w:t>
      </w:r>
      <w:r>
        <w:rPr>
          <w:rFonts w:hint="eastAsia"/>
          <w:sz w:val="21"/>
          <w:szCs w:val="21"/>
        </w:rPr>
        <w:t>。</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2</w:t>
      </w:r>
      <w:r>
        <w:rPr>
          <w:rFonts w:hint="eastAsia"/>
          <w:sz w:val="21"/>
          <w:szCs w:val="21"/>
        </w:rPr>
        <w:t>）公共建筑总建筑面积</w:t>
      </w:r>
      <w:r>
        <w:rPr>
          <w:rFonts w:hint="eastAsia"/>
          <w:sz w:val="21"/>
          <w:szCs w:val="21"/>
          <w:u w:val="single"/>
        </w:rPr>
        <w:t>   9253    </w:t>
      </w:r>
      <w:r>
        <w:rPr>
          <w:rFonts w:hint="eastAsia"/>
          <w:sz w:val="21"/>
          <w:szCs w:val="21"/>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，实施土建与装修一体化设计施工的面积</w:t>
      </w:r>
      <w:r>
        <w:rPr>
          <w:rFonts w:hint="eastAsia"/>
          <w:sz w:val="21"/>
          <w:szCs w:val="21"/>
          <w:u w:val="single"/>
        </w:rPr>
        <w:t>    4230   </w:t>
      </w:r>
      <w:r>
        <w:rPr>
          <w:rFonts w:hint="eastAsia"/>
          <w:sz w:val="21"/>
          <w:szCs w:val="21"/>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，装修比例</w:t>
      </w:r>
      <w:r>
        <w:rPr>
          <w:rFonts w:hint="eastAsia"/>
          <w:sz w:val="21"/>
          <w:szCs w:val="21"/>
          <w:u w:val="single"/>
        </w:rPr>
        <w:t>   80%    </w:t>
      </w:r>
      <w:r>
        <w:rPr>
          <w:rFonts w:hint="eastAsia"/>
          <w:sz w:val="21"/>
          <w:szCs w:val="21"/>
        </w:rPr>
        <w:t>。</w:t>
      </w:r>
    </w:p>
    <w:p>
      <w:pPr>
        <w:pStyle w:val="11"/>
        <w:spacing w:before="0" w:beforeAutospacing="0" w:after="0" w:afterAutospacing="0"/>
        <w:jc w:val="both"/>
      </w:pPr>
      <w:r>
        <w:rPr>
          <w:rFonts w:hint="eastAsia"/>
          <w:sz w:val="21"/>
          <w:szCs w:val="21"/>
        </w:rPr>
        <w:t>请简要说明项目土建和装修一体化的设计、施工情况。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178"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所谓建筑装饰装修设计施工一体化，就是指在实际建筑施工项目中，借助设</w:t>
            </w:r>
            <w:r>
              <w:rPr>
                <w:rFonts w:hint="eastAsia"/>
                <w:sz w:val="20"/>
                <w:szCs w:val="20"/>
              </w:rPr>
              <w:br w:type="textWrapping"/>
            </w:r>
            <w:r>
              <w:rPr>
                <w:rFonts w:hint="eastAsia"/>
                <w:sz w:val="20"/>
                <w:szCs w:val="20"/>
              </w:rPr>
              <w:t>计和施工体系的合理化分工，将设计工作和施工工作予以互补处理，改善传统施</w:t>
            </w:r>
            <w:r>
              <w:rPr>
                <w:rFonts w:hint="eastAsia"/>
                <w:sz w:val="20"/>
                <w:szCs w:val="20"/>
              </w:rPr>
              <w:br w:type="textWrapping"/>
            </w:r>
            <w:r>
              <w:rPr>
                <w:rFonts w:hint="eastAsia"/>
                <w:sz w:val="20"/>
                <w:szCs w:val="20"/>
              </w:rPr>
              <w:t>工体系内技术交底应用不当的弊端，从根本上协调建筑模式中装饰装修和建筑实</w:t>
            </w:r>
            <w:r>
              <w:rPr>
                <w:rFonts w:hint="eastAsia"/>
                <w:sz w:val="20"/>
                <w:szCs w:val="20"/>
              </w:rPr>
              <w:br w:type="textWrapping"/>
            </w:r>
            <w:r>
              <w:rPr>
                <w:rFonts w:hint="eastAsia"/>
                <w:sz w:val="20"/>
                <w:szCs w:val="20"/>
              </w:rPr>
              <w:t>际结构，一定程度上缩短施工项目的工期，实现资源的合理性利用。1建筑装饰</w:t>
            </w:r>
            <w:r>
              <w:rPr>
                <w:rFonts w:hint="eastAsia"/>
                <w:sz w:val="20"/>
                <w:szCs w:val="20"/>
              </w:rPr>
              <w:br w:type="textWrapping"/>
            </w:r>
            <w:r>
              <w:rPr>
                <w:rFonts w:hint="eastAsia"/>
                <w:sz w:val="20"/>
                <w:szCs w:val="20"/>
              </w:rPr>
              <w:t>装修现状在我国目前建筑行业体系内，建筑装饰装修工作依旧处于粗放型管理机</w:t>
            </w:r>
            <w:r>
              <w:rPr>
                <w:rFonts w:hint="eastAsia"/>
                <w:sz w:val="20"/>
                <w:szCs w:val="20"/>
              </w:rPr>
              <w:br w:type="textWrapping"/>
            </w:r>
            <w:r>
              <w:rPr>
                <w:rFonts w:hint="eastAsia"/>
                <w:sz w:val="20"/>
                <w:szCs w:val="20"/>
              </w:rPr>
              <w:t>制，工程项目体系并没有全面普及动态化控制方案以及信息管理系统</w:t>
            </w:r>
          </w:p>
        </w:tc>
      </w:tr>
    </w:tbl>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）土建、机电各专业竣工图及设计说明；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）装修竣工图及设计说明、材料采购清单、装修施工方案、施工过程控制文件以及验收文件；</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）装修过程和竣工后的影像文件。</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887"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材料采购清单：7结构建材/ 幼儿园工程预算表.xls</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7.2.15合理选用建筑结构材料与构件。（10分）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p>
      <w:pPr>
        <w:pStyle w:val="11"/>
        <w:spacing w:before="0" w:beforeAutospacing="0" w:after="0" w:afterAutospacing="0" w:line="288" w:lineRule="auto"/>
        <w:ind w:left="360" w:hanging="360"/>
        <w:jc w:val="both"/>
        <w:rPr>
          <w:sz w:val="21"/>
          <w:szCs w:val="21"/>
        </w:rPr>
      </w:pPr>
      <w:r>
        <w:rPr>
          <w:rStyle w:val="25"/>
          <w:rFonts w:hint="eastAsia" w:ascii="MS Mincho" w:hAnsi="MS Mincho" w:eastAsia="MS Mincho" w:cs="MS Mincho"/>
          <w:sz w:val="21"/>
          <w:szCs w:val="21"/>
        </w:rPr>
        <w:t>☑</w:t>
      </w:r>
      <w:r>
        <w:rPr>
          <w:rFonts w:ascii="Times New Roman" w:hAnsi="Times New Roman" w:cs="Times New Roman"/>
          <w:sz w:val="14"/>
          <w:szCs w:val="14"/>
        </w:rPr>
        <w:t xml:space="preserve">     </w:t>
      </w:r>
      <w:r>
        <w:rPr>
          <w:rFonts w:hint="eastAsia"/>
          <w:b/>
          <w:bCs/>
          <w:sz w:val="21"/>
          <w:szCs w:val="21"/>
        </w:rPr>
        <w:t>混凝土结构</w:t>
      </w:r>
    </w:p>
    <w:tbl>
      <w:tblPr>
        <w:tblStyle w:val="13"/>
        <w:tblW w:w="7974" w:type="dxa"/>
        <w:jc w:val="center"/>
        <w:tblLayout w:type="autofit"/>
        <w:tblCellMar>
          <w:top w:w="0" w:type="dxa"/>
          <w:left w:w="0" w:type="dxa"/>
          <w:bottom w:w="0" w:type="dxa"/>
          <w:right w:w="0" w:type="dxa"/>
        </w:tblCellMar>
      </w:tblPr>
      <w:tblGrid>
        <w:gridCol w:w="673"/>
        <w:gridCol w:w="4638"/>
        <w:gridCol w:w="1450"/>
        <w:gridCol w:w="1213"/>
      </w:tblGrid>
      <w:tr>
        <w:tblPrEx>
          <w:tblCellMar>
            <w:top w:w="0" w:type="dxa"/>
            <w:left w:w="0" w:type="dxa"/>
            <w:bottom w:w="0" w:type="dxa"/>
            <w:right w:w="0" w:type="dxa"/>
          </w:tblCellMar>
        </w:tblPrEx>
        <w:trPr>
          <w:trHeight w:val="285"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序号</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评价内容</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评价分值</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506"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400MPa</w:t>
            </w:r>
            <w:r>
              <w:rPr>
                <w:rFonts w:hint="eastAsia"/>
                <w:sz w:val="21"/>
                <w:szCs w:val="21"/>
              </w:rPr>
              <w:t>级及以上强度等级钢筋应用比例达到</w:t>
            </w:r>
            <w:r>
              <w:rPr>
                <w:rFonts w:ascii="Times New Roman" w:hAnsi="Times New Roman" w:cs="Times New Roman"/>
                <w:sz w:val="21"/>
                <w:szCs w:val="21"/>
              </w:rPr>
              <w:t>85%</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8"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混凝土竖向承重结构采用强度等级不小于</w:t>
            </w:r>
            <w:r>
              <w:rPr>
                <w:rFonts w:ascii="Times New Roman" w:hAnsi="Times New Roman" w:cs="Times New Roman"/>
                <w:sz w:val="21"/>
                <w:szCs w:val="21"/>
              </w:rPr>
              <w:t>C50</w:t>
            </w:r>
            <w:r>
              <w:rPr>
                <w:rFonts w:hint="eastAsia"/>
                <w:sz w:val="21"/>
                <w:szCs w:val="21"/>
              </w:rPr>
              <w:t>混凝土用量占竖向承重结构中混凝土总量的比例达到</w:t>
            </w:r>
            <w:r>
              <w:rPr>
                <w:rFonts w:ascii="Times New Roman" w:hAnsi="Times New Roman" w:cs="Times New Roman"/>
                <w:sz w:val="21"/>
                <w:szCs w:val="21"/>
              </w:rPr>
              <w:t>50%</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trHeight w:val="298" w:hRule="atLeast"/>
          <w:jc w:val="center"/>
        </w:trPr>
        <w:tc>
          <w:tcPr>
            <w:tcW w:w="4870"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合计</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0" w:beforeAutospacing="0" w:after="0" w:afterAutospacing="0" w:line="288" w:lineRule="auto"/>
        <w:ind w:left="360" w:hanging="360"/>
        <w:jc w:val="both"/>
        <w:rPr>
          <w:sz w:val="21"/>
          <w:szCs w:val="21"/>
        </w:rPr>
      </w:pPr>
      <w:r>
        <w:rPr>
          <w:rStyle w:val="25"/>
          <w:rFonts w:hint="eastAsia"/>
          <w:sz w:val="21"/>
          <w:szCs w:val="21"/>
        </w:rPr>
        <w:t>□</w:t>
      </w:r>
      <w:r>
        <w:rPr>
          <w:rFonts w:ascii="Times New Roman" w:hAnsi="Times New Roman" w:cs="Times New Roman"/>
          <w:sz w:val="14"/>
          <w:szCs w:val="14"/>
        </w:rPr>
        <w:t xml:space="preserve">     </w:t>
      </w:r>
      <w:r>
        <w:rPr>
          <w:rFonts w:hint="eastAsia"/>
          <w:b/>
          <w:bCs/>
          <w:sz w:val="21"/>
          <w:szCs w:val="21"/>
        </w:rPr>
        <w:t>钢结构</w:t>
      </w:r>
    </w:p>
    <w:tbl>
      <w:tblPr>
        <w:tblStyle w:val="13"/>
        <w:tblW w:w="7974" w:type="dxa"/>
        <w:jc w:val="center"/>
        <w:tblLayout w:type="autofit"/>
        <w:tblCellMar>
          <w:top w:w="0" w:type="dxa"/>
          <w:left w:w="0" w:type="dxa"/>
          <w:bottom w:w="0" w:type="dxa"/>
          <w:right w:w="0" w:type="dxa"/>
        </w:tblCellMar>
      </w:tblPr>
      <w:tblGrid>
        <w:gridCol w:w="673"/>
        <w:gridCol w:w="4638"/>
        <w:gridCol w:w="1450"/>
        <w:gridCol w:w="1213"/>
      </w:tblGrid>
      <w:tr>
        <w:tblPrEx>
          <w:tblCellMar>
            <w:top w:w="0" w:type="dxa"/>
            <w:left w:w="0" w:type="dxa"/>
            <w:bottom w:w="0" w:type="dxa"/>
            <w:right w:w="0" w:type="dxa"/>
          </w:tblCellMar>
        </w:tblPrEx>
        <w:trPr>
          <w:trHeight w:val="285"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序号</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评价内容</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评价分值</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506" w:hRule="atLeast"/>
          <w:jc w:val="center"/>
        </w:trPr>
        <w:tc>
          <w:tcPr>
            <w:tcW w:w="61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Q345</w:t>
            </w:r>
            <w:r>
              <w:rPr>
                <w:rFonts w:hint="eastAsia"/>
                <w:sz w:val="21"/>
                <w:szCs w:val="21"/>
              </w:rPr>
              <w:t>及以上高强钢材用量占钢材总量的比例达到</w:t>
            </w:r>
            <w:r>
              <w:rPr>
                <w:rFonts w:ascii="Times New Roman" w:hAnsi="Times New Roman" w:cs="Times New Roman"/>
                <w:sz w:val="21"/>
                <w:szCs w:val="21"/>
              </w:rPr>
              <w:t>50%</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1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8"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Q345</w:t>
            </w:r>
            <w:r>
              <w:rPr>
                <w:rFonts w:hint="eastAsia"/>
                <w:sz w:val="21"/>
                <w:szCs w:val="21"/>
              </w:rPr>
              <w:t>及以上高强钢材用量占钢材总量的比例达到</w:t>
            </w:r>
            <w:r>
              <w:rPr>
                <w:rFonts w:ascii="Times New Roman" w:hAnsi="Times New Roman" w:cs="Times New Roman"/>
                <w:sz w:val="21"/>
                <w:szCs w:val="21"/>
              </w:rPr>
              <w:t>70%</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trHeight w:val="298"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螺栓连接等非现场焊接节点占现场全部连接、拼接节点的数量比例达到</w:t>
            </w:r>
            <w:r>
              <w:rPr>
                <w:rFonts w:ascii="Times New Roman" w:hAnsi="Times New Roman" w:cs="Times New Roman"/>
                <w:sz w:val="21"/>
                <w:szCs w:val="21"/>
              </w:rPr>
              <w:t>50%</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8"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采用施工时免支撑的楼层面板</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8" w:hRule="atLeast"/>
          <w:jc w:val="center"/>
        </w:trPr>
        <w:tc>
          <w:tcPr>
            <w:tcW w:w="4870"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合计</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0" w:beforeAutospacing="0" w:after="0" w:afterAutospacing="0" w:line="288" w:lineRule="auto"/>
        <w:ind w:left="360" w:hanging="360"/>
        <w:jc w:val="both"/>
        <w:rPr>
          <w:sz w:val="21"/>
          <w:szCs w:val="21"/>
        </w:rPr>
      </w:pPr>
      <w:r>
        <w:rPr>
          <w:rStyle w:val="25"/>
          <w:rFonts w:hint="eastAsia"/>
          <w:sz w:val="21"/>
          <w:szCs w:val="21"/>
        </w:rPr>
        <w:t>□</w:t>
      </w:r>
      <w:r>
        <w:rPr>
          <w:rFonts w:ascii="Times New Roman" w:hAnsi="Times New Roman" w:cs="Times New Roman"/>
          <w:sz w:val="14"/>
          <w:szCs w:val="14"/>
        </w:rPr>
        <w:t xml:space="preserve">     </w:t>
      </w:r>
      <w:r>
        <w:rPr>
          <w:rFonts w:hint="eastAsia"/>
          <w:b/>
          <w:bCs/>
          <w:sz w:val="21"/>
          <w:szCs w:val="21"/>
        </w:rPr>
        <w:t>混合结构</w:t>
      </w:r>
    </w:p>
    <w:tbl>
      <w:tblPr>
        <w:tblStyle w:val="13"/>
        <w:tblW w:w="7974" w:type="dxa"/>
        <w:jc w:val="center"/>
        <w:tblLayout w:type="autofit"/>
        <w:tblCellMar>
          <w:top w:w="0" w:type="dxa"/>
          <w:left w:w="0" w:type="dxa"/>
          <w:bottom w:w="0" w:type="dxa"/>
          <w:right w:w="0" w:type="dxa"/>
        </w:tblCellMar>
      </w:tblPr>
      <w:tblGrid>
        <w:gridCol w:w="673"/>
        <w:gridCol w:w="4638"/>
        <w:gridCol w:w="1450"/>
        <w:gridCol w:w="1213"/>
      </w:tblGrid>
      <w:tr>
        <w:tblPrEx>
          <w:tblCellMar>
            <w:top w:w="0" w:type="dxa"/>
            <w:left w:w="0" w:type="dxa"/>
            <w:bottom w:w="0" w:type="dxa"/>
            <w:right w:w="0" w:type="dxa"/>
          </w:tblCellMar>
        </w:tblPrEx>
        <w:trPr>
          <w:trHeight w:val="285"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序号</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评价内容</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评价分值</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506"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混凝土结构部分</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8" w:hRule="atLeast"/>
          <w:jc w:val="center"/>
        </w:trPr>
        <w:tc>
          <w:tcPr>
            <w:tcW w:w="61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03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钢结构部分</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98" w:hRule="atLeast"/>
          <w:jc w:val="center"/>
        </w:trPr>
        <w:tc>
          <w:tcPr>
            <w:tcW w:w="4870"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288" w:lineRule="auto"/>
              <w:jc w:val="center"/>
              <w:rPr>
                <w:sz w:val="21"/>
                <w:szCs w:val="21"/>
              </w:rPr>
            </w:pPr>
            <w:r>
              <w:rPr>
                <w:rFonts w:hint="eastAsia"/>
                <w:sz w:val="21"/>
                <w:szCs w:val="21"/>
              </w:rPr>
              <w:t>合计（取平均值）</w:t>
            </w:r>
          </w:p>
        </w:tc>
        <w:tc>
          <w:tcPr>
            <w:tcW w:w="132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请简要说明建筑结构材料与构件的选用情况。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numPr>
                <w:ilvl w:val="0"/>
                <w:numId w:val="2"/>
              </w:numPr>
              <w:shd w:val="clear" w:color="auto" w:fill="FFFFFF"/>
              <w:spacing w:line="300" w:lineRule="atLeast"/>
              <w:ind w:left="0"/>
              <w:rPr>
                <w:rFonts w:hint="eastAsia" w:ascii="Arial" w:hAnsi="Arial" w:cs="Arial"/>
                <w:color w:val="71777D"/>
                <w:sz w:val="21"/>
                <w:szCs w:val="21"/>
              </w:rPr>
            </w:pPr>
            <w:r>
              <w:rPr>
                <w:rFonts w:ascii="Arial" w:hAnsi="Arial" w:cs="Arial"/>
                <w:color w:val="71777D"/>
                <w:sz w:val="21"/>
                <w:szCs w:val="21"/>
              </w:rPr>
              <w:t>主要有钢筋混凝土框架结构，剪力墙结构、框架剪力墙结构、框架筒体结构和筒体结构。框架筒 …</w:t>
            </w:r>
            <w:r>
              <w:rPr>
                <w:rFonts w:ascii="Arial" w:hAnsi="Arial" w:cs="Arial"/>
                <w:color w:val="71777D"/>
                <w:sz w:val="21"/>
                <w:szCs w:val="21"/>
              </w:rPr>
              <w:br w:type="textWrapping"/>
            </w:r>
            <w:r>
              <w:rPr>
                <w:rFonts w:ascii="Arial" w:hAnsi="Arial" w:cs="Arial"/>
                <w:color w:val="71777D"/>
                <w:sz w:val="21"/>
                <w:szCs w:val="21"/>
              </w:rPr>
              <w:t>由于有框架结构的柱截面较大，不宜家具布置和装修，影响室内使用，以往在住宅建筑中采用较少。结合框架结构特点，在新建住宅中出现了一种异形柱框架轻型住宅结构和短肢剪力墙结构体系。</w:t>
            </w:r>
          </w:p>
          <w:p>
            <w:r>
              <w:rPr>
                <w:rFonts w:ascii="Arial" w:hAnsi="Arial" w:cs="Arial"/>
                <w:color w:val="71777D"/>
                <w:sz w:val="21"/>
                <w:szCs w:val="21"/>
                <w:shd w:val="clear" w:color="auto" w:fill="FFFFFF"/>
              </w:rPr>
              <w:t>框架间的填充墙多采用轻质砌体墙。这些轻质墙体材料种类较多，如非承重黏土空心砖，加气混凝土砌块，空心焦渣混凝土砌块、轻钢龙骨石膏板、石膏空心墙板及多种复合轻质隔墙板。这些轻质墙体起围护和分隔空间的作用，装修时可以开洞或拆除。</w:t>
            </w:r>
            <w:r>
              <w:rPr>
                <w:rFonts w:hint="eastAsia" w:ascii="MS Mincho" w:hAnsi="MS Mincho" w:eastAsia="MS Mincho" w:cs="MS Mincho"/>
                <w:sz w:val="20"/>
                <w:szCs w:val="20"/>
              </w:rPr>
              <w:t>​​</w:t>
            </w:r>
          </w:p>
        </w:tc>
      </w:tr>
    </w:tbl>
    <w:p>
      <w:pPr>
        <w:pStyle w:val="11"/>
        <w:spacing w:before="0" w:beforeAutospacing="0" w:after="0" w:afterAutospacing="0" w:line="288" w:lineRule="auto"/>
        <w:jc w:val="both"/>
        <w:rPr>
          <w:sz w:val="21"/>
          <w:szCs w:val="21"/>
        </w:rPr>
      </w:pPr>
      <w:r>
        <w:rPr>
          <w:rFonts w:ascii="Calibri" w:hAnsi="Calibri"/>
          <w:b/>
          <w:bCs/>
          <w:sz w:val="21"/>
          <w:szCs w:val="21"/>
        </w:rPr>
        <w:t> </w:t>
      </w:r>
    </w:p>
    <w:p>
      <w:pPr>
        <w:pStyle w:val="11"/>
        <w:spacing w:before="0" w:beforeAutospacing="0" w:after="0" w:afterAutospacing="0" w:line="288" w:lineRule="auto"/>
        <w:jc w:val="both"/>
        <w:rPr>
          <w:sz w:val="21"/>
          <w:szCs w:val="21"/>
        </w:rPr>
      </w:pPr>
      <w:r>
        <w:rPr>
          <w:rFonts w:ascii="Calibri" w:hAnsi="Calibri"/>
          <w:b/>
          <w:bCs/>
          <w:sz w:val="21"/>
          <w:szCs w:val="21"/>
        </w:rPr>
        <w:t> </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）结构竣工图及设计说明；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）高强钢筋、高强混凝土、高强钢材、螺栓连接点等材料用量比例计算书、材料决算清单；</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）与免支撑的楼板相关的施工记录文件。</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结构专业图纸及设计说明：7结构建材/ 结构专业图纸及设计说明/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材料决算清单：7结构建材/ 幼儿园工程预算表.xls</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7.2.16 建筑装修选用工业化内装部品。（8分）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7980" w:type="dxa"/>
        <w:jc w:val="center"/>
        <w:tblLayout w:type="autofit"/>
        <w:tblCellMar>
          <w:top w:w="0" w:type="dxa"/>
          <w:left w:w="0" w:type="dxa"/>
          <w:bottom w:w="0" w:type="dxa"/>
          <w:right w:w="0" w:type="dxa"/>
        </w:tblCellMar>
      </w:tblPr>
      <w:tblGrid>
        <w:gridCol w:w="682"/>
        <w:gridCol w:w="4402"/>
        <w:gridCol w:w="1562"/>
        <w:gridCol w:w="1334"/>
      </w:tblGrid>
      <w:tr>
        <w:tblPrEx>
          <w:tblCellMar>
            <w:top w:w="0" w:type="dxa"/>
            <w:left w:w="0" w:type="dxa"/>
            <w:bottom w:w="0" w:type="dxa"/>
            <w:right w:w="0" w:type="dxa"/>
          </w:tblCellMar>
        </w:tblPrEx>
        <w:trPr>
          <w:jc w:val="center"/>
        </w:trPr>
        <w:tc>
          <w:tcPr>
            <w:tcW w:w="46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2536" w:hRule="atLeast"/>
          <w:jc w:val="center"/>
        </w:trPr>
        <w:tc>
          <w:tcPr>
            <w:tcW w:w="46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建筑装修选用工业化内装部品占同类部品用量比例达到</w:t>
            </w:r>
            <w:r>
              <w:rPr>
                <w:rFonts w:ascii="Times New Roman" w:hAnsi="Times New Roman" w:cs="Times New Roman"/>
                <w:sz w:val="21"/>
                <w:szCs w:val="21"/>
              </w:rPr>
              <w:t>50%</w:t>
            </w:r>
            <w:r>
              <w:rPr>
                <w:rFonts w:hint="eastAsia"/>
                <w:sz w:val="21"/>
                <w:szCs w:val="21"/>
              </w:rPr>
              <w:t>以上的部品种类，达到</w:t>
            </w:r>
            <w:r>
              <w:rPr>
                <w:rFonts w:ascii="Times New Roman" w:hAnsi="Times New Roman" w:cs="Times New Roman"/>
                <w:sz w:val="21"/>
                <w:szCs w:val="21"/>
              </w:rPr>
              <w:t>1</w:t>
            </w:r>
            <w:r>
              <w:rPr>
                <w:rFonts w:hint="eastAsia"/>
                <w:sz w:val="21"/>
                <w:szCs w:val="21"/>
              </w:rPr>
              <w:t>种，得</w:t>
            </w:r>
            <w:r>
              <w:rPr>
                <w:rFonts w:ascii="Times New Roman" w:hAnsi="Times New Roman" w:cs="Times New Roman"/>
                <w:sz w:val="21"/>
                <w:szCs w:val="21"/>
              </w:rPr>
              <w:t>3</w:t>
            </w:r>
            <w:r>
              <w:rPr>
                <w:rFonts w:hint="eastAsia"/>
                <w:sz w:val="21"/>
                <w:szCs w:val="21"/>
              </w:rPr>
              <w:t>分；达到</w:t>
            </w:r>
            <w:r>
              <w:rPr>
                <w:rFonts w:ascii="Times New Roman" w:hAnsi="Times New Roman" w:cs="Times New Roman"/>
                <w:sz w:val="21"/>
                <w:szCs w:val="21"/>
              </w:rPr>
              <w:t>3</w:t>
            </w:r>
            <w:r>
              <w:rPr>
                <w:rFonts w:hint="eastAsia"/>
                <w:sz w:val="21"/>
                <w:szCs w:val="21"/>
              </w:rPr>
              <w:t>种，得</w:t>
            </w:r>
            <w:r>
              <w:rPr>
                <w:rFonts w:ascii="Times New Roman" w:hAnsi="Times New Roman" w:cs="Times New Roman"/>
                <w:sz w:val="21"/>
                <w:szCs w:val="21"/>
              </w:rPr>
              <w:t>5</w:t>
            </w:r>
            <w:r>
              <w:rPr>
                <w:rFonts w:hint="eastAsia"/>
                <w:sz w:val="21"/>
                <w:szCs w:val="21"/>
              </w:rPr>
              <w:t>分；达到</w:t>
            </w:r>
            <w:r>
              <w:rPr>
                <w:rFonts w:ascii="Times New Roman" w:hAnsi="Times New Roman" w:cs="Times New Roman"/>
                <w:sz w:val="21"/>
                <w:szCs w:val="21"/>
              </w:rPr>
              <w:t>3</w:t>
            </w:r>
            <w:r>
              <w:rPr>
                <w:rFonts w:hint="eastAsia"/>
                <w:sz w:val="21"/>
                <w:szCs w:val="21"/>
              </w:rPr>
              <w:t>种以上，得</w:t>
            </w:r>
            <w:r>
              <w:rPr>
                <w:rFonts w:ascii="Times New Roman" w:hAnsi="Times New Roman" w:cs="Times New Roman"/>
                <w:sz w:val="21"/>
                <w:szCs w:val="21"/>
              </w:rPr>
              <w:t>8</w:t>
            </w:r>
            <w:r>
              <w:rPr>
                <w:rFonts w:hint="eastAsia"/>
                <w:sz w:val="21"/>
                <w:szCs w:val="21"/>
              </w:rPr>
              <w:t>分：</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整体卫浴</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整体厨房</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装配式吊顶</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干式工法地面</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装配式内墙</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管线集成与设备设施</w:t>
            </w:r>
          </w:p>
          <w:p>
            <w:pPr>
              <w:pStyle w:val="11"/>
              <w:spacing w:before="0" w:beforeAutospacing="0" w:after="0" w:afterAutospacing="0"/>
            </w:pPr>
            <w:r>
              <w:rPr>
                <w:rStyle w:val="25"/>
                <w:rFonts w:hint="eastAsia" w:ascii="MS Mincho" w:hAnsi="MS Mincho" w:eastAsia="MS Mincho" w:cs="MS Mincho"/>
                <w:sz w:val="28"/>
                <w:szCs w:val="28"/>
              </w:rPr>
              <w:t>☐</w:t>
            </w:r>
            <w:r>
              <w:rPr>
                <w:rFonts w:hint="eastAsia"/>
                <w:sz w:val="21"/>
                <w:szCs w:val="21"/>
              </w:rPr>
              <w:t>其他：</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3~8</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5</w:t>
            </w:r>
          </w:p>
        </w:tc>
      </w:tr>
      <w:tr>
        <w:tblPrEx>
          <w:tblCellMar>
            <w:top w:w="0" w:type="dxa"/>
            <w:left w:w="0" w:type="dxa"/>
            <w:bottom w:w="0" w:type="dxa"/>
            <w:right w:w="0" w:type="dxa"/>
          </w:tblCellMar>
        </w:tblPrEx>
        <w:trPr>
          <w:jc w:val="center"/>
        </w:trPr>
        <w:tc>
          <w:tcPr>
            <w:tcW w:w="4859"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5</w:t>
            </w:r>
          </w:p>
        </w:tc>
      </w:tr>
      <w:tr>
        <w:tblPrEx>
          <w:tblCellMar>
            <w:top w:w="0" w:type="dxa"/>
            <w:left w:w="0" w:type="dxa"/>
            <w:bottom w:w="0" w:type="dxa"/>
            <w:right w:w="0" w:type="dxa"/>
          </w:tblCellMar>
        </w:tblPrEx>
        <w:trPr>
          <w:jc w:val="center"/>
        </w:trPr>
        <w:tc>
          <w:tcPr>
            <w:tcW w:w="681" w:type="dxa"/>
            <w:tcBorders>
              <w:top w:val="nil"/>
              <w:left w:val="nil"/>
              <w:bottom w:val="nil"/>
              <w:right w:val="nil"/>
            </w:tcBorders>
            <w:noWrap w:val="0"/>
            <w:vAlign w:val="center"/>
          </w:tcPr>
          <w:p>
            <w:pPr>
              <w:rPr>
                <w:sz w:val="1"/>
              </w:rPr>
            </w:pPr>
          </w:p>
        </w:tc>
        <w:tc>
          <w:tcPr>
            <w:tcW w:w="4394"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331"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请简要说明本项目装修采用工业化内装部品的情况。</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numPr>
                <w:ilvl w:val="0"/>
                <w:numId w:val="3"/>
              </w:numPr>
              <w:shd w:val="clear" w:color="auto" w:fill="FFFFFF"/>
              <w:spacing w:line="300" w:lineRule="atLeast"/>
              <w:ind w:left="0"/>
              <w:rPr>
                <w:rFonts w:hint="eastAsia" w:ascii="Arial" w:hAnsi="Arial" w:cs="Arial"/>
                <w:color w:val="71777D"/>
                <w:sz w:val="21"/>
                <w:szCs w:val="21"/>
              </w:rPr>
            </w:pPr>
            <w:r>
              <w:rPr>
                <w:rFonts w:ascii="Arial" w:hAnsi="Arial" w:cs="Arial"/>
                <w:color w:val="71777D"/>
                <w:sz w:val="21"/>
                <w:szCs w:val="21"/>
              </w:rPr>
              <w:t>住房和城乡建设部关于发布行业标准 《装配式内装修技术标准》的公告</w:t>
            </w:r>
            <w:r>
              <w:rPr>
                <w:rFonts w:ascii="Arial" w:hAnsi="Arial" w:cs="Arial"/>
                <w:color w:val="71777D"/>
                <w:sz w:val="21"/>
                <w:szCs w:val="21"/>
              </w:rPr>
              <w:br w:type="textWrapping"/>
            </w:r>
            <w:r>
              <w:rPr>
                <w:rFonts w:ascii="Arial" w:hAnsi="Arial" w:cs="Arial"/>
                <w:color w:val="71777D"/>
                <w:sz w:val="21"/>
                <w:szCs w:val="21"/>
              </w:rPr>
              <w:t>现批准《装配式内装修技术标准》为行业标准，编号为JGJ/T491-2021，自2021年10月1日起实施。</w:t>
            </w:r>
          </w:p>
          <w:p>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）建筑、装修竣工图及设计说明；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）工业化内装部品应用情况报告，应包含部品类型、用量及比例计算书。</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装修设计图纸及设计说明：3建筑设计/ 装修设计图纸及设计说明/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建筑设计图纸及设计说明：3建筑设计/ 建筑设计图纸及设计说明/</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7.2.17 选用可再循环材料、可再利用材料及利废建材。（12分）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p>
      <w:pPr>
        <w:pStyle w:val="11"/>
        <w:spacing w:before="0" w:beforeAutospacing="0" w:after="0" w:afterAutospacing="0" w:line="288" w:lineRule="auto"/>
        <w:jc w:val="both"/>
        <w:rPr>
          <w:sz w:val="21"/>
          <w:szCs w:val="21"/>
        </w:rPr>
      </w:pPr>
      <w:r>
        <w:rPr>
          <w:rFonts w:hint="eastAsia"/>
          <w:sz w:val="21"/>
          <w:szCs w:val="21"/>
        </w:rPr>
        <w:t>可再循环材料和可再利用材料用量比例</w:t>
      </w:r>
    </w:p>
    <w:tbl>
      <w:tblPr>
        <w:tblStyle w:val="13"/>
        <w:tblW w:w="7993" w:type="dxa"/>
        <w:jc w:val="center"/>
        <w:tblLayout w:type="autofit"/>
        <w:tblCellMar>
          <w:top w:w="0" w:type="dxa"/>
          <w:left w:w="0" w:type="dxa"/>
          <w:bottom w:w="0" w:type="dxa"/>
          <w:right w:w="0" w:type="dxa"/>
        </w:tblCellMar>
      </w:tblPr>
      <w:tblGrid>
        <w:gridCol w:w="731"/>
        <w:gridCol w:w="1988"/>
        <w:gridCol w:w="2415"/>
        <w:gridCol w:w="1562"/>
        <w:gridCol w:w="1297"/>
      </w:tblGrid>
      <w:tr>
        <w:tblPrEx>
          <w:tblCellMar>
            <w:top w:w="0" w:type="dxa"/>
            <w:left w:w="0" w:type="dxa"/>
            <w:bottom w:w="0" w:type="dxa"/>
            <w:right w:w="0" w:type="dxa"/>
          </w:tblCellMar>
        </w:tblPrEx>
        <w:trPr>
          <w:jc w:val="center"/>
        </w:trPr>
        <w:tc>
          <w:tcPr>
            <w:tcW w:w="51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07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176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建筑类别</w:t>
            </w:r>
          </w:p>
        </w:tc>
        <w:tc>
          <w:tcPr>
            <w:tcW w:w="2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51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76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住宅建筑</w:t>
            </w:r>
          </w:p>
        </w:tc>
        <w:tc>
          <w:tcPr>
            <w:tcW w:w="2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51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76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公共建筑</w:t>
            </w:r>
          </w:p>
        </w:tc>
        <w:tc>
          <w:tcPr>
            <w:tcW w:w="2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c>
          <w:tcPr>
            <w:tcW w:w="2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4908"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07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jc w:val="center"/>
        </w:trPr>
        <w:tc>
          <w:tcPr>
            <w:tcW w:w="730" w:type="dxa"/>
            <w:tcBorders>
              <w:top w:val="nil"/>
              <w:left w:val="nil"/>
              <w:bottom w:val="nil"/>
              <w:right w:val="nil"/>
            </w:tcBorders>
            <w:noWrap w:val="0"/>
            <w:vAlign w:val="center"/>
          </w:tcPr>
          <w:p>
            <w:pPr>
              <w:rPr>
                <w:sz w:val="1"/>
              </w:rPr>
            </w:pPr>
          </w:p>
        </w:tc>
        <w:tc>
          <w:tcPr>
            <w:tcW w:w="1984" w:type="dxa"/>
            <w:tcBorders>
              <w:top w:val="nil"/>
              <w:left w:val="nil"/>
              <w:bottom w:val="nil"/>
              <w:right w:val="nil"/>
            </w:tcBorders>
            <w:noWrap w:val="0"/>
            <w:vAlign w:val="center"/>
          </w:tcPr>
          <w:p>
            <w:pPr>
              <w:rPr>
                <w:sz w:val="1"/>
              </w:rPr>
            </w:pPr>
          </w:p>
        </w:tc>
        <w:tc>
          <w:tcPr>
            <w:tcW w:w="2410"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295" w:type="dxa"/>
            <w:tcBorders>
              <w:top w:val="nil"/>
              <w:left w:val="nil"/>
              <w:bottom w:val="nil"/>
              <w:right w:val="nil"/>
            </w:tcBorders>
            <w:noWrap w:val="0"/>
            <w:vAlign w:val="center"/>
          </w:tcPr>
          <w:p>
            <w:pPr>
              <w:rPr>
                <w:sz w:val="1"/>
              </w:rPr>
            </w:pPr>
          </w:p>
        </w:tc>
      </w:tr>
    </w:tbl>
    <w:p>
      <w:pPr>
        <w:pStyle w:val="11"/>
        <w:spacing w:before="0" w:beforeAutospacing="0" w:after="0" w:afterAutospacing="0" w:line="288" w:lineRule="auto"/>
        <w:jc w:val="both"/>
        <w:rPr>
          <w:sz w:val="21"/>
          <w:szCs w:val="21"/>
        </w:rPr>
      </w:pPr>
      <w:r>
        <w:rPr>
          <w:rFonts w:hint="eastAsia"/>
          <w:sz w:val="21"/>
          <w:szCs w:val="21"/>
        </w:rPr>
        <w:t>利废材料选用</w:t>
      </w:r>
    </w:p>
    <w:tbl>
      <w:tblPr>
        <w:tblStyle w:val="13"/>
        <w:tblW w:w="7980" w:type="dxa"/>
        <w:jc w:val="center"/>
        <w:tblLayout w:type="autofit"/>
        <w:tblCellMar>
          <w:top w:w="0" w:type="dxa"/>
          <w:left w:w="0" w:type="dxa"/>
          <w:bottom w:w="0" w:type="dxa"/>
          <w:right w:w="0" w:type="dxa"/>
        </w:tblCellMar>
      </w:tblPr>
      <w:tblGrid>
        <w:gridCol w:w="682"/>
        <w:gridCol w:w="4402"/>
        <w:gridCol w:w="1562"/>
        <w:gridCol w:w="1334"/>
      </w:tblGrid>
      <w:tr>
        <w:tblPrEx>
          <w:tblCellMar>
            <w:top w:w="0" w:type="dxa"/>
            <w:left w:w="0" w:type="dxa"/>
            <w:bottom w:w="0" w:type="dxa"/>
            <w:right w:w="0" w:type="dxa"/>
          </w:tblCellMar>
        </w:tblPrEx>
        <w:trPr>
          <w:jc w:val="center"/>
        </w:trPr>
        <w:tc>
          <w:tcPr>
            <w:tcW w:w="46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trHeight w:val="516" w:hRule="atLeast"/>
          <w:jc w:val="center"/>
        </w:trPr>
        <w:tc>
          <w:tcPr>
            <w:tcW w:w="46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采用一种利废建材，其占同类建材的用量比例不低于</w:t>
            </w:r>
            <w:r>
              <w:rPr>
                <w:rFonts w:ascii="Times New Roman" w:hAnsi="Times New Roman" w:cs="Times New Roman"/>
                <w:sz w:val="21"/>
                <w:szCs w:val="21"/>
              </w:rPr>
              <w:t>50%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p>
        </w:tc>
      </w:tr>
      <w:tr>
        <w:tblPrEx>
          <w:tblCellMar>
            <w:top w:w="0" w:type="dxa"/>
            <w:left w:w="0" w:type="dxa"/>
            <w:bottom w:w="0" w:type="dxa"/>
            <w:right w:w="0" w:type="dxa"/>
          </w:tblCellMar>
        </w:tblPrEx>
        <w:trPr>
          <w:trHeight w:val="327" w:hRule="atLeast"/>
          <w:jc w:val="center"/>
        </w:trPr>
        <w:tc>
          <w:tcPr>
            <w:tcW w:w="46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采用二种及以上的利废建材，每一种占同类建材的用量比例均不低于</w:t>
            </w:r>
            <w:r>
              <w:rPr>
                <w:rFonts w:ascii="Times New Roman" w:hAnsi="Times New Roman" w:cs="Times New Roman"/>
                <w:sz w:val="21"/>
                <w:szCs w:val="21"/>
              </w:rPr>
              <w:t>30%</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859"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11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681" w:type="dxa"/>
            <w:tcBorders>
              <w:top w:val="nil"/>
              <w:left w:val="nil"/>
              <w:bottom w:val="nil"/>
              <w:right w:val="nil"/>
            </w:tcBorders>
            <w:noWrap w:val="0"/>
            <w:vAlign w:val="center"/>
          </w:tcPr>
          <w:p>
            <w:pPr>
              <w:rPr>
                <w:sz w:val="1"/>
              </w:rPr>
            </w:pPr>
          </w:p>
        </w:tc>
        <w:tc>
          <w:tcPr>
            <w:tcW w:w="4394"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331" w:type="dxa"/>
            <w:tcBorders>
              <w:top w:val="nil"/>
              <w:left w:val="nil"/>
              <w:bottom w:val="nil"/>
              <w:right w:val="nil"/>
            </w:tcBorders>
            <w:noWrap w:val="0"/>
            <w:vAlign w:val="center"/>
          </w:tcPr>
          <w:p>
            <w:pPr>
              <w:rPr>
                <w:sz w:val="1"/>
              </w:rPr>
            </w:pPr>
          </w:p>
        </w:tc>
      </w:tr>
    </w:tbl>
    <w:p>
      <w:pPr>
        <w:pStyle w:val="11"/>
        <w:spacing w:before="0" w:beforeAutospacing="0" w:after="0" w:afterAutospacing="0" w:line="288" w:lineRule="auto"/>
        <w:jc w:val="both"/>
        <w:rPr>
          <w:sz w:val="21"/>
          <w:szCs w:val="21"/>
        </w:rPr>
      </w:pPr>
      <w:r>
        <w:rPr>
          <w:rFonts w:hint="eastAsia"/>
          <w:sz w:val="21"/>
          <w:szCs w:val="21"/>
        </w:rPr>
        <w:t>本条自评总得分：</w:t>
      </w:r>
      <w:r>
        <w:rPr>
          <w:rFonts w:hint="eastAsia"/>
          <w:sz w:val="21"/>
          <w:szCs w:val="21"/>
          <w:u w:val="single"/>
        </w:rPr>
        <w:t>  </w:t>
      </w:r>
      <w:r>
        <w:rPr>
          <w:rFonts w:hint="eastAsia"/>
          <w:sz w:val="21"/>
          <w:szCs w:val="21"/>
        </w:rPr>
        <w:t>。</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1</w:t>
      </w:r>
      <w:r>
        <w:rPr>
          <w:rFonts w:hint="eastAsia"/>
          <w:sz w:val="21"/>
          <w:szCs w:val="21"/>
        </w:rPr>
        <w:t>）建筑可循环材料使用重量：</w:t>
      </w:r>
      <w:r>
        <w:rPr>
          <w:rFonts w:hint="eastAsia"/>
          <w:sz w:val="21"/>
          <w:szCs w:val="21"/>
          <w:u w:val="single"/>
        </w:rPr>
        <w:t xml:space="preserve">     15    </w:t>
      </w:r>
      <w:r>
        <w:rPr>
          <w:rFonts w:hint="eastAsia"/>
          <w:sz w:val="21"/>
          <w:szCs w:val="21"/>
        </w:rPr>
        <w:t>（吨）；建筑可再利用材料使用重量：</w:t>
      </w:r>
      <w:r>
        <w:rPr>
          <w:rFonts w:hint="eastAsia"/>
          <w:sz w:val="21"/>
          <w:szCs w:val="21"/>
          <w:u w:val="single"/>
        </w:rPr>
        <w:t>   15  </w:t>
      </w:r>
      <w:r>
        <w:rPr>
          <w:rFonts w:hint="eastAsia"/>
          <w:sz w:val="21"/>
          <w:szCs w:val="21"/>
        </w:rPr>
        <w:t>（吨）；本项目所有建筑材料总重量：</w:t>
      </w:r>
      <w:r>
        <w:rPr>
          <w:rFonts w:hint="eastAsia"/>
          <w:sz w:val="21"/>
          <w:szCs w:val="21"/>
          <w:u w:val="single"/>
        </w:rPr>
        <w:t xml:space="preserve">   60      </w:t>
      </w:r>
      <w:r>
        <w:rPr>
          <w:rFonts w:hint="eastAsia"/>
          <w:sz w:val="21"/>
          <w:szCs w:val="21"/>
        </w:rPr>
        <w:t>（吨）；可再利用材料和可再循环材料使用重量占所有建筑材料总重量的比例：</w:t>
      </w:r>
      <w:r>
        <w:rPr>
          <w:rFonts w:hint="eastAsia"/>
          <w:sz w:val="21"/>
          <w:szCs w:val="21"/>
          <w:u w:val="single"/>
        </w:rPr>
        <w:t xml:space="preserve">    50    </w:t>
      </w:r>
      <w:r>
        <w:rPr>
          <w:rFonts w:ascii="Times New Roman" w:hAnsi="Times New Roman" w:cs="Times New Roman"/>
          <w:sz w:val="21"/>
          <w:szCs w:val="21"/>
        </w:rPr>
        <w:t>%</w:t>
      </w:r>
      <w:r>
        <w:rPr>
          <w:rFonts w:hint="eastAsia"/>
          <w:sz w:val="21"/>
          <w:szCs w:val="21"/>
        </w:rPr>
        <w:t>。</w:t>
      </w:r>
    </w:p>
    <w:p>
      <w:pPr>
        <w:pStyle w:val="11"/>
        <w:spacing w:before="0" w:beforeAutospacing="0" w:after="0" w:afterAutospacing="0"/>
      </w:pPr>
      <w:r>
        <w:rPr>
          <w:rFonts w:ascii="Times New Roman" w:hAnsi="Times New Roman" w:cs="Times New Roman"/>
          <w:sz w:val="21"/>
          <w:szCs w:val="21"/>
        </w:rPr>
        <w:t>2</w:t>
      </w:r>
      <w:r>
        <w:rPr>
          <w:rFonts w:hint="eastAsia"/>
          <w:sz w:val="21"/>
          <w:szCs w:val="21"/>
        </w:rPr>
        <w:t>）以废弃物为原料生产的建筑材料选用情况：</w:t>
      </w:r>
    </w:p>
    <w:tbl>
      <w:tblPr>
        <w:tblStyle w:val="13"/>
        <w:tblW w:w="4061" w:type="pct"/>
        <w:jc w:val="center"/>
        <w:tblLayout w:type="autofit"/>
        <w:tblCellMar>
          <w:top w:w="0" w:type="dxa"/>
          <w:left w:w="0" w:type="dxa"/>
          <w:bottom w:w="0" w:type="dxa"/>
          <w:right w:w="0" w:type="dxa"/>
        </w:tblCellMar>
      </w:tblPr>
      <w:tblGrid>
        <w:gridCol w:w="1131"/>
        <w:gridCol w:w="1591"/>
        <w:gridCol w:w="1591"/>
        <w:gridCol w:w="1346"/>
        <w:gridCol w:w="1251"/>
      </w:tblGrid>
      <w:tr>
        <w:tblPrEx>
          <w:tblCellMar>
            <w:top w:w="0" w:type="dxa"/>
            <w:left w:w="0" w:type="dxa"/>
            <w:bottom w:w="0" w:type="dxa"/>
            <w:right w:w="0" w:type="dxa"/>
          </w:tblCellMar>
        </w:tblPrEx>
        <w:trPr>
          <w:trHeight w:val="121" w:hRule="atLeast"/>
          <w:jc w:val="center"/>
        </w:trPr>
        <w:tc>
          <w:tcPr>
            <w:tcW w:w="8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120" w:beforeAutospacing="0" w:after="0" w:afterAutospacing="0" w:line="121" w:lineRule="atLeast"/>
              <w:jc w:val="center"/>
            </w:pPr>
            <w:r>
              <w:rPr>
                <w:rFonts w:hint="eastAsia"/>
                <w:sz w:val="21"/>
                <w:szCs w:val="21"/>
              </w:rPr>
              <w:t>使用部位</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120" w:beforeAutospacing="0" w:after="0" w:afterAutospacing="0" w:line="121" w:lineRule="atLeast"/>
              <w:jc w:val="center"/>
            </w:pPr>
            <w:r>
              <w:rPr>
                <w:rFonts w:hint="eastAsia"/>
                <w:sz w:val="21"/>
                <w:szCs w:val="21"/>
              </w:rPr>
              <w:t>材料名称</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120" w:beforeAutospacing="0" w:after="0" w:afterAutospacing="0" w:line="121" w:lineRule="atLeast"/>
              <w:jc w:val="center"/>
            </w:pPr>
            <w:r>
              <w:rPr>
                <w:rFonts w:hint="eastAsia"/>
                <w:sz w:val="21"/>
                <w:szCs w:val="21"/>
              </w:rPr>
              <w:t>废弃物名称</w:t>
            </w:r>
          </w:p>
        </w:tc>
        <w:tc>
          <w:tcPr>
            <w:tcW w:w="9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120" w:beforeAutospacing="0" w:after="0" w:afterAutospacing="0" w:line="121" w:lineRule="atLeast"/>
              <w:jc w:val="center"/>
            </w:pPr>
            <w:r>
              <w:rPr>
                <w:rFonts w:hint="eastAsia"/>
                <w:sz w:val="21"/>
                <w:szCs w:val="21"/>
              </w:rPr>
              <w:t>用量（</w:t>
            </w:r>
            <w:r>
              <w:rPr>
                <w:rFonts w:ascii="Times New Roman" w:hAnsi="Times New Roman" w:cs="Times New Roman"/>
                <w:sz w:val="21"/>
                <w:szCs w:val="21"/>
              </w:rPr>
              <w:t>kg</w:t>
            </w:r>
            <w:r>
              <w:rPr>
                <w:rFonts w:hint="eastAsia"/>
                <w:sz w:val="21"/>
                <w:szCs w:val="21"/>
              </w:rPr>
              <w:t>）</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21" w:lineRule="atLeast"/>
              <w:jc w:val="center"/>
            </w:pPr>
            <w:r>
              <w:rPr>
                <w:rFonts w:hint="eastAsia"/>
                <w:sz w:val="21"/>
                <w:szCs w:val="21"/>
              </w:rPr>
              <w:t>占同类建材的比例</w:t>
            </w:r>
          </w:p>
        </w:tc>
      </w:tr>
      <w:tr>
        <w:tblPrEx>
          <w:tblCellMar>
            <w:top w:w="0" w:type="dxa"/>
            <w:left w:w="0" w:type="dxa"/>
            <w:bottom w:w="0" w:type="dxa"/>
            <w:right w:w="0" w:type="dxa"/>
          </w:tblCellMar>
        </w:tblPrEx>
        <w:trPr>
          <w:trHeight w:val="54" w:hRule="atLeast"/>
          <w:jc w:val="center"/>
        </w:trPr>
        <w:tc>
          <w:tcPr>
            <w:tcW w:w="8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54" w:lineRule="atLeast"/>
              <w:jc w:val="center"/>
            </w:pPr>
            <w:r>
              <w:rPr>
                <w:rFonts w:ascii="Times New Roman" w:hAnsi="Times New Roman" w:cs="Times New Roman"/>
                <w:sz w:val="21"/>
                <w:szCs w:val="21"/>
              </w:rPr>
              <w:t> </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54" w:lineRule="atLeast"/>
              <w:jc w:val="center"/>
            </w:pPr>
            <w:r>
              <w:rPr>
                <w:rFonts w:ascii="Times New Roman" w:hAnsi="Times New Roman" w:cs="Times New Roman"/>
                <w:sz w:val="21"/>
                <w:szCs w:val="21"/>
              </w:rPr>
              <w:t> </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54" w:lineRule="atLeast"/>
              <w:jc w:val="center"/>
            </w:pPr>
            <w:r>
              <w:rPr>
                <w:rFonts w:ascii="Times New Roman" w:hAnsi="Times New Roman" w:cs="Times New Roman"/>
                <w:sz w:val="21"/>
                <w:szCs w:val="21"/>
              </w:rPr>
              <w:t> </w:t>
            </w:r>
          </w:p>
        </w:tc>
        <w:tc>
          <w:tcPr>
            <w:tcW w:w="9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54" w:lineRule="atLeast"/>
              <w:jc w:val="center"/>
            </w:pPr>
            <w:r>
              <w:rPr>
                <w:rFonts w:ascii="Times New Roman" w:hAnsi="Times New Roman" w:cs="Times New Roman"/>
                <w:sz w:val="21"/>
                <w:szCs w:val="21"/>
              </w:rPr>
              <w:t> </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54" w:lineRule="atLeast"/>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8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9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818"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97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120" w:beforeAutospacing="0" w:after="0" w:afterAutospacing="0" w:line="400" w:lineRule="atLeast"/>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）建筑专业的竣工图及设计说明；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）工程材料决算清单；</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）可再循环材料和可再利用材料用量计算书、利废材料选用计算书、利废材料产品检测报告。</w:t>
      </w:r>
    </w:p>
    <w:p>
      <w:pPr>
        <w:pStyle w:val="11"/>
        <w:spacing w:before="0" w:beforeAutospacing="0" w:after="0" w:afterAutospacing="0"/>
      </w:pPr>
      <w:r>
        <w:br w:type="page"/>
      </w: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建筑设计图纸及设计说明：3建筑设计/ 建筑设计图纸及设计说明/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材料决算清单：7结构建材/ 幼儿园工程预算表.xls</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7.2.18选用绿色建材。（12分）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8421" w:type="dxa"/>
        <w:jc w:val="center"/>
        <w:tblLayout w:type="autofit"/>
        <w:tblCellMar>
          <w:top w:w="0" w:type="dxa"/>
          <w:left w:w="0" w:type="dxa"/>
          <w:bottom w:w="0" w:type="dxa"/>
          <w:right w:w="0" w:type="dxa"/>
        </w:tblCellMar>
      </w:tblPr>
      <w:tblGrid>
        <w:gridCol w:w="1179"/>
        <w:gridCol w:w="3983"/>
        <w:gridCol w:w="1846"/>
        <w:gridCol w:w="1413"/>
      </w:tblGrid>
      <w:tr>
        <w:tblPrEx>
          <w:tblCellMar>
            <w:top w:w="0" w:type="dxa"/>
            <w:left w:w="0" w:type="dxa"/>
            <w:bottom w:w="0" w:type="dxa"/>
            <w:right w:w="0" w:type="dxa"/>
          </w:tblCellMar>
        </w:tblPrEx>
        <w:trPr>
          <w:jc w:val="center"/>
        </w:trPr>
        <w:tc>
          <w:tcPr>
            <w:tcW w:w="9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序号</w:t>
            </w:r>
          </w:p>
        </w:tc>
        <w:tc>
          <w:tcPr>
            <w:tcW w:w="3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评价内容</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评价分值</w:t>
            </w:r>
          </w:p>
        </w:tc>
        <w:tc>
          <w:tcPr>
            <w:tcW w:w="1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自评得分</w:t>
            </w:r>
          </w:p>
        </w:tc>
      </w:tr>
      <w:tr>
        <w:tblPrEx>
          <w:tblCellMar>
            <w:top w:w="0" w:type="dxa"/>
            <w:left w:w="0" w:type="dxa"/>
            <w:bottom w:w="0" w:type="dxa"/>
            <w:right w:w="0" w:type="dxa"/>
          </w:tblCellMar>
        </w:tblPrEx>
        <w:trPr>
          <w:jc w:val="center"/>
        </w:trPr>
        <w:tc>
          <w:tcPr>
            <w:tcW w:w="9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1</w:t>
            </w:r>
          </w:p>
        </w:tc>
        <w:tc>
          <w:tcPr>
            <w:tcW w:w="3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绿色建材应用比例不低于</w:t>
            </w:r>
            <w:r>
              <w:rPr>
                <w:rFonts w:ascii="Calibri" w:hAnsi="Calibri"/>
                <w:sz w:val="21"/>
                <w:szCs w:val="21"/>
              </w:rPr>
              <w:t>30%</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4</w:t>
            </w:r>
          </w:p>
        </w:tc>
        <w:tc>
          <w:tcPr>
            <w:tcW w:w="119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eastAsia="zh-CN"/>
              </w:rPr>
            </w:pPr>
            <w:r>
              <w:rPr>
                <w:rFonts w:hint="eastAsia" w:ascii="Times New Roman" w:hAnsi="Times New Roman" w:eastAsia="宋体" w:cs="Times New Roman"/>
                <w:sz w:val="21"/>
                <w:szCs w:val="21"/>
                <w:lang w:val="en-US" w:eastAsia="zh-CN"/>
              </w:rPr>
              <w:t>8</w:t>
            </w:r>
          </w:p>
        </w:tc>
      </w:tr>
      <w:tr>
        <w:tblPrEx>
          <w:tblCellMar>
            <w:top w:w="0" w:type="dxa"/>
            <w:left w:w="0" w:type="dxa"/>
            <w:bottom w:w="0" w:type="dxa"/>
            <w:right w:w="0" w:type="dxa"/>
          </w:tblCellMar>
        </w:tblPrEx>
        <w:trPr>
          <w:jc w:val="center"/>
        </w:trPr>
        <w:tc>
          <w:tcPr>
            <w:tcW w:w="9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2</w:t>
            </w:r>
          </w:p>
        </w:tc>
        <w:tc>
          <w:tcPr>
            <w:tcW w:w="3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绿色建材应用比例不低于</w:t>
            </w:r>
            <w:r>
              <w:rPr>
                <w:rFonts w:ascii="Calibri" w:hAnsi="Calibri"/>
                <w:sz w:val="21"/>
                <w:szCs w:val="21"/>
              </w:rPr>
              <w:t>50%</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8</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96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3</w:t>
            </w:r>
          </w:p>
        </w:tc>
        <w:tc>
          <w:tcPr>
            <w:tcW w:w="37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rPr>
                <w:sz w:val="21"/>
                <w:szCs w:val="21"/>
              </w:rPr>
            </w:pPr>
            <w:r>
              <w:rPr>
                <w:rFonts w:hint="eastAsia"/>
                <w:sz w:val="21"/>
                <w:szCs w:val="21"/>
              </w:rPr>
              <w:t>绿色建材应用比例不低于</w:t>
            </w:r>
            <w:r>
              <w:rPr>
                <w:rFonts w:ascii="Calibri" w:hAnsi="Calibri"/>
                <w:sz w:val="21"/>
                <w:szCs w:val="21"/>
              </w:rPr>
              <w:t>70%</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12</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rPr>
                <w:sz w:val="21"/>
                <w:szCs w:val="21"/>
              </w:rPr>
            </w:pPr>
          </w:p>
        </w:tc>
      </w:tr>
      <w:tr>
        <w:tblPrEx>
          <w:tblCellMar>
            <w:top w:w="0" w:type="dxa"/>
            <w:left w:w="0" w:type="dxa"/>
            <w:bottom w:w="0" w:type="dxa"/>
            <w:right w:w="0" w:type="dxa"/>
          </w:tblCellMar>
        </w:tblPrEx>
        <w:trPr>
          <w:jc w:val="center"/>
        </w:trPr>
        <w:tc>
          <w:tcPr>
            <w:tcW w:w="493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hint="eastAsia"/>
                <w:sz w:val="21"/>
                <w:szCs w:val="21"/>
              </w:rPr>
              <w:t>合计</w:t>
            </w:r>
          </w:p>
        </w:tc>
        <w:tc>
          <w:tcPr>
            <w:tcW w:w="162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sz w:val="21"/>
                <w:szCs w:val="21"/>
              </w:rPr>
            </w:pPr>
            <w:r>
              <w:rPr>
                <w:rFonts w:ascii="Calibri" w:hAnsi="Calibri"/>
                <w:sz w:val="21"/>
                <w:szCs w:val="21"/>
              </w:rPr>
              <w:t>12</w:t>
            </w:r>
          </w:p>
        </w:tc>
        <w:tc>
          <w:tcPr>
            <w:tcW w:w="11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288" w:lineRule="auto"/>
              <w:jc w:val="center"/>
              <w:rPr>
                <w:rFonts w:hint="eastAsia" w:eastAsia="宋体"/>
                <w:sz w:val="21"/>
                <w:szCs w:val="21"/>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8</w:t>
            </w:r>
          </w:p>
        </w:tc>
      </w:tr>
      <w:tr>
        <w:tblPrEx>
          <w:tblCellMar>
            <w:top w:w="0" w:type="dxa"/>
            <w:left w:w="0" w:type="dxa"/>
            <w:bottom w:w="0" w:type="dxa"/>
            <w:right w:w="0" w:type="dxa"/>
          </w:tblCellMar>
        </w:tblPrEx>
        <w:trPr>
          <w:jc w:val="center"/>
        </w:trPr>
        <w:tc>
          <w:tcPr>
            <w:tcW w:w="1177" w:type="dxa"/>
            <w:tcBorders>
              <w:top w:val="nil"/>
              <w:left w:val="nil"/>
              <w:bottom w:val="nil"/>
              <w:right w:val="nil"/>
            </w:tcBorders>
            <w:noWrap w:val="0"/>
            <w:vAlign w:val="center"/>
          </w:tcPr>
          <w:p>
            <w:pPr>
              <w:rPr>
                <w:sz w:val="1"/>
              </w:rPr>
            </w:pPr>
          </w:p>
        </w:tc>
        <w:tc>
          <w:tcPr>
            <w:tcW w:w="3976" w:type="dxa"/>
            <w:tcBorders>
              <w:top w:val="nil"/>
              <w:left w:val="nil"/>
              <w:bottom w:val="nil"/>
              <w:right w:val="nil"/>
            </w:tcBorders>
            <w:noWrap w:val="0"/>
            <w:vAlign w:val="center"/>
          </w:tcPr>
          <w:p>
            <w:pPr>
              <w:rPr>
                <w:sz w:val="1"/>
              </w:rPr>
            </w:pPr>
          </w:p>
        </w:tc>
        <w:tc>
          <w:tcPr>
            <w:tcW w:w="1843" w:type="dxa"/>
            <w:tcBorders>
              <w:top w:val="nil"/>
              <w:left w:val="nil"/>
              <w:bottom w:val="nil"/>
              <w:right w:val="nil"/>
            </w:tcBorders>
            <w:noWrap w:val="0"/>
            <w:vAlign w:val="center"/>
          </w:tcPr>
          <w:p>
            <w:pPr>
              <w:rPr>
                <w:sz w:val="1"/>
              </w:rPr>
            </w:pPr>
          </w:p>
        </w:tc>
        <w:tc>
          <w:tcPr>
            <w:tcW w:w="141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请简要说明本项目绿色建材的应用情况。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121212"/>
                <w:sz w:val="27"/>
                <w:szCs w:val="27"/>
                <w:shd w:val="clear" w:color="auto" w:fill="FFFFFF"/>
              </w:rPr>
              <w:t>我国目前正在大力推广绿色环保型以及资源节约型的产业，在所有行业中建筑行业是一个高耗能高污染的领域，尤其是建筑材料更是如此，水泥、混凝土、玻璃、钢筋等建筑材料在生产和建设的过程中都会产生大量的污染，因此在建筑材料领域推广新型绿色材料具有十分重要的现实意义与社会效益。</w:t>
            </w:r>
            <w:r>
              <w:rPr>
                <w:rFonts w:hint="eastAsia"/>
                <w:sz w:val="20"/>
                <w:szCs w:val="20"/>
              </w:rPr>
              <w:br w:type="textWrapping"/>
            </w:r>
            <w:r>
              <w:rPr>
                <w:rFonts w:hint="eastAsia" w:ascii="MS Mincho" w:hAnsi="MS Mincho" w:eastAsia="MS Mincho" w:cs="MS Mincho"/>
                <w:sz w:val="20"/>
                <w:szCs w:val="20"/>
              </w:rPr>
              <w:t>​</w:t>
            </w:r>
            <w:r>
              <w:rPr>
                <w:rFonts w:hint="eastAsia"/>
                <w:sz w:val="20"/>
                <w:szCs w:val="20"/>
              </w:rPr>
              <w:t>生态水泥的主要原材料是火山灰以及钢铁渣等废弃物，与传统的水泥材料相比，生态水泥可以在制备过程中减少40%左右的二氧化碳，节约能源30%以上，但是其自身强度以及使用性能与普通水泥并没有减弱。</w:t>
            </w:r>
            <w:r>
              <w:rPr>
                <w:rFonts w:hint="eastAsia"/>
                <w:sz w:val="20"/>
                <w:szCs w:val="20"/>
              </w:rPr>
              <w:br w:type="textWrapping"/>
            </w:r>
            <w:r>
              <w:rPr>
                <w:rFonts w:hint="eastAsia" w:ascii="MS Mincho" w:hAnsi="MS Mincho" w:eastAsia="MS Mincho" w:cs="MS Mincho"/>
                <w:sz w:val="20"/>
                <w:szCs w:val="20"/>
              </w:rPr>
              <w:t>​</w:t>
            </w:r>
            <w:r>
              <w:rPr>
                <w:rFonts w:hint="eastAsia" w:ascii="微软雅黑" w:hAnsi="微软雅黑" w:eastAsia="微软雅黑"/>
                <w:color w:val="121212"/>
                <w:sz w:val="27"/>
                <w:szCs w:val="27"/>
                <w:shd w:val="clear" w:color="auto" w:fill="FFFFFF"/>
              </w:rPr>
              <w:t>真空玻璃的使用具有比较巨大的优势，其使用寿命较长，而且具有非常优秀的隔热与保温功能，隔音效果也较好，绿色真空玻璃可以利用太阳光等自然光线对于室内的温度进行调节，从而达到绿色环保的目的。</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）建筑、土建、装修专业的竣工图及设计说明、工程决算材料清单；</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）绿色建材应用比例计算分析报告、绿色建材标识证书、相关产品性能检测报告；</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）施工记录文件。</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结构专业图纸及设计说明：7结构建材/ 结构专业图纸及设计说明/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绿色建材应用比例计算分析报告：7结构建材/ 绿色建材应用比例分析报告.docx</w:t>
            </w:r>
            <w:r>
              <w:rPr>
                <w:rFonts w:ascii="Times New Roman" w:hAnsi="Times New Roman" w:cs="Times New Roman"/>
                <w:sz w:val="20"/>
                <w:szCs w:val="20"/>
              </w:rPr>
              <w:br w:type="textWrapping"/>
            </w: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工程材料决算清单：7结构建材/ 【预算表】幼儿园装饰工程报价预算表.xlsx</w:t>
            </w:r>
          </w:p>
        </w:tc>
      </w:tr>
    </w:tbl>
    <w:p>
      <w:pPr>
        <w:pStyle w:val="11"/>
        <w:spacing w:before="0" w:beforeAutospacing="0" w:after="0" w:afterAutospacing="0"/>
        <w:jc w:val="both"/>
      </w:pPr>
      <w:r>
        <w:rPr>
          <w:rFonts w:ascii="Calibri" w:hAnsi="Calibri"/>
          <w:sz w:val="21"/>
          <w:szCs w:val="21"/>
        </w:rPr>
        <w:t> </w:t>
      </w:r>
    </w:p>
    <w:p>
      <w:pPr>
        <w:jc w:val="center"/>
      </w:pPr>
      <w:r>
        <w:rPr>
          <w:b/>
          <w:bCs/>
          <w:color w:val="000000"/>
        </w:rPr>
        <w:br w:type="page"/>
      </w:r>
      <w:r>
        <w:rPr>
          <w:rFonts w:hint="eastAsia"/>
          <w:b/>
          <w:bCs/>
          <w:color w:val="000000"/>
        </w:rPr>
        <w:t>8 环境宜居</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00"/>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shd w:val="clear" w:color="auto" w:fill="DCDCDC"/>
            <w:noWrap w:val="0"/>
            <w:vAlign w:val="center"/>
          </w:tcPr>
          <w:p>
            <w:pPr>
              <w:spacing w:after="3"/>
              <w:jc w:val="center"/>
            </w:pPr>
            <w:r>
              <w:rPr>
                <w:rFonts w:hint="eastAsia"/>
                <w:b/>
                <w:bCs/>
                <w:color w:val="000000"/>
                <w:sz w:val="20"/>
                <w:szCs w:val="20"/>
              </w:rPr>
              <w:t>子项</w:t>
            </w:r>
          </w:p>
        </w:tc>
        <w:tc>
          <w:tcPr>
            <w:tcW w:w="800" w:type="dxa"/>
            <w:shd w:val="clear" w:color="auto" w:fill="DCDCDC"/>
            <w:noWrap w:val="0"/>
            <w:vAlign w:val="center"/>
          </w:tcPr>
          <w:p>
            <w:pPr>
              <w:spacing w:after="3"/>
              <w:jc w:val="center"/>
            </w:pPr>
            <w:r>
              <w:rPr>
                <w:rFonts w:hint="eastAsia"/>
                <w:b/>
                <w:bCs/>
                <w:color w:val="000000"/>
                <w:sz w:val="22"/>
                <w:szCs w:val="22"/>
              </w:rPr>
              <w:t>条文编号</w:t>
            </w:r>
          </w:p>
        </w:tc>
        <w:tc>
          <w:tcPr>
            <w:tcW w:w="5000" w:type="dxa"/>
            <w:shd w:val="clear" w:color="auto" w:fill="DCDCDC"/>
            <w:noWrap w:val="0"/>
            <w:vAlign w:val="center"/>
          </w:tcPr>
          <w:p>
            <w:pPr>
              <w:spacing w:after="3"/>
              <w:jc w:val="center"/>
            </w:pPr>
            <w:r>
              <w:rPr>
                <w:rFonts w:hint="eastAsia"/>
                <w:b/>
                <w:bCs/>
                <w:color w:val="000000"/>
                <w:sz w:val="20"/>
                <w:szCs w:val="20"/>
              </w:rPr>
              <w:t>条文</w:t>
            </w:r>
          </w:p>
        </w:tc>
        <w:tc>
          <w:tcPr>
            <w:tcW w:w="800" w:type="dxa"/>
            <w:shd w:val="clear" w:color="auto" w:fill="DCDCDC"/>
            <w:noWrap w:val="0"/>
            <w:vAlign w:val="center"/>
          </w:tcPr>
          <w:p>
            <w:pPr>
              <w:spacing w:after="3"/>
              <w:jc w:val="center"/>
            </w:pPr>
            <w:r>
              <w:rPr>
                <w:rFonts w:hint="eastAsia"/>
                <w:b/>
                <w:bCs/>
                <w:color w:val="000000"/>
                <w:sz w:val="20"/>
                <w:szCs w:val="20"/>
              </w:rPr>
              <w:t>满分</w:t>
            </w:r>
          </w:p>
        </w:tc>
        <w:tc>
          <w:tcPr>
            <w:tcW w:w="800" w:type="dxa"/>
            <w:shd w:val="clear" w:color="auto" w:fill="DCDCDC"/>
            <w:noWrap w:val="0"/>
            <w:vAlign w:val="center"/>
          </w:tcPr>
          <w:p>
            <w:pPr>
              <w:spacing w:after="3"/>
              <w:jc w:val="center"/>
            </w:pPr>
            <w:r>
              <w:rPr>
                <w:rFonts w:hint="eastAsia"/>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控制项</w:t>
            </w:r>
          </w:p>
        </w:tc>
        <w:tc>
          <w:tcPr>
            <w:tcW w:w="800" w:type="dxa"/>
            <w:noWrap w:val="0"/>
            <w:vAlign w:val="center"/>
          </w:tcPr>
          <w:p>
            <w:pPr>
              <w:spacing w:after="3"/>
            </w:pPr>
            <w:r>
              <w:rPr>
                <w:rFonts w:hint="eastAsia"/>
                <w:bCs/>
                <w:color w:val="000000"/>
                <w:sz w:val="22"/>
                <w:szCs w:val="22"/>
              </w:rPr>
              <w:t>8.1.1</w:t>
            </w:r>
          </w:p>
        </w:tc>
        <w:tc>
          <w:tcPr>
            <w:tcW w:w="5000" w:type="dxa"/>
            <w:noWrap w:val="0"/>
            <w:vAlign w:val="center"/>
          </w:tcPr>
          <w:p>
            <w:pPr>
              <w:spacing w:after="3"/>
            </w:pPr>
            <w:r>
              <w:rPr>
                <w:rFonts w:hint="eastAsia"/>
                <w:bCs/>
                <w:color w:val="000000"/>
                <w:sz w:val="22"/>
                <w:szCs w:val="22"/>
              </w:rPr>
              <w:t>满足日照标准</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8.1.2</w:t>
            </w:r>
          </w:p>
        </w:tc>
        <w:tc>
          <w:tcPr>
            <w:tcW w:w="5000" w:type="dxa"/>
            <w:noWrap w:val="0"/>
            <w:vAlign w:val="center"/>
          </w:tcPr>
          <w:p>
            <w:pPr>
              <w:spacing w:after="3"/>
            </w:pPr>
            <w:r>
              <w:rPr>
                <w:rFonts w:hint="eastAsia"/>
                <w:bCs/>
                <w:color w:val="000000"/>
                <w:sz w:val="22"/>
                <w:szCs w:val="22"/>
              </w:rPr>
              <w:t>室外热环境</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8.1.3</w:t>
            </w:r>
          </w:p>
        </w:tc>
        <w:tc>
          <w:tcPr>
            <w:tcW w:w="5000" w:type="dxa"/>
            <w:noWrap w:val="0"/>
            <w:vAlign w:val="center"/>
          </w:tcPr>
          <w:p>
            <w:pPr>
              <w:spacing w:after="3"/>
            </w:pPr>
            <w:r>
              <w:rPr>
                <w:rFonts w:hint="eastAsia"/>
                <w:bCs/>
                <w:color w:val="000000"/>
                <w:sz w:val="22"/>
                <w:szCs w:val="22"/>
              </w:rPr>
              <w:t>绿地绿化</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8.1.4</w:t>
            </w:r>
          </w:p>
        </w:tc>
        <w:tc>
          <w:tcPr>
            <w:tcW w:w="5000" w:type="dxa"/>
            <w:noWrap w:val="0"/>
            <w:vAlign w:val="center"/>
          </w:tcPr>
          <w:p>
            <w:pPr>
              <w:spacing w:after="3"/>
            </w:pPr>
            <w:r>
              <w:rPr>
                <w:rFonts w:hint="eastAsia"/>
                <w:bCs/>
                <w:color w:val="000000"/>
                <w:sz w:val="22"/>
                <w:szCs w:val="22"/>
              </w:rPr>
              <w:t>场地竖向设计</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8.1.5</w:t>
            </w:r>
          </w:p>
        </w:tc>
        <w:tc>
          <w:tcPr>
            <w:tcW w:w="5000" w:type="dxa"/>
            <w:noWrap w:val="0"/>
            <w:vAlign w:val="center"/>
          </w:tcPr>
          <w:p>
            <w:pPr>
              <w:spacing w:after="3"/>
            </w:pPr>
            <w:r>
              <w:rPr>
                <w:rFonts w:hint="eastAsia"/>
                <w:bCs/>
                <w:color w:val="000000"/>
                <w:sz w:val="22"/>
                <w:szCs w:val="22"/>
              </w:rPr>
              <w:t>标识系统</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8.1.6</w:t>
            </w:r>
          </w:p>
        </w:tc>
        <w:tc>
          <w:tcPr>
            <w:tcW w:w="5000" w:type="dxa"/>
            <w:noWrap w:val="0"/>
            <w:vAlign w:val="center"/>
          </w:tcPr>
          <w:p>
            <w:pPr>
              <w:spacing w:after="3"/>
            </w:pPr>
            <w:r>
              <w:rPr>
                <w:rFonts w:hint="eastAsia"/>
                <w:bCs/>
                <w:color w:val="000000"/>
                <w:sz w:val="22"/>
                <w:szCs w:val="22"/>
              </w:rPr>
              <w:t>无超标污染源</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8.1.7</w:t>
            </w:r>
          </w:p>
        </w:tc>
        <w:tc>
          <w:tcPr>
            <w:tcW w:w="5000" w:type="dxa"/>
            <w:noWrap w:val="0"/>
            <w:vAlign w:val="center"/>
          </w:tcPr>
          <w:p>
            <w:pPr>
              <w:spacing w:after="3"/>
            </w:pPr>
            <w:r>
              <w:rPr>
                <w:rFonts w:hint="eastAsia"/>
                <w:bCs/>
                <w:color w:val="000000"/>
                <w:sz w:val="22"/>
                <w:szCs w:val="22"/>
              </w:rPr>
              <w:t>生活垃圾处理</w:t>
            </w:r>
          </w:p>
        </w:tc>
        <w:tc>
          <w:tcPr>
            <w:tcW w:w="800" w:type="dxa"/>
            <w:noWrap w:val="0"/>
            <w:vAlign w:val="center"/>
          </w:tcPr>
          <w:p>
            <w:pPr>
              <w:spacing w:after="3"/>
              <w:jc w:val="center"/>
            </w:pPr>
            <w:r>
              <w:rPr>
                <w:rFonts w:hint="eastAsia"/>
                <w:bCs/>
                <w:color w:val="000000"/>
                <w:sz w:val="22"/>
                <w:szCs w:val="22"/>
              </w:rPr>
              <w:t>/</w:t>
            </w:r>
          </w:p>
        </w:tc>
        <w:tc>
          <w:tcPr>
            <w:tcW w:w="800" w:type="dxa"/>
            <w:noWrap w:val="0"/>
            <w:vAlign w:val="center"/>
          </w:tcPr>
          <w:p>
            <w:pPr>
              <w:spacing w:after="3"/>
              <w:jc w:val="center"/>
            </w:pPr>
            <w:r>
              <w:rPr>
                <w:rFonts w:hint="eastAsia"/>
                <w:bCs/>
                <w:color w:val="000000"/>
                <w:sz w:val="2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评分项</w:t>
            </w:r>
          </w:p>
        </w:tc>
        <w:tc>
          <w:tcPr>
            <w:tcW w:w="800" w:type="dxa"/>
            <w:noWrap w:val="0"/>
            <w:vAlign w:val="center"/>
          </w:tcPr>
          <w:p>
            <w:pPr>
              <w:spacing w:after="3"/>
            </w:pPr>
            <w:r>
              <w:rPr>
                <w:rFonts w:hint="eastAsia"/>
                <w:bCs/>
                <w:color w:val="000000"/>
                <w:sz w:val="22"/>
                <w:szCs w:val="22"/>
              </w:rPr>
              <w:t>8.2.1</w:t>
            </w:r>
          </w:p>
        </w:tc>
        <w:tc>
          <w:tcPr>
            <w:tcW w:w="5000" w:type="dxa"/>
            <w:noWrap w:val="0"/>
            <w:vAlign w:val="center"/>
          </w:tcPr>
          <w:p>
            <w:pPr>
              <w:spacing w:after="3"/>
            </w:pPr>
            <w:r>
              <w:rPr>
                <w:rFonts w:hint="eastAsia"/>
                <w:bCs/>
                <w:color w:val="000000"/>
                <w:sz w:val="22"/>
                <w:szCs w:val="22"/>
              </w:rPr>
              <w:t>生态环境保护</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8.2.2</w:t>
            </w:r>
          </w:p>
        </w:tc>
        <w:tc>
          <w:tcPr>
            <w:tcW w:w="5000" w:type="dxa"/>
            <w:noWrap w:val="0"/>
            <w:vAlign w:val="center"/>
          </w:tcPr>
          <w:p>
            <w:pPr>
              <w:spacing w:after="3"/>
            </w:pPr>
            <w:r>
              <w:rPr>
                <w:rFonts w:hint="eastAsia"/>
                <w:bCs/>
                <w:color w:val="000000"/>
                <w:sz w:val="22"/>
                <w:szCs w:val="22"/>
              </w:rPr>
              <w:t>径流总量控制</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eastAsia" w:eastAsia="宋体"/>
                <w:lang w:val="en-US" w:eastAsia="zh-CN"/>
              </w:rPr>
            </w:pPr>
            <w:r>
              <w:rPr>
                <w:rFonts w:hint="eastAsia" w:eastAsia="宋体"/>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8.2.3</w:t>
            </w:r>
          </w:p>
        </w:tc>
        <w:tc>
          <w:tcPr>
            <w:tcW w:w="5000" w:type="dxa"/>
            <w:noWrap w:val="0"/>
            <w:vAlign w:val="center"/>
          </w:tcPr>
          <w:p>
            <w:pPr>
              <w:spacing w:after="3"/>
            </w:pPr>
            <w:r>
              <w:rPr>
                <w:rFonts w:hint="eastAsia"/>
                <w:bCs/>
                <w:color w:val="000000"/>
                <w:sz w:val="22"/>
                <w:szCs w:val="22"/>
              </w:rPr>
              <w:t>绿化用地</w:t>
            </w:r>
          </w:p>
        </w:tc>
        <w:tc>
          <w:tcPr>
            <w:tcW w:w="800" w:type="dxa"/>
            <w:noWrap w:val="0"/>
            <w:vAlign w:val="center"/>
          </w:tcPr>
          <w:p>
            <w:pPr>
              <w:spacing w:after="3"/>
              <w:jc w:val="center"/>
            </w:pPr>
            <w:r>
              <w:rPr>
                <w:rFonts w:hint="eastAsia"/>
                <w:bCs/>
                <w:color w:val="000000"/>
                <w:sz w:val="22"/>
                <w:szCs w:val="22"/>
              </w:rPr>
              <w:t>16</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8.2.4</w:t>
            </w:r>
          </w:p>
        </w:tc>
        <w:tc>
          <w:tcPr>
            <w:tcW w:w="5000" w:type="dxa"/>
            <w:noWrap w:val="0"/>
            <w:vAlign w:val="center"/>
          </w:tcPr>
          <w:p>
            <w:pPr>
              <w:spacing w:after="3"/>
            </w:pPr>
            <w:r>
              <w:rPr>
                <w:rFonts w:hint="eastAsia"/>
                <w:bCs/>
                <w:color w:val="000000"/>
                <w:sz w:val="22"/>
                <w:szCs w:val="22"/>
              </w:rPr>
              <w:t>室外吸烟区</w:t>
            </w:r>
          </w:p>
        </w:tc>
        <w:tc>
          <w:tcPr>
            <w:tcW w:w="800" w:type="dxa"/>
            <w:noWrap w:val="0"/>
            <w:vAlign w:val="center"/>
          </w:tcPr>
          <w:p>
            <w:pPr>
              <w:spacing w:after="3"/>
              <w:jc w:val="center"/>
            </w:pPr>
            <w:r>
              <w:rPr>
                <w:rFonts w:hint="eastAsia"/>
                <w:bCs/>
                <w:color w:val="000000"/>
                <w:sz w:val="22"/>
                <w:szCs w:val="22"/>
              </w:rPr>
              <w:t>9</w:t>
            </w:r>
          </w:p>
        </w:tc>
        <w:tc>
          <w:tcPr>
            <w:tcW w:w="800" w:type="dxa"/>
            <w:noWrap w:val="0"/>
            <w:vAlign w:val="center"/>
          </w:tcPr>
          <w:p>
            <w:pPr>
              <w:spacing w:after="3"/>
              <w:jc w:val="center"/>
            </w:pPr>
            <w:r>
              <w:rPr>
                <w:rFonts w:hint="eastAsia"/>
                <w:bCs/>
                <w:color w:val="000000"/>
                <w:sz w:val="22"/>
                <w:szCs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8.2.5</w:t>
            </w:r>
          </w:p>
        </w:tc>
        <w:tc>
          <w:tcPr>
            <w:tcW w:w="5000" w:type="dxa"/>
            <w:noWrap w:val="0"/>
            <w:vAlign w:val="center"/>
          </w:tcPr>
          <w:p>
            <w:pPr>
              <w:spacing w:after="3"/>
            </w:pPr>
            <w:r>
              <w:rPr>
                <w:rFonts w:hint="eastAsia"/>
                <w:bCs/>
                <w:color w:val="000000"/>
                <w:sz w:val="22"/>
                <w:szCs w:val="22"/>
              </w:rPr>
              <w:t>雨水基础设施</w:t>
            </w:r>
          </w:p>
        </w:tc>
        <w:tc>
          <w:tcPr>
            <w:tcW w:w="800" w:type="dxa"/>
            <w:noWrap w:val="0"/>
            <w:vAlign w:val="center"/>
          </w:tcPr>
          <w:p>
            <w:pPr>
              <w:spacing w:after="3"/>
              <w:jc w:val="center"/>
            </w:pPr>
            <w:r>
              <w:rPr>
                <w:rFonts w:hint="eastAsia"/>
                <w:bCs/>
                <w:color w:val="000000"/>
                <w:sz w:val="22"/>
                <w:szCs w:val="22"/>
              </w:rPr>
              <w:t>15</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8.2.6</w:t>
            </w:r>
          </w:p>
        </w:tc>
        <w:tc>
          <w:tcPr>
            <w:tcW w:w="5000" w:type="dxa"/>
            <w:noWrap w:val="0"/>
            <w:vAlign w:val="center"/>
          </w:tcPr>
          <w:p>
            <w:pPr>
              <w:spacing w:after="3"/>
            </w:pPr>
            <w:r>
              <w:rPr>
                <w:rFonts w:hint="eastAsia"/>
                <w:bCs/>
                <w:color w:val="000000"/>
                <w:sz w:val="22"/>
                <w:szCs w:val="22"/>
              </w:rPr>
              <w:t>环境噪声</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8.2.7</w:t>
            </w:r>
          </w:p>
        </w:tc>
        <w:tc>
          <w:tcPr>
            <w:tcW w:w="5000" w:type="dxa"/>
            <w:noWrap w:val="0"/>
            <w:vAlign w:val="center"/>
          </w:tcPr>
          <w:p>
            <w:pPr>
              <w:spacing w:after="3"/>
            </w:pPr>
            <w:r>
              <w:rPr>
                <w:rFonts w:hint="eastAsia"/>
                <w:bCs/>
                <w:color w:val="000000"/>
                <w:sz w:val="22"/>
                <w:szCs w:val="22"/>
              </w:rPr>
              <w:t>光污染控制</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8.2.8</w:t>
            </w:r>
          </w:p>
        </w:tc>
        <w:tc>
          <w:tcPr>
            <w:tcW w:w="5000" w:type="dxa"/>
            <w:noWrap w:val="0"/>
            <w:vAlign w:val="center"/>
          </w:tcPr>
          <w:p>
            <w:pPr>
              <w:spacing w:after="3"/>
            </w:pPr>
            <w:r>
              <w:rPr>
                <w:rFonts w:hint="eastAsia"/>
                <w:bCs/>
                <w:color w:val="000000"/>
                <w:sz w:val="22"/>
                <w:szCs w:val="22"/>
              </w:rPr>
              <w:t>场地风环境</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eastAsia" w:eastAsia="宋体"/>
                <w:lang w:val="en-US" w:eastAsia="zh-CN"/>
              </w:rPr>
            </w:pPr>
            <w:r>
              <w:rPr>
                <w:rFonts w:hint="eastAsia" w:eastAsia="宋体"/>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8.2.9</w:t>
            </w:r>
          </w:p>
        </w:tc>
        <w:tc>
          <w:tcPr>
            <w:tcW w:w="5000" w:type="dxa"/>
            <w:noWrap w:val="0"/>
            <w:vAlign w:val="center"/>
          </w:tcPr>
          <w:p>
            <w:pPr>
              <w:spacing w:after="3"/>
            </w:pPr>
            <w:r>
              <w:rPr>
                <w:rFonts w:hint="eastAsia"/>
                <w:bCs/>
                <w:color w:val="000000"/>
                <w:sz w:val="22"/>
                <w:szCs w:val="22"/>
              </w:rPr>
              <w:t>降低热岛强度</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rPr>
                <w:rFonts w:hint="default" w:eastAsia="宋体"/>
                <w:lang w:val="en-US" w:eastAsia="zh-CN"/>
              </w:rPr>
            </w:pPr>
            <w:r>
              <w:rPr>
                <w:rFonts w:hint="eastAsia" w:eastAsia="宋体"/>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gridSpan w:val="3"/>
            <w:shd w:val="clear" w:color="auto" w:fill="DCDCDC"/>
            <w:noWrap w:val="0"/>
            <w:vAlign w:val="center"/>
          </w:tcPr>
          <w:p>
            <w:pPr>
              <w:spacing w:after="3"/>
              <w:jc w:val="center"/>
            </w:pPr>
            <w:r>
              <w:rPr>
                <w:rFonts w:hint="eastAsia"/>
                <w:b/>
                <w:bCs/>
                <w:color w:val="000000"/>
                <w:sz w:val="20"/>
                <w:szCs w:val="20"/>
              </w:rPr>
              <w:t>合计</w:t>
            </w:r>
          </w:p>
        </w:tc>
        <w:tc>
          <w:tcPr>
            <w:tcW w:w="800" w:type="dxa"/>
            <w:noWrap w:val="0"/>
            <w:vAlign w:val="center"/>
          </w:tcPr>
          <w:p>
            <w:pPr>
              <w:spacing w:after="3"/>
              <w:jc w:val="center"/>
            </w:pPr>
            <w:r>
              <w:rPr>
                <w:rFonts w:hint="eastAsia"/>
                <w:bCs/>
                <w:color w:val="000000"/>
                <w:sz w:val="22"/>
                <w:szCs w:val="22"/>
              </w:rPr>
              <w:t>100.0</w:t>
            </w:r>
          </w:p>
        </w:tc>
        <w:tc>
          <w:tcPr>
            <w:tcW w:w="800" w:type="dxa"/>
            <w:noWrap w:val="0"/>
            <w:vAlign w:val="center"/>
          </w:tcPr>
          <w:p>
            <w:pPr>
              <w:spacing w:after="3"/>
              <w:jc w:val="center"/>
            </w:pPr>
            <w:r>
              <w:rPr>
                <w:rFonts w:hint="eastAsia" w:eastAsia="宋体"/>
                <w:bCs/>
                <w:color w:val="000000"/>
                <w:sz w:val="22"/>
                <w:szCs w:val="22"/>
                <w:lang w:val="en-US" w:eastAsia="zh-CN"/>
              </w:rPr>
              <w:t>77</w:t>
            </w:r>
            <w:r>
              <w:rPr>
                <w:rFonts w:hint="eastAsia"/>
                <w:bCs/>
                <w:color w:val="000000"/>
                <w:sz w:val="22"/>
                <w:szCs w:val="22"/>
              </w:rPr>
              <w:t>.0</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8.1.1 建筑规划布局应满足日照标准，且不得降低周边建筑的日照标准。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项目位于</w:t>
      </w:r>
      <w:r>
        <w:rPr>
          <w:rFonts w:hint="eastAsia"/>
          <w:sz w:val="21"/>
          <w:szCs w:val="21"/>
          <w:u w:val="single"/>
        </w:rPr>
        <w:t>      亚热带季风    </w:t>
      </w:r>
      <w:r>
        <w:rPr>
          <w:rFonts w:hint="eastAsia"/>
          <w:sz w:val="21"/>
          <w:szCs w:val="21"/>
        </w:rPr>
        <w:t>光气候区，所在城市为</w:t>
      </w:r>
      <w:r>
        <w:rPr>
          <w:rFonts w:hint="eastAsia"/>
          <w:sz w:val="21"/>
          <w:szCs w:val="21"/>
          <w:u w:val="single"/>
        </w:rPr>
        <w:t>    常州市     </w:t>
      </w:r>
      <w:r>
        <w:rPr>
          <w:rFonts w:hint="eastAsia"/>
          <w:sz w:val="21"/>
          <w:szCs w:val="21"/>
        </w:rPr>
        <w:t>，属于：</w:t>
      </w:r>
      <w:r>
        <w:rPr>
          <w:rStyle w:val="25"/>
          <w:rFonts w:hint="eastAsia" w:ascii="MS Mincho" w:hAnsi="MS Mincho" w:eastAsia="MS Mincho" w:cs="MS Mincho"/>
          <w:sz w:val="28"/>
          <w:szCs w:val="28"/>
        </w:rPr>
        <w:t>☐</w:t>
      </w:r>
      <w:r>
        <w:rPr>
          <w:rFonts w:hint="eastAsia"/>
          <w:sz w:val="21"/>
          <w:szCs w:val="21"/>
        </w:rPr>
        <w:t xml:space="preserve">大城市 </w:t>
      </w:r>
      <w:r>
        <w:rPr>
          <w:rStyle w:val="25"/>
          <w:rFonts w:hint="eastAsia" w:ascii="MS Mincho" w:hAnsi="MS Mincho" w:eastAsia="MS Mincho" w:cs="MS Mincho"/>
          <w:sz w:val="28"/>
          <w:szCs w:val="28"/>
        </w:rPr>
        <w:t>☑</w:t>
      </w:r>
      <w:r>
        <w:rPr>
          <w:rFonts w:hint="eastAsia"/>
          <w:sz w:val="21"/>
          <w:szCs w:val="21"/>
        </w:rPr>
        <w:t>中小城市</w:t>
      </w:r>
    </w:p>
    <w:p>
      <w:pPr>
        <w:pStyle w:val="11"/>
        <w:spacing w:before="0" w:beforeAutospacing="0" w:after="0" w:afterAutospacing="0"/>
        <w:jc w:val="both"/>
      </w:pPr>
      <w:r>
        <w:rPr>
          <w:rFonts w:hint="eastAsia"/>
          <w:sz w:val="21"/>
          <w:szCs w:val="21"/>
        </w:rPr>
        <w:t>项目日照时数：</w:t>
      </w:r>
      <w:r>
        <w:rPr>
          <w:rFonts w:hint="eastAsia"/>
          <w:sz w:val="21"/>
          <w:szCs w:val="21"/>
          <w:u w:val="single"/>
        </w:rPr>
        <w:t xml:space="preserve">      8     </w:t>
      </w:r>
      <w:r>
        <w:rPr>
          <w:rFonts w:ascii="Calibri" w:hAnsi="Calibri"/>
          <w:sz w:val="21"/>
          <w:szCs w:val="21"/>
        </w:rPr>
        <w:t>h</w:t>
      </w:r>
      <w:r>
        <w:rPr>
          <w:rFonts w:hint="eastAsia"/>
          <w:sz w:val="21"/>
          <w:szCs w:val="21"/>
        </w:rPr>
        <w:t>，相关标准的日照时数要求：</w:t>
      </w:r>
      <w:r>
        <w:rPr>
          <w:rFonts w:hint="eastAsia"/>
          <w:sz w:val="21"/>
          <w:szCs w:val="21"/>
          <w:u w:val="single"/>
        </w:rPr>
        <w:t>    6      </w:t>
      </w:r>
      <w:r>
        <w:rPr>
          <w:rFonts w:hint="eastAsia"/>
          <w:sz w:val="21"/>
          <w:szCs w:val="21"/>
        </w:rPr>
        <w:t xml:space="preserve"> </w:t>
      </w:r>
      <w:r>
        <w:rPr>
          <w:rFonts w:ascii="Calibri" w:hAnsi="Calibri"/>
          <w:sz w:val="21"/>
          <w:szCs w:val="21"/>
        </w:rPr>
        <w:t>h</w:t>
      </w:r>
      <w:r>
        <w:rPr>
          <w:rFonts w:hint="eastAsia"/>
          <w:sz w:val="21"/>
          <w:szCs w:val="21"/>
        </w:rPr>
        <w:t>，其他规定性日照要求：</w:t>
      </w:r>
      <w:r>
        <w:rPr>
          <w:rFonts w:hint="eastAsia"/>
          <w:sz w:val="21"/>
          <w:szCs w:val="21"/>
          <w:u w:val="single"/>
        </w:rPr>
        <w:t>     2     </w:t>
      </w:r>
    </w:p>
    <w:p>
      <w:pPr>
        <w:pStyle w:val="11"/>
        <w:spacing w:before="0" w:beforeAutospacing="0" w:after="0" w:afterAutospacing="0"/>
        <w:jc w:val="both"/>
        <w:rPr>
          <w:sz w:val="21"/>
          <w:szCs w:val="21"/>
          <w:u w:val="single"/>
        </w:rPr>
      </w:pPr>
      <w:r>
        <w:rPr>
          <w:rFonts w:hint="eastAsia"/>
          <w:sz w:val="21"/>
          <w:szCs w:val="21"/>
        </w:rPr>
        <w:t>依据标准：</w:t>
      </w:r>
      <w:r>
        <w:rPr>
          <w:rFonts w:hint="eastAsia"/>
          <w:sz w:val="21"/>
          <w:szCs w:val="21"/>
          <w:u w:val="single"/>
        </w:rPr>
        <w:t>         </w:t>
      </w:r>
    </w:p>
    <w:p>
      <w:pPr>
        <w:pStyle w:val="2"/>
        <w:shd w:val="clear" w:color="auto" w:fill="FFFFFF"/>
        <w:spacing w:before="0" w:beforeAutospacing="0" w:after="0" w:afterAutospacing="0" w:line="330" w:lineRule="atLeast"/>
        <w:rPr>
          <w:rFonts w:hint="eastAsia" w:ascii="微软雅黑" w:hAnsi="微软雅黑" w:eastAsia="微软雅黑"/>
          <w:b w:val="0"/>
          <w:bCs w:val="0"/>
          <w:color w:val="auto"/>
          <w:sz w:val="33"/>
          <w:szCs w:val="33"/>
          <w:u w:val="single"/>
        </w:rPr>
      </w:pPr>
      <w:r>
        <w:rPr>
          <w:rFonts w:hint="eastAsia" w:ascii="微软雅黑" w:hAnsi="微软雅黑" w:eastAsia="微软雅黑"/>
          <w:b w:val="0"/>
          <w:bCs w:val="0"/>
          <w:color w:val="auto"/>
          <w:sz w:val="24"/>
          <w:szCs w:val="24"/>
          <w:u w:val="single"/>
        </w:rPr>
        <w:t>《城市居住区规划设计标准》GB50180-2018</w:t>
      </w:r>
    </w:p>
    <w:p>
      <w:pPr>
        <w:rPr>
          <w:rFonts w:hint="eastAsia"/>
        </w:rPr>
      </w:pPr>
      <w:r>
        <w:rPr>
          <w:rFonts w:hint="eastAsia" w:ascii="MS Mincho" w:hAnsi="MS Mincho" w:eastAsia="MS Mincho" w:cs="MS Mincho"/>
          <w:sz w:val="21"/>
          <w:szCs w:val="21"/>
          <w:u w:val="single"/>
        </w:rPr>
        <w:t>​</w:t>
      </w:r>
      <w:r>
        <w:rPr>
          <w:rFonts w:hint="eastAsia"/>
          <w:sz w:val="21"/>
          <w:szCs w:val="21"/>
          <w:u w:val="single"/>
        </w:rPr>
        <w:t xml:space="preserve">           </w:t>
      </w:r>
      <w:r>
        <w:rPr>
          <w:rFonts w:hint="eastAsia"/>
          <w:sz w:val="21"/>
          <w:szCs w:val="21"/>
        </w:rPr>
        <w:t>，是否达标：</w:t>
      </w:r>
      <w:r>
        <w:rPr>
          <w:rStyle w:val="25"/>
          <w:rFonts w:hint="eastAsia" w:ascii="MS Mincho" w:hAnsi="MS Mincho" w:eastAsia="MS Mincho" w:cs="MS Mincho"/>
          <w:sz w:val="28"/>
          <w:szCs w:val="28"/>
        </w:rPr>
        <w:t>☑</w:t>
      </w:r>
      <w:r>
        <w:rPr>
          <w:rFonts w:hint="eastAsia"/>
          <w:sz w:val="21"/>
          <w:szCs w:val="21"/>
        </w:rPr>
        <w:t>是  </w:t>
      </w:r>
      <w:r>
        <w:rPr>
          <w:rStyle w:val="25"/>
          <w:rFonts w:hint="eastAsia" w:ascii="MS Mincho" w:hAnsi="MS Mincho" w:eastAsia="MS Mincho" w:cs="MS Mincho"/>
          <w:sz w:val="28"/>
          <w:szCs w:val="28"/>
        </w:rPr>
        <w:t>☐</w:t>
      </w:r>
      <w:r>
        <w:rPr>
          <w:rFonts w:hint="eastAsia"/>
          <w:sz w:val="21"/>
          <w:szCs w:val="21"/>
        </w:rPr>
        <w:t>否，是否降低了周边建筑的日照标准：</w:t>
      </w:r>
      <w:r>
        <w:rPr>
          <w:rStyle w:val="25"/>
          <w:rFonts w:hint="eastAsia" w:ascii="MS Mincho" w:hAnsi="MS Mincho" w:eastAsia="MS Mincho" w:cs="MS Mincho"/>
          <w:sz w:val="28"/>
          <w:szCs w:val="28"/>
        </w:rPr>
        <w:t>☐</w:t>
      </w:r>
      <w:r>
        <w:rPr>
          <w:rFonts w:hint="eastAsia"/>
          <w:sz w:val="21"/>
          <w:szCs w:val="21"/>
        </w:rPr>
        <w:t>是  </w:t>
      </w:r>
      <w:r>
        <w:rPr>
          <w:rStyle w:val="25"/>
          <w:rFonts w:hint="eastAsia" w:ascii="MS Mincho" w:hAnsi="MS Mincho" w:eastAsia="MS Mincho" w:cs="MS Mincho"/>
          <w:sz w:val="28"/>
          <w:szCs w:val="28"/>
        </w:rPr>
        <w:t>☑</w:t>
      </w:r>
      <w:r>
        <w:rPr>
          <w:rFonts w:hint="eastAsia"/>
          <w:sz w:val="21"/>
          <w:szCs w:val="21"/>
        </w:rPr>
        <w:t>否。</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）规划批复文件；</w:t>
      </w:r>
    </w:p>
    <w:p>
      <w:pPr>
        <w:pStyle w:val="11"/>
        <w:spacing w:before="0" w:beforeAutospacing="0" w:after="0" w:afterAutospacing="0"/>
        <w:jc w:val="both"/>
      </w:pPr>
      <w:r>
        <w:rPr>
          <w:rFonts w:ascii="Calibri" w:hAnsi="Calibri"/>
          <w:sz w:val="21"/>
          <w:szCs w:val="21"/>
        </w:rPr>
        <w:t>2</w:t>
      </w:r>
      <w:r>
        <w:rPr>
          <w:rFonts w:hint="eastAsia"/>
          <w:sz w:val="21"/>
          <w:szCs w:val="21"/>
        </w:rPr>
        <w:t>）竣工总平面图；</w:t>
      </w:r>
    </w:p>
    <w:p>
      <w:pPr>
        <w:pStyle w:val="11"/>
        <w:spacing w:before="0" w:beforeAutospacing="0" w:after="0" w:afterAutospacing="0"/>
        <w:ind w:left="10" w:hanging="200"/>
        <w:jc w:val="both"/>
      </w:pPr>
      <w:r>
        <w:rPr>
          <w:rFonts w:ascii="Calibri" w:hAnsi="Calibri"/>
          <w:sz w:val="21"/>
          <w:szCs w:val="21"/>
        </w:rPr>
        <w:t>3</w:t>
      </w:r>
      <w:r>
        <w:rPr>
          <w:rFonts w:hint="eastAsia"/>
          <w:sz w:val="21"/>
          <w:szCs w:val="21"/>
        </w:rPr>
        <w:t>）日照计算分析报告，应包含建筑局部及间距说明。</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日照分析报告：3建筑设计/ 日照.png</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8.1.2 室外热环境应满足国家现行有关标准的要求。</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建筑室外夏季逐时湿球黑球温度</w:t>
      </w:r>
      <w:r>
        <w:rPr>
          <w:rFonts w:ascii="Calibri" w:hAnsi="Calibri"/>
          <w:sz w:val="21"/>
          <w:szCs w:val="21"/>
        </w:rPr>
        <w:t>(WBGT)</w:t>
      </w:r>
      <w:r>
        <w:rPr>
          <w:rFonts w:hint="eastAsia"/>
          <w:sz w:val="21"/>
          <w:szCs w:val="21"/>
        </w:rPr>
        <w:t>：</w:t>
      </w:r>
      <w:r>
        <w:rPr>
          <w:rFonts w:hint="eastAsia"/>
          <w:sz w:val="21"/>
          <w:szCs w:val="21"/>
          <w:u w:val="single"/>
        </w:rPr>
        <w:t>    ≤33</w:t>
      </w:r>
      <w:r>
        <w:rPr>
          <w:rFonts w:hint="eastAsia" w:ascii="MS Mincho" w:hAnsi="MS Mincho" w:eastAsia="MS Mincho" w:cs="MS Mincho"/>
          <w:sz w:val="21"/>
          <w:szCs w:val="21"/>
          <w:u w:val="single"/>
        </w:rPr>
        <w:t>​</w:t>
      </w:r>
      <w:r>
        <w:rPr>
          <w:rFonts w:hint="eastAsia"/>
          <w:sz w:val="21"/>
          <w:szCs w:val="21"/>
          <w:u w:val="single"/>
        </w:rPr>
        <w:t xml:space="preserve">   </w:t>
      </w:r>
      <w:r>
        <w:rPr>
          <w:rFonts w:hint="eastAsia"/>
          <w:sz w:val="21"/>
          <w:szCs w:val="21"/>
        </w:rPr>
        <w:t>℃，室外平均热岛强度</w:t>
      </w:r>
      <w:r>
        <w:rPr>
          <w:rFonts w:hint="eastAsia"/>
          <w:sz w:val="21"/>
          <w:szCs w:val="21"/>
          <w:u w:val="single"/>
        </w:rPr>
        <w:t>     ≤</w:t>
      </w:r>
      <w:r>
        <w:rPr>
          <w:rFonts w:hint="eastAsia" w:ascii="MS Mincho" w:hAnsi="MS Mincho" w:eastAsia="MS Mincho" w:cs="MS Mincho"/>
          <w:sz w:val="21"/>
          <w:szCs w:val="21"/>
          <w:u w:val="single"/>
        </w:rPr>
        <w:t>​</w:t>
      </w:r>
      <w:r>
        <w:rPr>
          <w:rFonts w:hint="eastAsia"/>
          <w:sz w:val="21"/>
          <w:szCs w:val="21"/>
          <w:u w:val="single"/>
        </w:rPr>
        <w:t>1.5     </w:t>
      </w:r>
      <w:r>
        <w:rPr>
          <w:rFonts w:hint="eastAsia"/>
          <w:sz w:val="21"/>
          <w:szCs w:val="21"/>
        </w:rPr>
        <w:t>℃，夏季平均迎风面积比（ζ</w:t>
      </w:r>
      <w:r>
        <w:rPr>
          <w:rFonts w:ascii="Calibri" w:hAnsi="Calibri"/>
          <w:sz w:val="21"/>
          <w:szCs w:val="21"/>
        </w:rPr>
        <w:t>s</w:t>
      </w:r>
      <w:r>
        <w:rPr>
          <w:rFonts w:hint="eastAsia"/>
          <w:sz w:val="21"/>
          <w:szCs w:val="21"/>
        </w:rPr>
        <w:t>）：</w:t>
      </w:r>
      <w:r>
        <w:rPr>
          <w:rFonts w:hint="eastAsia"/>
          <w:sz w:val="21"/>
          <w:szCs w:val="21"/>
          <w:u w:val="single"/>
        </w:rPr>
        <w:t>     0.8     </w:t>
      </w:r>
      <w:r>
        <w:rPr>
          <w:rFonts w:hint="eastAsia"/>
          <w:sz w:val="21"/>
          <w:szCs w:val="21"/>
        </w:rPr>
        <w:t>，活动场地的遮阳覆盖率</w:t>
      </w:r>
      <w:r>
        <w:rPr>
          <w:rFonts w:hint="eastAsia"/>
          <w:sz w:val="21"/>
          <w:szCs w:val="21"/>
          <w:u w:val="single"/>
        </w:rPr>
        <w:t>     70     </w:t>
      </w:r>
      <w:r>
        <w:rPr>
          <w:rFonts w:hint="eastAsia"/>
          <w:sz w:val="21"/>
          <w:szCs w:val="21"/>
        </w:rPr>
        <w:t xml:space="preserve"> </w:t>
      </w:r>
      <w:r>
        <w:rPr>
          <w:rFonts w:ascii="Calibri" w:hAnsi="Calibri"/>
          <w:sz w:val="21"/>
          <w:szCs w:val="21"/>
        </w:rPr>
        <w:t>%</w:t>
      </w:r>
    </w:p>
    <w:p>
      <w:pPr>
        <w:pStyle w:val="11"/>
        <w:spacing w:before="0" w:beforeAutospacing="0" w:after="0" w:afterAutospacing="0"/>
        <w:jc w:val="both"/>
      </w:pPr>
      <w:r>
        <w:rPr>
          <w:rFonts w:hint="eastAsia"/>
          <w:sz w:val="21"/>
          <w:szCs w:val="21"/>
        </w:rPr>
        <w:t>请简要说明项目降低热岛强度，提高环境舒适度的措施。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111111"/>
                <w:sz w:val="27"/>
                <w:szCs w:val="27"/>
                <w:shd w:val="clear" w:color="auto" w:fill="FFFFFF"/>
              </w:rPr>
              <w:t>1） 合理规划建筑组团布局，保持良好的室外通风状况，减少气流对区域微环境和建筑本身的不利影响； 2） 合理选择下垫面材料、有效配置绿化及水景，</w:t>
            </w:r>
            <w:r>
              <w:rPr>
                <w:rFonts w:hint="eastAsia" w:ascii="微软雅黑" w:hAnsi="微软雅黑" w:eastAsia="微软雅黑"/>
                <w:b/>
                <w:bCs/>
                <w:color w:val="111111"/>
                <w:sz w:val="27"/>
                <w:szCs w:val="27"/>
                <w:shd w:val="clear" w:color="auto" w:fill="FFFFFF"/>
              </w:rPr>
              <w:t>提高</w:t>
            </w:r>
            <w:r>
              <w:rPr>
                <w:rFonts w:hint="eastAsia" w:ascii="微软雅黑" w:hAnsi="微软雅黑" w:eastAsia="微软雅黑"/>
                <w:color w:val="111111"/>
                <w:sz w:val="27"/>
                <w:szCs w:val="27"/>
                <w:shd w:val="clear" w:color="auto" w:fill="FFFFFF"/>
              </w:rPr>
              <w:t>夏季室外</w:t>
            </w:r>
            <w:r>
              <w:rPr>
                <w:rFonts w:hint="eastAsia" w:ascii="微软雅黑" w:hAnsi="微软雅黑" w:eastAsia="微软雅黑"/>
                <w:b/>
                <w:bCs/>
                <w:color w:val="111111"/>
                <w:sz w:val="27"/>
                <w:szCs w:val="27"/>
                <w:shd w:val="clear" w:color="auto" w:fill="FFFFFF"/>
              </w:rPr>
              <w:t>热舒适度，降低热岛强度</w:t>
            </w:r>
            <w:r>
              <w:rPr>
                <w:rFonts w:hint="eastAsia" w:ascii="微软雅黑" w:hAnsi="微软雅黑" w:eastAsia="微软雅黑"/>
                <w:color w:val="111111"/>
                <w:sz w:val="27"/>
                <w:szCs w:val="27"/>
                <w:shd w:val="clear" w:color="auto" w:fill="FFFFFF"/>
              </w:rPr>
              <w:t>；</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）景观专业竣工图纸及设计说明，应包括室外景观总平图、乔木种植平面图、构筑物设计详图、屋面做法详图及道路铺装详图；</w:t>
      </w:r>
    </w:p>
    <w:p>
      <w:pPr>
        <w:pStyle w:val="11"/>
        <w:spacing w:before="0" w:beforeAutospacing="0" w:after="0" w:afterAutospacing="0"/>
        <w:jc w:val="both"/>
      </w:pPr>
      <w:r>
        <w:rPr>
          <w:rFonts w:ascii="Calibri" w:hAnsi="Calibri"/>
          <w:sz w:val="21"/>
          <w:szCs w:val="21"/>
        </w:rPr>
        <w:t>2</w:t>
      </w:r>
      <w:r>
        <w:rPr>
          <w:rFonts w:hint="eastAsia"/>
          <w:sz w:val="21"/>
          <w:szCs w:val="21"/>
        </w:rPr>
        <w:t>）场地热环境计算报告。</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Pr>
              <w:t>景观专业竣工图及设计说明：4景观设计/ 总平面.jpg</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8.1.3 配建的绿地应符合所在地城乡规划的要求，应合理选择绿化方式，植物种植应适应当地气候和土壤，且应无毒害、易维护，种植区域覆土深度和排水能力应满足植物生产需求，并应采用复层绿化方式。</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项目所在地为：</w:t>
      </w:r>
      <w:r>
        <w:rPr>
          <w:rStyle w:val="25"/>
          <w:rFonts w:hint="eastAsia" w:ascii="MS Mincho" w:hAnsi="MS Mincho" w:eastAsia="MS Mincho" w:cs="MS Mincho"/>
          <w:sz w:val="28"/>
          <w:szCs w:val="28"/>
        </w:rPr>
        <w:t>☐</w:t>
      </w:r>
      <w:r>
        <w:rPr>
          <w:rFonts w:hint="eastAsia"/>
          <w:sz w:val="21"/>
          <w:szCs w:val="21"/>
        </w:rPr>
        <w:t xml:space="preserve">华北 </w:t>
      </w:r>
      <w:r>
        <w:rPr>
          <w:rStyle w:val="25"/>
          <w:rFonts w:hint="eastAsia" w:ascii="MS Mincho" w:hAnsi="MS Mincho" w:eastAsia="MS Mincho" w:cs="MS Mincho"/>
          <w:sz w:val="28"/>
          <w:szCs w:val="28"/>
        </w:rPr>
        <w:t>☐</w:t>
      </w:r>
      <w:r>
        <w:rPr>
          <w:rFonts w:hint="eastAsia"/>
          <w:sz w:val="21"/>
          <w:szCs w:val="21"/>
        </w:rPr>
        <w:t xml:space="preserve">东北 </w:t>
      </w:r>
      <w:r>
        <w:rPr>
          <w:rStyle w:val="25"/>
          <w:rFonts w:hint="eastAsia" w:ascii="MS Mincho" w:hAnsi="MS Mincho" w:eastAsia="MS Mincho" w:cs="MS Mincho"/>
          <w:sz w:val="28"/>
          <w:szCs w:val="28"/>
        </w:rPr>
        <w:t>☐</w:t>
      </w:r>
      <w:r>
        <w:rPr>
          <w:rFonts w:hint="eastAsia"/>
          <w:sz w:val="21"/>
          <w:szCs w:val="21"/>
        </w:rPr>
        <w:t xml:space="preserve">西北 </w:t>
      </w:r>
      <w:r>
        <w:rPr>
          <w:rStyle w:val="25"/>
          <w:rFonts w:hint="eastAsia" w:ascii="MS Mincho" w:hAnsi="MS Mincho" w:eastAsia="MS Mincho" w:cs="MS Mincho"/>
          <w:sz w:val="28"/>
          <w:szCs w:val="28"/>
        </w:rPr>
        <w:t>☐</w:t>
      </w:r>
      <w:r>
        <w:rPr>
          <w:rFonts w:hint="eastAsia"/>
          <w:sz w:val="21"/>
          <w:szCs w:val="21"/>
        </w:rPr>
        <w:t xml:space="preserve">华中 </w:t>
      </w:r>
      <w:r>
        <w:rPr>
          <w:rStyle w:val="25"/>
          <w:rFonts w:hint="eastAsia" w:ascii="MS Mincho" w:hAnsi="MS Mincho" w:eastAsia="MS Mincho" w:cs="MS Mincho"/>
          <w:sz w:val="28"/>
          <w:szCs w:val="28"/>
        </w:rPr>
        <w:t>☑</w:t>
      </w:r>
      <w:r>
        <w:rPr>
          <w:rFonts w:hint="eastAsia"/>
          <w:sz w:val="21"/>
          <w:szCs w:val="21"/>
        </w:rPr>
        <w:t xml:space="preserve">华东 </w:t>
      </w:r>
      <w:r>
        <w:rPr>
          <w:rStyle w:val="25"/>
          <w:rFonts w:hint="eastAsia" w:ascii="MS Mincho" w:hAnsi="MS Mincho" w:eastAsia="MS Mincho" w:cs="MS Mincho"/>
          <w:sz w:val="28"/>
          <w:szCs w:val="28"/>
        </w:rPr>
        <w:t>☐</w:t>
      </w:r>
      <w:r>
        <w:rPr>
          <w:rFonts w:hint="eastAsia"/>
          <w:sz w:val="21"/>
          <w:szCs w:val="21"/>
        </w:rPr>
        <w:t xml:space="preserve">华南 </w:t>
      </w:r>
      <w:r>
        <w:rPr>
          <w:rStyle w:val="25"/>
          <w:rFonts w:hint="eastAsia" w:ascii="MS Mincho" w:hAnsi="MS Mincho" w:eastAsia="MS Mincho" w:cs="MS Mincho"/>
          <w:sz w:val="28"/>
          <w:szCs w:val="28"/>
        </w:rPr>
        <w:t>☐</w:t>
      </w:r>
      <w:r>
        <w:rPr>
          <w:rFonts w:hint="eastAsia"/>
          <w:sz w:val="21"/>
          <w:szCs w:val="21"/>
        </w:rPr>
        <w:t>西南</w:t>
      </w:r>
    </w:p>
    <w:p>
      <w:pPr>
        <w:pStyle w:val="11"/>
        <w:spacing w:before="0" w:beforeAutospacing="0" w:after="0" w:afterAutospacing="0"/>
        <w:jc w:val="both"/>
      </w:pPr>
      <w:r>
        <w:rPr>
          <w:rFonts w:hint="eastAsia"/>
          <w:sz w:val="21"/>
          <w:szCs w:val="21"/>
        </w:rPr>
        <w:t>是否主要选用乡土植物：</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否，是否采用复层绿化：</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地下室顶板上覆土深度</w:t>
      </w:r>
      <w:r>
        <w:rPr>
          <w:rFonts w:hint="eastAsia"/>
          <w:sz w:val="21"/>
          <w:szCs w:val="21"/>
          <w:u w:val="single"/>
        </w:rPr>
        <w:t>  0.6   </w:t>
      </w:r>
      <w:r>
        <w:rPr>
          <w:rFonts w:ascii="Calibri" w:hAnsi="Calibri"/>
          <w:sz w:val="21"/>
          <w:szCs w:val="21"/>
        </w:rPr>
        <w:t>m</w:t>
      </w:r>
      <w:r>
        <w:rPr>
          <w:rFonts w:hint="eastAsia"/>
          <w:sz w:val="21"/>
          <w:szCs w:val="21"/>
        </w:rPr>
        <w:t>，当地园林绿化部门要求</w:t>
      </w:r>
      <w:r>
        <w:rPr>
          <w:rFonts w:hint="eastAsia"/>
          <w:sz w:val="21"/>
          <w:szCs w:val="21"/>
          <w:u w:val="single"/>
        </w:rPr>
        <w:t>  0.8-1.3   </w:t>
      </w:r>
      <w:r>
        <w:rPr>
          <w:rFonts w:ascii="Calibri" w:hAnsi="Calibri"/>
          <w:sz w:val="21"/>
          <w:szCs w:val="21"/>
        </w:rPr>
        <w:t>m</w:t>
      </w:r>
      <w:r>
        <w:rPr>
          <w:rFonts w:hint="eastAsia"/>
          <w:sz w:val="21"/>
          <w:szCs w:val="21"/>
        </w:rPr>
        <w:t>，是否设有疏水板及导水管等：</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屋顶可绿化面积</w:t>
      </w:r>
      <w:r>
        <w:rPr>
          <w:rFonts w:hint="eastAsia"/>
          <w:sz w:val="21"/>
          <w:szCs w:val="21"/>
          <w:u w:val="single"/>
        </w:rPr>
        <w:t>    1200    </w:t>
      </w:r>
      <w:r>
        <w:rPr>
          <w:rFonts w:ascii="Calibri" w:hAnsi="Calibri"/>
          <w:sz w:val="21"/>
          <w:szCs w:val="21"/>
        </w:rPr>
        <w:t>m</w:t>
      </w:r>
      <w:r>
        <w:rPr>
          <w:rFonts w:ascii="Calibri" w:hAnsi="Calibri"/>
          <w:sz w:val="14"/>
          <w:szCs w:val="14"/>
          <w:vertAlign w:val="superscript"/>
        </w:rPr>
        <w:t>2</w:t>
      </w:r>
      <w:r>
        <w:rPr>
          <w:rFonts w:hint="eastAsia"/>
          <w:sz w:val="21"/>
          <w:szCs w:val="21"/>
        </w:rPr>
        <w:t>，屋顶绿化面积</w:t>
      </w:r>
      <w:r>
        <w:rPr>
          <w:rFonts w:hint="eastAsia"/>
          <w:sz w:val="21"/>
          <w:szCs w:val="21"/>
          <w:u w:val="single"/>
        </w:rPr>
        <w:t>    800   </w:t>
      </w:r>
      <w:r>
        <w:rPr>
          <w:rFonts w:ascii="Calibri" w:hAnsi="Calibri"/>
          <w:sz w:val="21"/>
          <w:szCs w:val="21"/>
        </w:rPr>
        <w:t>m</w:t>
      </w:r>
      <w:r>
        <w:rPr>
          <w:rFonts w:ascii="Calibri" w:hAnsi="Calibri"/>
          <w:sz w:val="14"/>
          <w:szCs w:val="14"/>
          <w:vertAlign w:val="superscript"/>
        </w:rPr>
        <w:t>2</w:t>
      </w:r>
      <w:r>
        <w:rPr>
          <w:rFonts w:hint="eastAsia"/>
          <w:sz w:val="21"/>
          <w:szCs w:val="21"/>
        </w:rPr>
        <w:t>，屋顶绿化面积比</w:t>
      </w:r>
      <w:r>
        <w:rPr>
          <w:rFonts w:hint="eastAsia"/>
          <w:sz w:val="21"/>
          <w:szCs w:val="21"/>
          <w:u w:val="single"/>
        </w:rPr>
        <w:t>  67   </w:t>
      </w:r>
      <w:r>
        <w:rPr>
          <w:rFonts w:ascii="Calibri" w:hAnsi="Calibri"/>
          <w:sz w:val="21"/>
          <w:szCs w:val="21"/>
        </w:rPr>
        <w:t>%</w:t>
      </w:r>
      <w:r>
        <w:rPr>
          <w:rFonts w:hint="eastAsia"/>
          <w:sz w:val="21"/>
          <w:szCs w:val="21"/>
        </w:rPr>
        <w:t>。</w:t>
      </w:r>
    </w:p>
    <w:p>
      <w:pPr>
        <w:pStyle w:val="11"/>
        <w:spacing w:before="0" w:beforeAutospacing="0" w:after="0" w:afterAutospacing="0"/>
        <w:jc w:val="both"/>
      </w:pPr>
      <w:r>
        <w:rPr>
          <w:rFonts w:hint="eastAsia"/>
          <w:sz w:val="21"/>
          <w:szCs w:val="21"/>
        </w:rPr>
        <w:t>请简要说明项目选择的绿化方式、植物类型。</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本项目选用适应深圳气候土壤条件的本地植物，栽植乔、灌、草结合构成多层次的植物群落且采用屋顶绿化。</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ind w:left="10" w:hanging="200"/>
        <w:jc w:val="both"/>
      </w:pPr>
      <w:r>
        <w:rPr>
          <w:rFonts w:ascii="Calibri" w:hAnsi="Calibri"/>
          <w:sz w:val="21"/>
          <w:szCs w:val="21"/>
        </w:rPr>
        <w:t>1</w:t>
      </w:r>
      <w:r>
        <w:rPr>
          <w:rFonts w:hint="eastAsia"/>
          <w:sz w:val="21"/>
          <w:szCs w:val="21"/>
        </w:rPr>
        <w:t>）景观专业竣工图纸及设计说明，应包括苗木表、乔木种植平面图；</w:t>
      </w:r>
    </w:p>
    <w:p>
      <w:pPr>
        <w:pStyle w:val="11"/>
        <w:spacing w:before="0" w:beforeAutospacing="0" w:after="0" w:afterAutospacing="0"/>
        <w:ind w:left="10" w:hanging="200"/>
        <w:jc w:val="both"/>
      </w:pPr>
      <w:r>
        <w:rPr>
          <w:rFonts w:ascii="Calibri" w:hAnsi="Calibri"/>
          <w:sz w:val="21"/>
          <w:szCs w:val="21"/>
        </w:rPr>
        <w:t>2</w:t>
      </w:r>
      <w:r>
        <w:rPr>
          <w:rFonts w:hint="eastAsia"/>
          <w:sz w:val="21"/>
          <w:szCs w:val="21"/>
        </w:rPr>
        <w:t>）建筑专业及给排水专业竣工图纸及设计说明，应包括屋顶绿化、垂直绿化的绿化区域及面积、覆土深度、排水能力的内容；</w:t>
      </w:r>
    </w:p>
    <w:p>
      <w:pPr>
        <w:pStyle w:val="11"/>
        <w:spacing w:before="0" w:beforeAutospacing="0" w:after="0" w:afterAutospacing="0"/>
        <w:ind w:left="10" w:hanging="200"/>
        <w:jc w:val="both"/>
      </w:pPr>
      <w:r>
        <w:rPr>
          <w:rFonts w:ascii="Calibri" w:hAnsi="Calibri"/>
          <w:sz w:val="21"/>
          <w:szCs w:val="21"/>
        </w:rPr>
        <w:t>3</w:t>
      </w:r>
      <w:r>
        <w:rPr>
          <w:rFonts w:hint="eastAsia"/>
          <w:sz w:val="21"/>
          <w:szCs w:val="21"/>
        </w:rPr>
        <w:t>）职务订购合同、苗木出圃证明文件。</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景观专业图纸及设计说明：4景观设计/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建筑设计图纸及设计说明：3建筑设计/ 建筑设计图纸及设计说明/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给排水专业图纸及设计说明：6给排水设计/ 建筑施工图.dwg</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8.1.4 场地的竖向设计应有利于雨水的收集或排放，应有效组织雨水的下渗、滞蓄或再利用；对大于10hm2的场地应进行雨水控制利用专项设计。</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项目位于</w:t>
      </w:r>
      <w:r>
        <w:rPr>
          <w:rFonts w:hint="eastAsia"/>
          <w:sz w:val="21"/>
          <w:szCs w:val="21"/>
          <w:u w:val="single"/>
        </w:rPr>
        <w:t>   江苏省常州市    </w:t>
      </w:r>
      <w:r>
        <w:rPr>
          <w:rFonts w:hint="eastAsia"/>
          <w:sz w:val="21"/>
          <w:szCs w:val="21"/>
        </w:rPr>
        <w:t>，当地年均降雨量</w:t>
      </w:r>
      <w:r>
        <w:rPr>
          <w:rFonts w:hint="eastAsia"/>
          <w:sz w:val="21"/>
          <w:szCs w:val="21"/>
          <w:u w:val="single"/>
        </w:rPr>
        <w:t>  1066   </w:t>
      </w:r>
      <w:r>
        <w:rPr>
          <w:rFonts w:ascii="Calibri" w:hAnsi="Calibri"/>
          <w:sz w:val="21"/>
          <w:szCs w:val="21"/>
        </w:rPr>
        <w:t>mm</w:t>
      </w:r>
      <w:r>
        <w:rPr>
          <w:rFonts w:hint="eastAsia"/>
          <w:sz w:val="21"/>
          <w:szCs w:val="21"/>
        </w:rPr>
        <w:t>，项目用地面积</w:t>
      </w:r>
      <w:r>
        <w:rPr>
          <w:rFonts w:hint="eastAsia"/>
          <w:sz w:val="21"/>
          <w:szCs w:val="21"/>
          <w:u w:val="single"/>
        </w:rPr>
        <w:t>    9253   </w:t>
      </w:r>
      <w:r>
        <w:rPr>
          <w:rFonts w:ascii="Calibri" w:hAnsi="Calibri"/>
          <w:sz w:val="21"/>
          <w:szCs w:val="21"/>
        </w:rPr>
        <w:t>m</w:t>
      </w:r>
      <w:r>
        <w:rPr>
          <w:rFonts w:ascii="Calibri" w:hAnsi="Calibri"/>
          <w:sz w:val="14"/>
          <w:szCs w:val="14"/>
          <w:vertAlign w:val="superscript"/>
        </w:rPr>
        <w:t>2</w:t>
      </w:r>
      <w:r>
        <w:rPr>
          <w:rFonts w:hint="eastAsia"/>
          <w:sz w:val="21"/>
          <w:szCs w:val="21"/>
        </w:rPr>
        <w:t>，</w:t>
      </w:r>
    </w:p>
    <w:p>
      <w:pPr>
        <w:pStyle w:val="11"/>
        <w:spacing w:before="0" w:beforeAutospacing="0" w:after="0" w:afterAutospacing="0"/>
        <w:jc w:val="both"/>
      </w:pPr>
      <w:r>
        <w:rPr>
          <w:rFonts w:hint="eastAsia"/>
          <w:sz w:val="21"/>
          <w:szCs w:val="21"/>
        </w:rPr>
        <w:t>是否进行雨水专项规划设计：</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请简要说明项目竖向雨水设计情况，如有雨水专项规划设计内容，应着重说明雨水利用、径流减排、污染控制等各子系统的关联性。</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雨水通过管网汇集，通过截污挂篮、弃流过滤收集至蓄水池，利用雨水处理设备对水质进行消毒和初过滤，然后送至景观水池。景观水池设循环泵和循环给水管，利用地埋一体机实现水质的精细过滤，进行自循环净化处理。</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ind w:left="10" w:hanging="200"/>
        <w:jc w:val="both"/>
      </w:pPr>
      <w:r>
        <w:rPr>
          <w:rFonts w:ascii="Calibri" w:hAnsi="Calibri"/>
          <w:sz w:val="21"/>
          <w:szCs w:val="21"/>
        </w:rPr>
        <w:t>1</w:t>
      </w:r>
      <w:r>
        <w:rPr>
          <w:rFonts w:hint="eastAsia"/>
          <w:sz w:val="21"/>
          <w:szCs w:val="21"/>
        </w:rPr>
        <w:t>）场地地形图、场地竖向设计图纸及设计说明；</w:t>
      </w:r>
    </w:p>
    <w:p>
      <w:pPr>
        <w:pStyle w:val="11"/>
        <w:spacing w:before="0" w:beforeAutospacing="0" w:after="0" w:afterAutospacing="0"/>
        <w:jc w:val="both"/>
      </w:pPr>
      <w:r>
        <w:rPr>
          <w:rFonts w:ascii="Calibri" w:hAnsi="Calibri"/>
          <w:sz w:val="21"/>
          <w:szCs w:val="21"/>
        </w:rPr>
        <w:t>2</w:t>
      </w:r>
      <w:r>
        <w:rPr>
          <w:rFonts w:hint="eastAsia"/>
          <w:sz w:val="21"/>
          <w:szCs w:val="21"/>
        </w:rPr>
        <w:t>）年径流总量控制率计算书、设计控制雨量计算书；</w:t>
      </w:r>
    </w:p>
    <w:p>
      <w:pPr>
        <w:pStyle w:val="11"/>
        <w:spacing w:before="0" w:beforeAutospacing="0" w:after="0" w:afterAutospacing="0"/>
        <w:jc w:val="both"/>
      </w:pPr>
      <w:r>
        <w:rPr>
          <w:rFonts w:ascii="Calibri" w:hAnsi="Calibri"/>
          <w:sz w:val="21"/>
          <w:szCs w:val="21"/>
        </w:rPr>
        <w:t>3</w:t>
      </w:r>
      <w:r>
        <w:rPr>
          <w:rFonts w:hint="eastAsia"/>
          <w:sz w:val="21"/>
          <w:szCs w:val="21"/>
        </w:rPr>
        <w:t>）雨水控制利用专项规划设计文件。</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雨水控制利用专项规划设计文件：6给排水设计/ 雨水控制利用专项规划设计方案.docx</w:t>
            </w:r>
            <w:r>
              <w:rPr>
                <w:rFonts w:ascii="Times New Roman" w:hAnsi="Times New Roman" w:cs="Times New Roman"/>
                <w:sz w:val="20"/>
                <w:szCs w:val="20"/>
              </w:rPr>
              <w:br w:type="textWrapping"/>
            </w:r>
            <w:r>
              <w:rPr>
                <w:rStyle w:val="26"/>
                <w:rFonts w:ascii="Times New Roman" w:hAnsi="Times New Roman" w:cs="Times New Roman"/>
                <w:sz w:val="20"/>
                <w:szCs w:val="20"/>
              </w:rPr>
              <w:t>设计控制雨量计算书：6给排水设计/ 设计控制雨量计算书.docx</w:t>
            </w:r>
            <w:r>
              <w:rPr>
                <w:rFonts w:ascii="Times New Roman" w:hAnsi="Times New Roman" w:cs="Times New Roman"/>
                <w:sz w:val="20"/>
                <w:szCs w:val="20"/>
              </w:rPr>
              <w:br w:type="textWrapping"/>
            </w:r>
            <w:r>
              <w:rPr>
                <w:rStyle w:val="26"/>
                <w:rFonts w:ascii="Times New Roman" w:hAnsi="Times New Roman" w:cs="Times New Roman"/>
                <w:sz w:val="20"/>
                <w:szCs w:val="20"/>
              </w:rPr>
              <w:t>年径流总量控制率计算书：6给排水设计/ 年径流总量控制率计算书.docx</w:t>
            </w:r>
            <w:r>
              <w:rPr>
                <w:rFonts w:ascii="Times New Roman" w:hAnsi="Times New Roman" w:cs="Times New Roman"/>
                <w:sz w:val="20"/>
                <w:szCs w:val="20"/>
              </w:rPr>
              <w:br w:type="textWrapping"/>
            </w:r>
            <w:r>
              <w:rPr>
                <w:rStyle w:val="26"/>
                <w:rFonts w:ascii="Times New Roman" w:hAnsi="Times New Roman" w:cs="Times New Roman"/>
                <w:sz w:val="20"/>
                <w:szCs w:val="20"/>
              </w:rPr>
              <w:t>场地地形图：3建筑设计/ 新桥幼儿园地形-17(1).dwg</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8.1.5 建筑内外均应设置便于识别和使用的标识系统。</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标识系统是否具备如下特点：</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w:t>
      </w:r>
      <w:r>
        <w:rPr>
          <w:rFonts w:ascii="Times New Roman" w:hAnsi="Times New Roman" w:cs="Times New Roman"/>
          <w:sz w:val="14"/>
          <w:szCs w:val="14"/>
        </w:rPr>
        <w:t xml:space="preserve">     </w:t>
      </w:r>
      <w:r>
        <w:rPr>
          <w:rFonts w:hint="eastAsia"/>
          <w:sz w:val="21"/>
          <w:szCs w:val="21"/>
        </w:rPr>
        <w:t xml:space="preserve">同一种类型标识信息区分信息的重要程度，在统一版面布置； </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w:t>
      </w:r>
      <w:r>
        <w:rPr>
          <w:rFonts w:ascii="Times New Roman" w:hAnsi="Times New Roman" w:cs="Times New Roman"/>
          <w:sz w:val="14"/>
          <w:szCs w:val="14"/>
        </w:rPr>
        <w:t xml:space="preserve">     </w:t>
      </w:r>
      <w:r>
        <w:rPr>
          <w:rFonts w:hint="eastAsia"/>
          <w:sz w:val="21"/>
          <w:szCs w:val="21"/>
        </w:rPr>
        <w:t xml:space="preserve">不同类型标识信息版面单独设置； </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w:t>
      </w:r>
      <w:r>
        <w:rPr>
          <w:rFonts w:ascii="Times New Roman" w:hAnsi="Times New Roman" w:cs="Times New Roman"/>
          <w:sz w:val="14"/>
          <w:szCs w:val="14"/>
        </w:rPr>
        <w:t xml:space="preserve">     </w:t>
      </w:r>
      <w:r>
        <w:rPr>
          <w:rFonts w:hint="eastAsia"/>
          <w:sz w:val="21"/>
          <w:szCs w:val="21"/>
        </w:rPr>
        <w:t xml:space="preserve">有无障碍设施空间环境中，设置有无障碍信息； </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w:t>
      </w:r>
      <w:r>
        <w:rPr>
          <w:rFonts w:ascii="Times New Roman" w:hAnsi="Times New Roman" w:cs="Times New Roman"/>
          <w:sz w:val="14"/>
          <w:szCs w:val="14"/>
        </w:rPr>
        <w:t xml:space="preserve">     </w:t>
      </w:r>
      <w:r>
        <w:rPr>
          <w:rFonts w:hint="eastAsia"/>
          <w:sz w:val="21"/>
          <w:szCs w:val="21"/>
        </w:rPr>
        <w:t>导向标识信息系统应具有便于及时更新与扩充内容的可调整性。 </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请简要说明标识系统的类型、位置和使用效果。</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ascii="Arial" w:hAnsi="Arial" w:cs="Arial"/>
                <w:color w:val="191919"/>
                <w:shd w:val="clear" w:color="auto" w:fill="FFFFFF"/>
              </w:rPr>
              <w:t>是指按一定的标准、工艺、造型、色彩等，将特定区域内的标识物统一化、规范化、整体化，并以此为导视，综合解决信息传递、识别、辨别和形象传递等功能</w:t>
            </w:r>
            <w:r>
              <w:rPr>
                <w:rFonts w:hint="eastAsia"/>
                <w:sz w:val="20"/>
                <w:szCs w:val="20"/>
              </w:rPr>
              <w:br w:type="textWrapping"/>
            </w:r>
            <w:r>
              <w:rPr>
                <w:rFonts w:hint="eastAsia" w:ascii="MS Mincho" w:hAnsi="MS Mincho" w:eastAsia="MS Mincho" w:cs="MS Mincho"/>
                <w:sz w:val="20"/>
                <w:szCs w:val="20"/>
              </w:rPr>
              <w:t>​</w:t>
            </w:r>
            <w:r>
              <w:rPr>
                <w:rFonts w:hint="eastAsia" w:ascii="微软雅黑" w:hAnsi="微软雅黑" w:eastAsia="微软雅黑"/>
                <w:color w:val="121212"/>
                <w:sz w:val="27"/>
                <w:szCs w:val="27"/>
                <w:shd w:val="clear" w:color="auto" w:fill="FFFFFF"/>
              </w:rPr>
              <w:t>标识导向系统，也称导向</w:t>
            </w:r>
            <w:r>
              <w:rPr>
                <w:rFonts w:hint="eastAsia" w:ascii="微软雅黑" w:hAnsi="微软雅黑" w:eastAsia="微软雅黑"/>
                <w:b/>
                <w:bCs/>
                <w:color w:val="121212"/>
                <w:sz w:val="27"/>
                <w:szCs w:val="27"/>
                <w:shd w:val="clear" w:color="auto" w:fill="FFFFFF"/>
              </w:rPr>
              <w:t>标识系统</w:t>
            </w:r>
            <w:r>
              <w:rPr>
                <w:rFonts w:hint="eastAsia" w:ascii="微软雅黑" w:hAnsi="微软雅黑" w:eastAsia="微软雅黑"/>
                <w:color w:val="121212"/>
                <w:sz w:val="27"/>
                <w:szCs w:val="27"/>
                <w:shd w:val="clear" w:color="auto" w:fill="FFFFFF"/>
              </w:rPr>
              <w:t>，实质上就是方向信息与位置信息的有机结合体，说白了就是一种风格统一、信息明确的路标、标识。根据信息要素的类型，导向标识系统分为以下五大类指南标识类、诱导标识类、</w:t>
            </w:r>
            <w:r>
              <w:rPr>
                <w:rFonts w:hint="eastAsia" w:ascii="微软雅黑" w:hAnsi="微软雅黑" w:eastAsia="微软雅黑"/>
                <w:b/>
                <w:bCs/>
                <w:color w:val="121212"/>
                <w:sz w:val="27"/>
                <w:szCs w:val="27"/>
                <w:shd w:val="clear" w:color="auto" w:fill="FFFFFF"/>
              </w:rPr>
              <w:t>名称标识类</w:t>
            </w:r>
            <w:r>
              <w:rPr>
                <w:rFonts w:hint="eastAsia" w:ascii="微软雅黑" w:hAnsi="微软雅黑" w:eastAsia="微软雅黑"/>
                <w:color w:val="121212"/>
                <w:sz w:val="27"/>
                <w:szCs w:val="27"/>
                <w:shd w:val="clear" w:color="auto" w:fill="FFFFFF"/>
              </w:rPr>
              <w:t>、说明标识类</w:t>
            </w:r>
            <w:r>
              <w:rPr>
                <w:rFonts w:hint="eastAsia" w:ascii="微软雅黑" w:hAnsi="微软雅黑" w:eastAsia="微软雅黑"/>
                <w:b/>
                <w:bCs/>
                <w:color w:val="121212"/>
                <w:sz w:val="27"/>
                <w:szCs w:val="27"/>
                <w:shd w:val="clear" w:color="auto" w:fill="FFFFFF"/>
              </w:rPr>
              <w:t>、禁止标识类</w:t>
            </w:r>
            <w:r>
              <w:rPr>
                <w:rFonts w:hint="eastAsia" w:ascii="微软雅黑" w:hAnsi="微软雅黑" w:eastAsia="微软雅黑"/>
                <w:color w:val="121212"/>
                <w:sz w:val="27"/>
                <w:szCs w:val="27"/>
                <w:shd w:val="clear" w:color="auto" w:fill="FFFFFF"/>
              </w:rPr>
              <w:t>；</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）竣工总平面图；</w:t>
      </w:r>
    </w:p>
    <w:p>
      <w:pPr>
        <w:pStyle w:val="11"/>
        <w:spacing w:before="0" w:beforeAutospacing="0" w:after="0" w:afterAutospacing="0"/>
        <w:jc w:val="both"/>
      </w:pPr>
      <w:r>
        <w:rPr>
          <w:rFonts w:ascii="Calibri" w:hAnsi="Calibri"/>
          <w:sz w:val="21"/>
          <w:szCs w:val="21"/>
        </w:rPr>
        <w:t>2</w:t>
      </w:r>
      <w:r>
        <w:rPr>
          <w:rFonts w:hint="eastAsia"/>
          <w:sz w:val="21"/>
          <w:szCs w:val="21"/>
        </w:rPr>
        <w:t>）标识系统设计文件。</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标识系统的设计与设置说明文件：3建筑设计/ 4.1.8标识系统的设计与设置说明文件.docx</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8.1.6 场地内不应有排放超标的污染源。</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场地内是否有以下建筑或设施：</w:t>
      </w:r>
      <w:r>
        <w:rPr>
          <w:rStyle w:val="25"/>
          <w:rFonts w:hint="eastAsia" w:ascii="MS Mincho" w:hAnsi="MS Mincho" w:eastAsia="MS Mincho" w:cs="MS Mincho"/>
          <w:sz w:val="28"/>
          <w:szCs w:val="28"/>
        </w:rPr>
        <w:t>☐</w:t>
      </w:r>
      <w:r>
        <w:rPr>
          <w:rFonts w:hint="eastAsia"/>
          <w:sz w:val="21"/>
          <w:szCs w:val="21"/>
        </w:rPr>
        <w:t xml:space="preserve">餐饮类建筑 </w:t>
      </w:r>
      <w:r>
        <w:rPr>
          <w:rStyle w:val="25"/>
          <w:rFonts w:hint="eastAsia" w:ascii="MS Mincho" w:hAnsi="MS Mincho" w:eastAsia="MS Mincho" w:cs="MS Mincho"/>
          <w:sz w:val="28"/>
          <w:szCs w:val="28"/>
        </w:rPr>
        <w:t>☐</w:t>
      </w:r>
      <w:r>
        <w:rPr>
          <w:rFonts w:hint="eastAsia"/>
          <w:sz w:val="21"/>
          <w:szCs w:val="21"/>
        </w:rPr>
        <w:t xml:space="preserve">锅炉房 </w:t>
      </w:r>
      <w:r>
        <w:rPr>
          <w:rStyle w:val="25"/>
          <w:rFonts w:hint="eastAsia" w:ascii="MS Mincho" w:hAnsi="MS Mincho" w:eastAsia="MS Mincho" w:cs="MS Mincho"/>
          <w:sz w:val="28"/>
          <w:szCs w:val="28"/>
        </w:rPr>
        <w:t>☐</w:t>
      </w:r>
      <w:r>
        <w:rPr>
          <w:rFonts w:hint="eastAsia"/>
          <w:sz w:val="21"/>
          <w:szCs w:val="21"/>
        </w:rPr>
        <w:t xml:space="preserve">垃圾运转站 </w:t>
      </w:r>
      <w:r>
        <w:rPr>
          <w:rStyle w:val="25"/>
          <w:rFonts w:hint="eastAsia" w:ascii="MS Mincho" w:hAnsi="MS Mincho" w:eastAsia="MS Mincho" w:cs="MS Mincho"/>
          <w:sz w:val="28"/>
          <w:szCs w:val="28"/>
        </w:rPr>
        <w:t>☐</w:t>
      </w:r>
      <w:r>
        <w:rPr>
          <w:rFonts w:hint="eastAsia"/>
          <w:sz w:val="21"/>
          <w:szCs w:val="21"/>
        </w:rPr>
        <w:t>其他易产生烟、气、尘、噪声的建筑或设施</w:t>
      </w:r>
      <w:r>
        <w:rPr>
          <w:rFonts w:hint="eastAsia"/>
          <w:sz w:val="21"/>
          <w:szCs w:val="21"/>
          <w:u w:val="single"/>
        </w:rPr>
        <w:t xml:space="preserve">     </w:t>
      </w:r>
      <w:r>
        <w:rPr>
          <w:rStyle w:val="25"/>
          <w:rFonts w:hint="eastAsia" w:ascii="MS Mincho" w:hAnsi="MS Mincho" w:eastAsia="MS Mincho" w:cs="MS Mincho"/>
          <w:sz w:val="28"/>
          <w:szCs w:val="28"/>
        </w:rPr>
        <w:t>☑</w:t>
      </w:r>
      <w:r>
        <w:rPr>
          <w:rFonts w:hint="eastAsia"/>
          <w:sz w:val="21"/>
          <w:szCs w:val="21"/>
        </w:rPr>
        <w:t>以上皆无</w:t>
      </w:r>
    </w:p>
    <w:p>
      <w:pPr>
        <w:pStyle w:val="11"/>
        <w:spacing w:before="0" w:beforeAutospacing="0" w:after="0" w:afterAutospacing="0"/>
        <w:jc w:val="both"/>
      </w:pPr>
      <w:r>
        <w:rPr>
          <w:rFonts w:hint="eastAsia"/>
          <w:sz w:val="21"/>
          <w:szCs w:val="21"/>
        </w:rPr>
        <w:t>如有以上建筑或设施，请简要说明避免排放超标的控制措施。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根据本项目内部功能布局，项目建成后对环境空气质量可能会造成影响的主要污染源有备用发电机燃油尾气、机动车尾气、固体废弃物、废水和噪声。</w:t>
            </w:r>
          </w:p>
          <w:p>
            <w:pPr>
              <w:pStyle w:val="11"/>
              <w:spacing w:before="0" w:beforeAutospacing="0" w:after="0" w:afterAutospacing="0"/>
              <w:ind w:firstLine="400"/>
            </w:pPr>
            <w:r>
              <w:rPr>
                <w:rFonts w:ascii="Times New Roman" w:hAnsi="Times New Roman" w:cs="Times New Roman"/>
                <w:sz w:val="20"/>
                <w:szCs w:val="20"/>
              </w:rPr>
              <w:t>1</w:t>
            </w:r>
            <w:r>
              <w:rPr>
                <w:rFonts w:hint="eastAsia"/>
                <w:sz w:val="20"/>
                <w:szCs w:val="20"/>
              </w:rPr>
              <w:t>、废气：本项目地下车库有少量的汽车尾气产生，地下车库设计有完善的抽风设施，经通</w:t>
            </w:r>
          </w:p>
          <w:p>
            <w:pPr>
              <w:pStyle w:val="11"/>
              <w:spacing w:before="0" w:beforeAutospacing="0" w:after="0" w:afterAutospacing="0"/>
              <w:ind w:firstLine="400"/>
            </w:pPr>
            <w:r>
              <w:rPr>
                <w:rFonts w:hint="eastAsia"/>
                <w:sz w:val="20"/>
                <w:szCs w:val="20"/>
              </w:rPr>
              <w:t>风设施抽至排风井引出地面排放。备用柴油发电机运行过程中产生燃油废气，发电机房设置</w:t>
            </w:r>
          </w:p>
          <w:p>
            <w:pPr>
              <w:pStyle w:val="11"/>
              <w:spacing w:before="0" w:beforeAutospacing="0" w:after="0" w:afterAutospacing="0"/>
              <w:ind w:firstLine="400"/>
            </w:pPr>
            <w:r>
              <w:rPr>
                <w:rFonts w:hint="eastAsia"/>
                <w:sz w:val="20"/>
                <w:szCs w:val="20"/>
              </w:rPr>
              <w:t>于地下专用设备房内并设置洗烟措施，建筑内部设置专用排烟道。</w:t>
            </w:r>
          </w:p>
          <w:p>
            <w:pPr>
              <w:pStyle w:val="11"/>
              <w:spacing w:before="0" w:beforeAutospacing="0" w:after="0" w:afterAutospacing="0"/>
              <w:ind w:firstLine="400"/>
            </w:pPr>
            <w:r>
              <w:rPr>
                <w:rFonts w:ascii="Times New Roman" w:hAnsi="Times New Roman" w:cs="Times New Roman"/>
                <w:sz w:val="20"/>
                <w:szCs w:val="20"/>
              </w:rPr>
              <w:t>2</w:t>
            </w:r>
            <w:r>
              <w:rPr>
                <w:rFonts w:hint="eastAsia"/>
                <w:sz w:val="20"/>
                <w:szCs w:val="20"/>
              </w:rPr>
              <w:t>、固定废弃物：本项目固体废弃物主要为生活垃圾，及时收集后至垃圾处理站后由环卫部</w:t>
            </w:r>
          </w:p>
          <w:p>
            <w:pPr>
              <w:pStyle w:val="11"/>
              <w:spacing w:before="0" w:beforeAutospacing="0" w:after="0" w:afterAutospacing="0"/>
              <w:ind w:firstLine="400"/>
            </w:pPr>
            <w:r>
              <w:rPr>
                <w:rFonts w:hint="eastAsia"/>
                <w:sz w:val="20"/>
                <w:szCs w:val="20"/>
              </w:rPr>
              <w:t>门统一及时清运处理，对周围环境影响较小。</w:t>
            </w:r>
          </w:p>
          <w:p>
            <w:pPr>
              <w:pStyle w:val="11"/>
              <w:spacing w:before="0" w:beforeAutospacing="0" w:after="0" w:afterAutospacing="0"/>
              <w:ind w:firstLine="400"/>
            </w:pPr>
            <w:r>
              <w:rPr>
                <w:rFonts w:ascii="Times New Roman" w:hAnsi="Times New Roman" w:cs="Times New Roman"/>
                <w:sz w:val="20"/>
                <w:szCs w:val="20"/>
              </w:rPr>
              <w:t>3</w:t>
            </w:r>
            <w:r>
              <w:rPr>
                <w:rFonts w:hint="eastAsia"/>
                <w:sz w:val="20"/>
                <w:szCs w:val="20"/>
              </w:rPr>
              <w:t>、废水：本项目产生的废水主要为生活污水、车库冲洗废水等，项目所在区域属于横岭污</w:t>
            </w:r>
          </w:p>
          <w:p>
            <w:pPr>
              <w:pStyle w:val="11"/>
              <w:spacing w:before="0" w:beforeAutospacing="0" w:after="0" w:afterAutospacing="0"/>
              <w:ind w:firstLine="400"/>
            </w:pPr>
            <w:r>
              <w:rPr>
                <w:rFonts w:hint="eastAsia"/>
                <w:sz w:val="20"/>
                <w:szCs w:val="20"/>
              </w:rPr>
              <w:t>水处理厂的受纳范围，生活污水经化粪池处理、地下车库冲洗废水经隔油沉砂池处理后进入</w:t>
            </w:r>
          </w:p>
          <w:p>
            <w:pPr>
              <w:pStyle w:val="11"/>
              <w:spacing w:before="0" w:beforeAutospacing="0" w:after="0" w:afterAutospacing="0"/>
              <w:ind w:firstLine="400"/>
            </w:pPr>
            <w:r>
              <w:rPr>
                <w:rFonts w:hint="eastAsia"/>
                <w:sz w:val="20"/>
                <w:szCs w:val="20"/>
              </w:rPr>
              <w:t>市政污水管网排入污水处理厂进行处理。</w:t>
            </w:r>
          </w:p>
          <w:p>
            <w:pPr>
              <w:pStyle w:val="11"/>
              <w:spacing w:before="0" w:beforeAutospacing="0" w:after="0" w:afterAutospacing="0"/>
              <w:ind w:firstLine="400"/>
            </w:pPr>
            <w:r>
              <w:rPr>
                <w:rFonts w:ascii="Times New Roman" w:hAnsi="Times New Roman" w:cs="Times New Roman"/>
                <w:sz w:val="20"/>
                <w:szCs w:val="20"/>
              </w:rPr>
              <w:t>4</w:t>
            </w:r>
            <w:r>
              <w:rPr>
                <w:rFonts w:hint="eastAsia"/>
                <w:sz w:val="20"/>
                <w:szCs w:val="20"/>
              </w:rPr>
              <w:t>、噪声：项目噪声影响来源于各风机、备用发电机等设备噪声、停车场汽车噪声以及商业</w:t>
            </w:r>
          </w:p>
          <w:p>
            <w:pPr>
              <w:pStyle w:val="11"/>
              <w:spacing w:before="0" w:beforeAutospacing="0" w:after="0" w:afterAutospacing="0"/>
              <w:ind w:firstLine="400"/>
            </w:pPr>
            <w:r>
              <w:rPr>
                <w:rFonts w:hint="eastAsia"/>
                <w:sz w:val="20"/>
                <w:szCs w:val="20"/>
              </w:rPr>
              <w:t>噪声，通过完善停车场的车辆管理制度、采取有效的噪声防治措施降低环境影响，不会对项</w:t>
            </w:r>
          </w:p>
          <w:p>
            <w:pPr>
              <w:pStyle w:val="11"/>
              <w:spacing w:before="0" w:beforeAutospacing="0" w:after="0" w:afterAutospacing="0"/>
              <w:ind w:firstLine="400"/>
            </w:pPr>
            <w:r>
              <w:rPr>
                <w:rFonts w:hint="eastAsia"/>
                <w:sz w:val="20"/>
                <w:szCs w:val="20"/>
              </w:rPr>
              <w:t>目内部环境和周边声环境产生明显影响。</w:t>
            </w:r>
          </w:p>
          <w:p>
            <w:pPr>
              <w:pStyle w:val="11"/>
              <w:spacing w:before="0" w:beforeAutospacing="0" w:after="0" w:afterAutospacing="0"/>
              <w:ind w:firstLine="400"/>
            </w:pPr>
            <w:r>
              <w:rPr>
                <w:rFonts w:hint="eastAsia"/>
                <w:sz w:val="20"/>
                <w:szCs w:val="20"/>
              </w:rPr>
              <w:t>各种污染物（如废气烟气、废水污水、垃圾、建筑材料所含污染物等）均采取了措施控制。</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）环评报告书（表）或环境影响自评估报告；</w:t>
      </w:r>
    </w:p>
    <w:p>
      <w:pPr>
        <w:pStyle w:val="11"/>
        <w:spacing w:before="0" w:beforeAutospacing="0" w:after="0" w:afterAutospacing="0"/>
        <w:jc w:val="both"/>
      </w:pPr>
      <w:r>
        <w:rPr>
          <w:rFonts w:ascii="Calibri" w:hAnsi="Calibri"/>
          <w:sz w:val="21"/>
          <w:szCs w:val="21"/>
        </w:rPr>
        <w:t>2</w:t>
      </w:r>
      <w:r>
        <w:rPr>
          <w:rFonts w:hint="eastAsia"/>
          <w:sz w:val="21"/>
          <w:szCs w:val="21"/>
        </w:rPr>
        <w:t>）治理措施分析报告，应包括对污染物防治的措施分析及落实情况；</w:t>
      </w:r>
    </w:p>
    <w:p>
      <w:pPr>
        <w:pStyle w:val="11"/>
        <w:spacing w:before="0" w:beforeAutospacing="0" w:after="0" w:afterAutospacing="0"/>
        <w:jc w:val="both"/>
      </w:pPr>
      <w:r>
        <w:rPr>
          <w:rFonts w:ascii="Calibri" w:hAnsi="Calibri"/>
          <w:sz w:val="21"/>
          <w:szCs w:val="21"/>
        </w:rPr>
        <w:t>3</w:t>
      </w:r>
      <w:r>
        <w:rPr>
          <w:rFonts w:hint="eastAsia"/>
          <w:sz w:val="21"/>
          <w:szCs w:val="21"/>
        </w:rPr>
        <w:t>）检测报告。</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环评报告：2规划设计/ 环评报告书.docx</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8.1.7 生活垃圾应分类收集，垃圾容器和收集点的设置应合理并应与周围景观协调。</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达标；</w:t>
      </w:r>
      <w:r>
        <w:rPr>
          <w:rStyle w:val="25"/>
          <w:rFonts w:hint="eastAsia" w:ascii="MS Mincho" w:hAnsi="MS Mincho" w:eastAsia="MS Mincho" w:cs="MS Mincho"/>
          <w:sz w:val="28"/>
          <w:szCs w:val="28"/>
        </w:rPr>
        <w:t>☐</w:t>
      </w:r>
      <w:r>
        <w:rPr>
          <w:rFonts w:hint="eastAsia"/>
          <w:sz w:val="21"/>
          <w:szCs w:val="21"/>
        </w:rPr>
        <w:t>不达标</w:t>
      </w:r>
    </w:p>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项目是否制定垃圾管理制度：</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垃圾管理制度中是否明确对可回收垃圾、厨余垃圾、有害垃圾等进行分类收集：</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项目场地是否设置分类垃圾容器或收集站（点）：</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垃圾设施是否与景观协调：</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请简要说明项目垃圾管理制度的内容，应包括垃圾容器和收集点的设置数量和位置，以及清运和处理措施。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场地内固体废弃物主要通过场地内设置有盖垃圾收集桶及物业的及时清运保证室外环境的清洁。</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）环境卫生专业设计说明；</w:t>
      </w:r>
    </w:p>
    <w:p>
      <w:pPr>
        <w:pStyle w:val="11"/>
        <w:spacing w:before="0" w:beforeAutospacing="0" w:after="0" w:afterAutospacing="0"/>
        <w:jc w:val="both"/>
      </w:pPr>
      <w:r>
        <w:rPr>
          <w:rFonts w:ascii="Calibri" w:hAnsi="Calibri"/>
          <w:sz w:val="21"/>
          <w:szCs w:val="21"/>
        </w:rPr>
        <w:t>2</w:t>
      </w:r>
      <w:r>
        <w:rPr>
          <w:rFonts w:hint="eastAsia"/>
          <w:sz w:val="21"/>
          <w:szCs w:val="21"/>
        </w:rPr>
        <w:t>）设备材料表；</w:t>
      </w:r>
    </w:p>
    <w:p>
      <w:pPr>
        <w:pStyle w:val="11"/>
        <w:spacing w:before="0" w:beforeAutospacing="0" w:after="0" w:afterAutospacing="0"/>
        <w:jc w:val="both"/>
      </w:pPr>
      <w:r>
        <w:rPr>
          <w:rFonts w:ascii="Calibri" w:hAnsi="Calibri"/>
          <w:sz w:val="21"/>
          <w:szCs w:val="21"/>
        </w:rPr>
        <w:t>3</w:t>
      </w:r>
      <w:r>
        <w:rPr>
          <w:rFonts w:hint="eastAsia"/>
          <w:sz w:val="21"/>
          <w:szCs w:val="21"/>
        </w:rPr>
        <w:t>）垃圾设施布置图；</w:t>
      </w:r>
    </w:p>
    <w:p>
      <w:pPr>
        <w:pStyle w:val="11"/>
        <w:spacing w:before="0" w:beforeAutospacing="0" w:after="0" w:afterAutospacing="0"/>
        <w:jc w:val="both"/>
      </w:pPr>
      <w:r>
        <w:rPr>
          <w:rFonts w:ascii="Calibri" w:hAnsi="Calibri"/>
          <w:sz w:val="21"/>
          <w:szCs w:val="21"/>
        </w:rPr>
        <w:t>4</w:t>
      </w:r>
      <w:r>
        <w:rPr>
          <w:rFonts w:hint="eastAsia"/>
          <w:sz w:val="21"/>
          <w:szCs w:val="21"/>
        </w:rPr>
        <w:t>）垃圾管理制度，应明确垃圾分类方式。</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垃圾设施布置图：3建筑设计/ 垃圾设施布置图.jpg</w:t>
            </w:r>
          </w:p>
        </w:tc>
      </w:tr>
    </w:tbl>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8.2.1充分保护或修复场地生态环境，合理布局建筑及景观。（10分）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27" w:type="dxa"/>
        <w:jc w:val="center"/>
        <w:tblLayout w:type="autofit"/>
        <w:tblCellMar>
          <w:top w:w="0" w:type="dxa"/>
          <w:left w:w="0" w:type="dxa"/>
          <w:bottom w:w="0" w:type="dxa"/>
          <w:right w:w="0" w:type="dxa"/>
        </w:tblCellMar>
      </w:tblPr>
      <w:tblGrid>
        <w:gridCol w:w="781"/>
        <w:gridCol w:w="5111"/>
        <w:gridCol w:w="1704"/>
        <w:gridCol w:w="1631"/>
      </w:tblGrid>
      <w:tr>
        <w:tblPrEx>
          <w:tblCellMar>
            <w:top w:w="0" w:type="dxa"/>
            <w:left w:w="0" w:type="dxa"/>
            <w:bottom w:w="0" w:type="dxa"/>
            <w:right w:w="0" w:type="dxa"/>
          </w:tblCellMar>
        </w:tblPrEx>
        <w:trPr>
          <w:trHeight w:val="176"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序号</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评价分值</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line="176" w:lineRule="atLeast"/>
              <w:jc w:val="center"/>
            </w:pPr>
            <w:r>
              <w:rPr>
                <w:rFonts w:hint="eastAsia"/>
                <w:sz w:val="21"/>
                <w:szCs w:val="21"/>
              </w:rPr>
              <w:t>自评得分</w:t>
            </w:r>
          </w:p>
        </w:tc>
      </w:tr>
      <w:tr>
        <w:tblPrEx>
          <w:tblCellMar>
            <w:top w:w="0" w:type="dxa"/>
            <w:left w:w="0" w:type="dxa"/>
            <w:bottom w:w="0" w:type="dxa"/>
            <w:right w:w="0" w:type="dxa"/>
          </w:tblCellMar>
        </w:tblPrEx>
        <w:trPr>
          <w:trHeight w:val="548"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保护场地内原有的自然水域、湿地、植被等，保持场地内的生态系统与场地外生态系统的连贯性</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10 </w:t>
            </w:r>
          </w:p>
        </w:tc>
      </w:tr>
      <w:tr>
        <w:tblPrEx>
          <w:tblCellMar>
            <w:top w:w="0" w:type="dxa"/>
            <w:left w:w="0" w:type="dxa"/>
            <w:bottom w:w="0" w:type="dxa"/>
            <w:right w:w="0" w:type="dxa"/>
          </w:tblCellMar>
        </w:tblPrEx>
        <w:trPr>
          <w:trHeight w:val="361"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采取净地表层土回收利用等生态补偿措施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69"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根据场地实际状况，采取其他生态恢复或补偿措施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69" w:hRule="atLeast"/>
          <w:jc w:val="center"/>
        </w:trPr>
        <w:tc>
          <w:tcPr>
            <w:tcW w:w="566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780" w:type="dxa"/>
            <w:tcBorders>
              <w:top w:val="nil"/>
              <w:left w:val="nil"/>
              <w:bottom w:val="nil"/>
              <w:right w:val="nil"/>
            </w:tcBorders>
            <w:noWrap w:val="0"/>
            <w:vAlign w:val="center"/>
          </w:tcPr>
          <w:p>
            <w:pPr>
              <w:rPr>
                <w:sz w:val="1"/>
              </w:rPr>
            </w:pPr>
          </w:p>
        </w:tc>
        <w:tc>
          <w:tcPr>
            <w:tcW w:w="5103"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28"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pPr>
      <w:r>
        <w:rPr>
          <w:rFonts w:hint="eastAsia"/>
          <w:sz w:val="21"/>
          <w:szCs w:val="21"/>
        </w:rPr>
        <w:t>保护或修复场地生态环境的措施</w:t>
      </w:r>
    </w:p>
    <w:p>
      <w:pPr>
        <w:pStyle w:val="11"/>
        <w:spacing w:before="0" w:beforeAutospacing="0" w:after="0" w:afterAutospacing="0"/>
      </w:pPr>
      <w:r>
        <w:rPr>
          <w:rFonts w:hint="eastAsia"/>
          <w:sz w:val="21"/>
          <w:szCs w:val="21"/>
        </w:rPr>
        <w:t>为：</w:t>
      </w:r>
      <w:r>
        <w:rPr>
          <w:rFonts w:hint="eastAsia"/>
          <w:sz w:val="21"/>
          <w:szCs w:val="21"/>
          <w:u w:val="single"/>
        </w:rPr>
        <w:t xml:space="preserve">      </w:t>
      </w:r>
      <w:r>
        <w:rPr>
          <w:rFonts w:hint="eastAsia" w:ascii="微软雅黑" w:hAnsi="微软雅黑" w:eastAsia="微软雅黑"/>
          <w:b/>
          <w:bCs/>
          <w:color w:val="111111"/>
          <w:sz w:val="27"/>
          <w:szCs w:val="27"/>
          <w:u w:val="single"/>
          <w:shd w:val="clear" w:color="auto" w:fill="FFFFFF"/>
        </w:rPr>
        <w:t>净地表层土回收利用</w:t>
      </w:r>
      <w:r>
        <w:rPr>
          <w:rFonts w:hint="eastAsia" w:ascii="MS Mincho" w:hAnsi="MS Mincho" w:eastAsia="MS Mincho" w:cs="MS Mincho"/>
          <w:sz w:val="21"/>
          <w:szCs w:val="21"/>
          <w:u w:val="single"/>
        </w:rPr>
        <w:t>​</w:t>
      </w:r>
      <w:r>
        <w:rPr>
          <w:rFonts w:hint="eastAsia"/>
          <w:sz w:val="21"/>
          <w:szCs w:val="21"/>
          <w:u w:val="single"/>
        </w:rPr>
        <w:t xml:space="preserve">     </w:t>
      </w:r>
      <w:r>
        <w:rPr>
          <w:rFonts w:hint="eastAsia"/>
          <w:sz w:val="21"/>
          <w:szCs w:val="21"/>
        </w:rPr>
        <w:t>。</w:t>
      </w:r>
    </w:p>
    <w:p>
      <w:pPr>
        <w:pStyle w:val="11"/>
        <w:spacing w:before="0" w:beforeAutospacing="0" w:after="0" w:afterAutospacing="0"/>
        <w:jc w:val="both"/>
      </w:pPr>
      <w:r>
        <w:rPr>
          <w:rFonts w:hint="eastAsia"/>
          <w:sz w:val="21"/>
          <w:szCs w:val="21"/>
        </w:rPr>
        <w:t>请简要说明项目保护或修复场地生态环境的具体内容。</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现有场地平整，且不含自然水域、湿地等地形，且对原有表层土进行保护利用。</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）场地地形图、竣工总平面图；</w:t>
      </w:r>
    </w:p>
    <w:p>
      <w:pPr>
        <w:pStyle w:val="11"/>
        <w:spacing w:before="0" w:beforeAutospacing="0" w:after="0" w:afterAutospacing="0"/>
        <w:jc w:val="both"/>
      </w:pPr>
      <w:r>
        <w:rPr>
          <w:rFonts w:ascii="Calibri" w:hAnsi="Calibri"/>
          <w:sz w:val="21"/>
          <w:szCs w:val="21"/>
        </w:rPr>
        <w:t>2</w:t>
      </w:r>
      <w:r>
        <w:rPr>
          <w:rFonts w:hint="eastAsia"/>
          <w:sz w:val="21"/>
          <w:szCs w:val="21"/>
        </w:rPr>
        <w:t>）竖向设计图；景观专业竣工图纸及设计说明；</w:t>
      </w:r>
    </w:p>
    <w:p>
      <w:pPr>
        <w:pStyle w:val="11"/>
        <w:spacing w:before="0" w:beforeAutospacing="0" w:after="0" w:afterAutospacing="0"/>
        <w:jc w:val="both"/>
      </w:pPr>
      <w:r>
        <w:rPr>
          <w:rFonts w:ascii="Calibri" w:hAnsi="Calibri"/>
          <w:sz w:val="21"/>
          <w:szCs w:val="21"/>
        </w:rPr>
        <w:t>3</w:t>
      </w:r>
      <w:r>
        <w:rPr>
          <w:rFonts w:hint="eastAsia"/>
          <w:sz w:val="21"/>
          <w:szCs w:val="21"/>
        </w:rPr>
        <w:t>）生态补偿方案，应包括植被保护方案及记录、水面保留方案、表层土利用相关内容、表层土收集利用量计算书；</w:t>
      </w:r>
    </w:p>
    <w:p>
      <w:pPr>
        <w:pStyle w:val="11"/>
        <w:spacing w:before="0" w:beforeAutospacing="0" w:after="0" w:afterAutospacing="0"/>
        <w:jc w:val="both"/>
      </w:pPr>
      <w:r>
        <w:rPr>
          <w:rFonts w:ascii="Calibri" w:hAnsi="Calibri"/>
          <w:sz w:val="21"/>
          <w:szCs w:val="21"/>
        </w:rPr>
        <w:t>4</w:t>
      </w:r>
      <w:r>
        <w:rPr>
          <w:rFonts w:hint="eastAsia"/>
          <w:sz w:val="21"/>
          <w:szCs w:val="21"/>
        </w:rPr>
        <w:t>）施工记录、影像资料文件。</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景观专业图纸及设计说明：4景观设计/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场地地形图：3建筑设计/ 新桥幼儿园地形-17(1).dwg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8.2.2 规划场地地表和屋面雨水径流，对场地雨水实施外排总量控制。（10分）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29" w:type="dxa"/>
        <w:jc w:val="center"/>
        <w:tblLayout w:type="autofit"/>
        <w:tblCellMar>
          <w:top w:w="0" w:type="dxa"/>
          <w:left w:w="0" w:type="dxa"/>
          <w:bottom w:w="0" w:type="dxa"/>
          <w:right w:w="0" w:type="dxa"/>
        </w:tblCellMar>
      </w:tblPr>
      <w:tblGrid>
        <w:gridCol w:w="923"/>
        <w:gridCol w:w="4970"/>
        <w:gridCol w:w="1704"/>
        <w:gridCol w:w="1632"/>
      </w:tblGrid>
      <w:tr>
        <w:tblPrEx>
          <w:tblCellMar>
            <w:top w:w="0" w:type="dxa"/>
            <w:left w:w="0" w:type="dxa"/>
            <w:bottom w:w="0" w:type="dxa"/>
            <w:right w:w="0" w:type="dxa"/>
          </w:tblCellMar>
        </w:tblPrEx>
        <w:trPr>
          <w:trHeight w:val="327" w:hRule="atLeast"/>
          <w:jc w:val="center"/>
        </w:trPr>
        <w:tc>
          <w:tcPr>
            <w:tcW w:w="7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4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40" w:hRule="atLeast"/>
          <w:jc w:val="center"/>
        </w:trPr>
        <w:tc>
          <w:tcPr>
            <w:tcW w:w="7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场地年径流总量控制率达到</w:t>
            </w:r>
            <w:r>
              <w:rPr>
                <w:rFonts w:ascii="Times New Roman" w:hAnsi="Times New Roman" w:cs="Times New Roman"/>
                <w:sz w:val="21"/>
                <w:szCs w:val="21"/>
              </w:rPr>
              <w:t>55%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413"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40" w:hRule="atLeast"/>
          <w:jc w:val="center"/>
        </w:trPr>
        <w:tc>
          <w:tcPr>
            <w:tcW w:w="7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场地年径流总量控制率达到</w:t>
            </w:r>
            <w:r>
              <w:rPr>
                <w:rFonts w:ascii="Times New Roman" w:hAnsi="Times New Roman" w:cs="Times New Roman"/>
                <w:sz w:val="21"/>
                <w:szCs w:val="21"/>
              </w:rPr>
              <w:t>70%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40" w:hRule="atLeast"/>
          <w:jc w:val="center"/>
        </w:trPr>
        <w:tc>
          <w:tcPr>
            <w:tcW w:w="5668"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922" w:type="dxa"/>
            <w:tcBorders>
              <w:top w:val="nil"/>
              <w:left w:val="nil"/>
              <w:bottom w:val="nil"/>
              <w:right w:val="nil"/>
            </w:tcBorders>
            <w:noWrap w:val="0"/>
            <w:vAlign w:val="center"/>
          </w:tcPr>
          <w:p>
            <w:pPr>
              <w:rPr>
                <w:sz w:val="1"/>
              </w:rPr>
            </w:pPr>
          </w:p>
        </w:tc>
        <w:tc>
          <w:tcPr>
            <w:tcW w:w="4962"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29"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项目所在地</w:t>
      </w:r>
      <w:r>
        <w:rPr>
          <w:rFonts w:hint="eastAsia"/>
          <w:sz w:val="21"/>
          <w:szCs w:val="21"/>
          <w:u w:val="single"/>
        </w:rPr>
        <w:t xml:space="preserve">      江苏省常州市         </w:t>
      </w:r>
      <w:r>
        <w:rPr>
          <w:rFonts w:hint="eastAsia"/>
          <w:sz w:val="21"/>
          <w:szCs w:val="21"/>
        </w:rPr>
        <w:t>，当地年均降雨量</w:t>
      </w:r>
      <w:r>
        <w:rPr>
          <w:rFonts w:hint="eastAsia"/>
          <w:sz w:val="21"/>
          <w:szCs w:val="21"/>
          <w:u w:val="single"/>
        </w:rPr>
        <w:t xml:space="preserve">      1066      </w:t>
      </w:r>
      <w:r>
        <w:rPr>
          <w:rFonts w:ascii="Calibri" w:hAnsi="Calibri"/>
          <w:sz w:val="21"/>
          <w:szCs w:val="21"/>
        </w:rPr>
        <w:t>mm</w:t>
      </w:r>
    </w:p>
    <w:p>
      <w:pPr>
        <w:pStyle w:val="11"/>
        <w:spacing w:before="0" w:beforeAutospacing="0" w:after="0" w:afterAutospacing="0"/>
        <w:jc w:val="both"/>
      </w:pPr>
      <w:r>
        <w:rPr>
          <w:rFonts w:hint="eastAsia"/>
          <w:sz w:val="21"/>
          <w:szCs w:val="21"/>
        </w:rPr>
        <w:t>场地年综合径流系数</w:t>
      </w:r>
      <w:r>
        <w:rPr>
          <w:rFonts w:hint="eastAsia"/>
          <w:sz w:val="21"/>
          <w:szCs w:val="21"/>
          <w:u w:val="single"/>
        </w:rPr>
        <w:t>   80%    </w:t>
      </w:r>
      <w:r>
        <w:rPr>
          <w:rFonts w:hint="eastAsia"/>
          <w:sz w:val="21"/>
          <w:szCs w:val="21"/>
        </w:rPr>
        <w:t>，场地年径流总量控制率</w:t>
      </w:r>
      <w:r>
        <w:rPr>
          <w:rFonts w:hint="eastAsia"/>
          <w:sz w:val="21"/>
          <w:szCs w:val="21"/>
          <w:u w:val="single"/>
        </w:rPr>
        <w:t>  20    </w:t>
      </w:r>
      <w:r>
        <w:rPr>
          <w:rFonts w:ascii="Calibri" w:hAnsi="Calibri"/>
          <w:sz w:val="21"/>
          <w:szCs w:val="21"/>
        </w:rPr>
        <w:t>%</w:t>
      </w:r>
    </w:p>
    <w:p>
      <w:pPr>
        <w:pStyle w:val="11"/>
        <w:spacing w:before="0" w:beforeAutospacing="0" w:after="0" w:afterAutospacing="0"/>
        <w:jc w:val="both"/>
      </w:pPr>
      <w:r>
        <w:rPr>
          <w:rFonts w:hint="eastAsia"/>
          <w:sz w:val="21"/>
          <w:szCs w:val="21"/>
        </w:rPr>
        <w:t>请简要说明雨水外排控制措施。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雨水通过管网汇集，通过截污挂篮、弃流过滤收集至蓄水池，利用雨水处理设备对水质进行消毒和初过滤，然后送至景观水池。景观水池设循环泵和循环给水管，利用地埋一体机实现水质的精细过滤，进行自循环净化处理。</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）景观专业竣工图纸及设计说明，应包括总平面竖向图、场地铺装平面图、种植图、雨水生态调蓄、处理设施详图；</w:t>
      </w:r>
    </w:p>
    <w:p>
      <w:pPr>
        <w:pStyle w:val="11"/>
        <w:spacing w:before="0" w:beforeAutospacing="0" w:after="0" w:afterAutospacing="0"/>
        <w:jc w:val="both"/>
      </w:pPr>
      <w:r>
        <w:rPr>
          <w:rFonts w:ascii="Calibri" w:hAnsi="Calibri"/>
          <w:sz w:val="21"/>
          <w:szCs w:val="21"/>
        </w:rPr>
        <w:t>2</w:t>
      </w:r>
      <w:r>
        <w:rPr>
          <w:rFonts w:hint="eastAsia"/>
          <w:sz w:val="21"/>
          <w:szCs w:val="21"/>
        </w:rPr>
        <w:t>）给排水专业竣工图纸及设计说明，应包括室外雨水平面图、雨水利用设施工艺图或调蓄设施详图；</w:t>
      </w:r>
    </w:p>
    <w:p>
      <w:pPr>
        <w:pStyle w:val="11"/>
        <w:spacing w:before="0" w:beforeAutospacing="0" w:after="0" w:afterAutospacing="0"/>
        <w:jc w:val="both"/>
      </w:pPr>
      <w:r>
        <w:rPr>
          <w:rFonts w:ascii="Calibri" w:hAnsi="Calibri"/>
          <w:sz w:val="21"/>
          <w:szCs w:val="21"/>
        </w:rPr>
        <w:t>3</w:t>
      </w:r>
      <w:r>
        <w:rPr>
          <w:rFonts w:hint="eastAsia"/>
          <w:sz w:val="21"/>
          <w:szCs w:val="21"/>
        </w:rPr>
        <w:t>）雨水外排控制专项规划设计实施文件，应包括年径流总量控制率计算书、设计控制雨量计算书、场地雨水综合利用方案等。</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景观专业图纸及设计说明：4景观设计/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给排水专业图纸及设计说明：6给排水设计/ 建筑施工图.dwg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8.2.3 充分利用场地空间设置绿化用地。（16分）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92" w:type="dxa"/>
        <w:jc w:val="center"/>
        <w:tblLayout w:type="autofit"/>
        <w:tblCellMar>
          <w:top w:w="0" w:type="dxa"/>
          <w:left w:w="0" w:type="dxa"/>
          <w:bottom w:w="0" w:type="dxa"/>
          <w:right w:w="0" w:type="dxa"/>
        </w:tblCellMar>
      </w:tblPr>
      <w:tblGrid>
        <w:gridCol w:w="905"/>
        <w:gridCol w:w="1563"/>
        <w:gridCol w:w="1419"/>
        <w:gridCol w:w="1988"/>
        <w:gridCol w:w="1704"/>
        <w:gridCol w:w="1613"/>
      </w:tblGrid>
      <w:tr>
        <w:tblPrEx>
          <w:tblCellMar>
            <w:top w:w="0" w:type="dxa"/>
            <w:left w:w="0" w:type="dxa"/>
            <w:bottom w:w="0" w:type="dxa"/>
            <w:right w:w="0" w:type="dxa"/>
          </w:tblCellMar>
        </w:tblPrEx>
        <w:trPr>
          <w:trHeight w:val="284" w:hRule="atLeast"/>
          <w:jc w:val="center"/>
        </w:trPr>
        <w:tc>
          <w:tcPr>
            <w:tcW w:w="68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类型</w:t>
            </w:r>
          </w:p>
        </w:tc>
        <w:tc>
          <w:tcPr>
            <w:tcW w:w="4746"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3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19" w:hRule="atLeast"/>
          <w:jc w:val="center"/>
        </w:trPr>
        <w:tc>
          <w:tcPr>
            <w:tcW w:w="68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sz w:val="21"/>
                <w:szCs w:val="21"/>
              </w:rPr>
              <w:t>☐</w:t>
            </w:r>
            <w:r>
              <w:rPr>
                <w:rFonts w:ascii="Times New Roman" w:hAnsi="Times New Roman" w:cs="Times New Roman"/>
                <w:sz w:val="21"/>
                <w:szCs w:val="21"/>
              </w:rPr>
              <w:t> </w:t>
            </w:r>
          </w:p>
          <w:p>
            <w:pPr>
              <w:pStyle w:val="11"/>
              <w:spacing w:before="0" w:beforeAutospacing="0" w:after="0" w:afterAutospacing="0"/>
              <w:jc w:val="center"/>
            </w:pPr>
            <w:r>
              <w:rPr>
                <w:rFonts w:hint="eastAsia"/>
                <w:sz w:val="21"/>
                <w:szCs w:val="21"/>
              </w:rPr>
              <w:t>居建</w:t>
            </w:r>
          </w:p>
        </w:tc>
        <w:tc>
          <w:tcPr>
            <w:tcW w:w="4746"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绿地率</w:t>
            </w:r>
            <w:r>
              <w:rPr>
                <w:rFonts w:ascii="Times New Roman" w:hAnsi="Times New Roman" w:cs="Times New Roman"/>
                <w:sz w:val="21"/>
                <w:szCs w:val="21"/>
              </w:rPr>
              <w:t>≥</w:t>
            </w:r>
            <w:r>
              <w:rPr>
                <w:rFonts w:hint="eastAsia"/>
                <w:sz w:val="21"/>
                <w:szCs w:val="21"/>
              </w:rPr>
              <w:t>规划指标</w:t>
            </w:r>
            <w:r>
              <w:rPr>
                <w:rFonts w:ascii="Times New Roman" w:hAnsi="Times New Roman" w:cs="Times New Roman"/>
                <w:sz w:val="21"/>
                <w:szCs w:val="21"/>
              </w:rPr>
              <w:t>105%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3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34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项目所在居住街坊内人均集中绿地面积</w:t>
            </w:r>
            <w:r>
              <w:rPr>
                <w:rFonts w:ascii="Times New Roman" w:hAnsi="Times New Roman" w:cs="Times New Roman"/>
                <w:i/>
                <w:iCs/>
                <w:sz w:val="21"/>
                <w:szCs w:val="21"/>
              </w:rPr>
              <w:t>Ag</w:t>
            </w:r>
          </w:p>
        </w:tc>
        <w:tc>
          <w:tcPr>
            <w:tcW w:w="120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新区建设</w:t>
            </w: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0.50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39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0.50</w:t>
            </w:r>
            <w:r>
              <w:rPr>
                <w:rFonts w:hint="eastAsia"/>
                <w:sz w:val="21"/>
                <w:szCs w:val="21"/>
              </w:rPr>
              <w:t>＜</w:t>
            </w:r>
            <w:r>
              <w:rPr>
                <w:rFonts w:ascii="Times New Roman" w:hAnsi="Times New Roman" w:cs="Times New Roman"/>
                <w:i/>
                <w:iCs/>
                <w:sz w:val="21"/>
                <w:szCs w:val="21"/>
              </w:rPr>
              <w:t>Ag</w:t>
            </w:r>
            <w:r>
              <w:rPr>
                <w:rFonts w:hint="eastAsia"/>
                <w:sz w:val="21"/>
                <w:szCs w:val="21"/>
              </w:rPr>
              <w:t>＜</w:t>
            </w:r>
            <w:r>
              <w:rPr>
                <w:rFonts w:ascii="Times New Roman" w:hAnsi="Times New Roman" w:cs="Times New Roman"/>
                <w:sz w:val="21"/>
                <w:szCs w:val="21"/>
              </w:rPr>
              <w:t>0.60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i/>
                <w:iCs/>
                <w:sz w:val="21"/>
                <w:szCs w:val="21"/>
              </w:rPr>
              <w:t>Ag</w:t>
            </w:r>
            <w:r>
              <w:rPr>
                <w:rFonts w:ascii="Times New Roman" w:hAnsi="Times New Roman" w:cs="Times New Roman"/>
                <w:sz w:val="21"/>
                <w:szCs w:val="21"/>
              </w:rPr>
              <w:t>≥0.60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201"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旧区改造</w:t>
            </w: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0.35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394"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0.35</w:t>
            </w:r>
            <w:r>
              <w:rPr>
                <w:rFonts w:hint="eastAsia"/>
                <w:sz w:val="21"/>
                <w:szCs w:val="21"/>
              </w:rPr>
              <w:t>＜</w:t>
            </w:r>
            <w:r>
              <w:rPr>
                <w:rFonts w:ascii="Times New Roman" w:hAnsi="Times New Roman" w:cs="Times New Roman"/>
                <w:i/>
                <w:iCs/>
                <w:sz w:val="21"/>
                <w:szCs w:val="21"/>
              </w:rPr>
              <w:t>Ag</w:t>
            </w:r>
            <w:r>
              <w:rPr>
                <w:rFonts w:hint="eastAsia"/>
                <w:sz w:val="21"/>
                <w:szCs w:val="21"/>
              </w:rPr>
              <w:t>＜</w:t>
            </w:r>
            <w:r>
              <w:rPr>
                <w:rFonts w:ascii="Times New Roman" w:hAnsi="Times New Roman" w:cs="Times New Roman"/>
                <w:sz w:val="21"/>
                <w:szCs w:val="21"/>
              </w:rPr>
              <w:t>0.45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i/>
                <w:iCs/>
                <w:sz w:val="21"/>
                <w:szCs w:val="21"/>
              </w:rPr>
              <w:t>Ag</w:t>
            </w:r>
            <w:r>
              <w:rPr>
                <w:rFonts w:ascii="Times New Roman" w:hAnsi="Times New Roman" w:cs="Times New Roman"/>
                <w:sz w:val="21"/>
                <w:szCs w:val="21"/>
              </w:rPr>
              <w:t>≥0.45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19" w:hRule="atLeast"/>
          <w:jc w:val="center"/>
        </w:trPr>
        <w:tc>
          <w:tcPr>
            <w:tcW w:w="688"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ascii="Times New Roman" w:hAnsi="Times New Roman" w:cs="Times New Roman"/>
                <w:sz w:val="21"/>
                <w:szCs w:val="21"/>
              </w:rPr>
              <w:t> </w:t>
            </w:r>
          </w:p>
          <w:p>
            <w:pPr>
              <w:pStyle w:val="11"/>
              <w:spacing w:before="0" w:beforeAutospacing="0" w:after="0" w:afterAutospacing="0"/>
              <w:jc w:val="center"/>
            </w:pPr>
            <w:r>
              <w:rPr>
                <w:rFonts w:hint="eastAsia"/>
                <w:sz w:val="21"/>
                <w:szCs w:val="21"/>
              </w:rPr>
              <w:t>公建</w:t>
            </w:r>
          </w:p>
        </w:tc>
        <w:tc>
          <w:tcPr>
            <w:tcW w:w="4746"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绿地率</w:t>
            </w:r>
            <w:r>
              <w:rPr>
                <w:rFonts w:ascii="Times New Roman" w:hAnsi="Times New Roman" w:cs="Times New Roman"/>
                <w:sz w:val="21"/>
                <w:szCs w:val="21"/>
              </w:rPr>
              <w:t>≥</w:t>
            </w:r>
            <w:r>
              <w:rPr>
                <w:rFonts w:hint="eastAsia"/>
                <w:sz w:val="21"/>
                <w:szCs w:val="21"/>
              </w:rPr>
              <w:t>规划指标</w:t>
            </w:r>
            <w:r>
              <w:rPr>
                <w:rFonts w:ascii="Times New Roman" w:hAnsi="Times New Roman" w:cs="Times New Roman"/>
                <w:sz w:val="21"/>
                <w:szCs w:val="21"/>
              </w:rPr>
              <w:t>105%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3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10 </w:t>
            </w:r>
          </w:p>
        </w:tc>
      </w:tr>
      <w:tr>
        <w:tblPrEx>
          <w:tblCellMar>
            <w:top w:w="0" w:type="dxa"/>
            <w:left w:w="0" w:type="dxa"/>
            <w:bottom w:w="0" w:type="dxa"/>
            <w:right w:w="0" w:type="dxa"/>
          </w:tblCellMar>
        </w:tblPrEx>
        <w:trPr>
          <w:trHeight w:val="31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4746"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绿地向公众开放</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6</w:t>
            </w:r>
          </w:p>
        </w:tc>
        <w:tc>
          <w:tcPr>
            <w:tcW w:w="13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319" w:hRule="atLeast"/>
          <w:jc w:val="center"/>
        </w:trPr>
        <w:tc>
          <w:tcPr>
            <w:tcW w:w="5650" w:type="dxa"/>
            <w:gridSpan w:val="4"/>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16</w:t>
            </w:r>
          </w:p>
        </w:tc>
        <w:tc>
          <w:tcPr>
            <w:tcW w:w="139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904" w:type="dxa"/>
            <w:tcBorders>
              <w:top w:val="nil"/>
              <w:left w:val="nil"/>
              <w:bottom w:val="nil"/>
              <w:right w:val="nil"/>
            </w:tcBorders>
            <w:noWrap w:val="0"/>
            <w:vAlign w:val="center"/>
          </w:tcPr>
          <w:p>
            <w:pPr>
              <w:rPr>
                <w:sz w:val="1"/>
              </w:rPr>
            </w:pPr>
          </w:p>
        </w:tc>
        <w:tc>
          <w:tcPr>
            <w:tcW w:w="1560" w:type="dxa"/>
            <w:tcBorders>
              <w:top w:val="nil"/>
              <w:left w:val="nil"/>
              <w:bottom w:val="nil"/>
              <w:right w:val="nil"/>
            </w:tcBorders>
            <w:noWrap w:val="0"/>
            <w:vAlign w:val="center"/>
          </w:tcPr>
          <w:p>
            <w:pPr>
              <w:rPr>
                <w:sz w:val="1"/>
              </w:rPr>
            </w:pPr>
          </w:p>
        </w:tc>
        <w:tc>
          <w:tcPr>
            <w:tcW w:w="1417" w:type="dxa"/>
            <w:tcBorders>
              <w:top w:val="nil"/>
              <w:left w:val="nil"/>
              <w:bottom w:val="nil"/>
              <w:right w:val="nil"/>
            </w:tcBorders>
            <w:noWrap w:val="0"/>
            <w:vAlign w:val="center"/>
          </w:tcPr>
          <w:p>
            <w:pPr>
              <w:rPr>
                <w:sz w:val="1"/>
              </w:rPr>
            </w:pPr>
          </w:p>
        </w:tc>
        <w:tc>
          <w:tcPr>
            <w:tcW w:w="1985"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1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Style w:val="13"/>
        <w:tblW w:w="9228" w:type="dxa"/>
        <w:jc w:val="center"/>
        <w:tblLayout w:type="autofit"/>
        <w:tblCellMar>
          <w:top w:w="0" w:type="dxa"/>
          <w:left w:w="0" w:type="dxa"/>
          <w:bottom w:w="0" w:type="dxa"/>
          <w:right w:w="0" w:type="dxa"/>
        </w:tblCellMar>
      </w:tblPr>
      <w:tblGrid>
        <w:gridCol w:w="1830"/>
        <w:gridCol w:w="3505"/>
        <w:gridCol w:w="3893"/>
      </w:tblGrid>
      <w:tr>
        <w:tblPrEx>
          <w:tblCellMar>
            <w:top w:w="0" w:type="dxa"/>
            <w:left w:w="0" w:type="dxa"/>
            <w:bottom w:w="0" w:type="dxa"/>
            <w:right w:w="0" w:type="dxa"/>
          </w:tblCellMar>
        </w:tblPrEx>
        <w:trPr>
          <w:trHeight w:val="334" w:hRule="atLeast"/>
          <w:jc w:val="center"/>
        </w:trPr>
        <w:tc>
          <w:tcPr>
            <w:tcW w:w="16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项目类型</w:t>
            </w:r>
          </w:p>
        </w:tc>
        <w:tc>
          <w:tcPr>
            <w:tcW w:w="325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居住建筑</w:t>
            </w:r>
          </w:p>
        </w:tc>
        <w:tc>
          <w:tcPr>
            <w:tcW w:w="3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Style w:val="25"/>
                <w:rFonts w:hint="eastAsia" w:ascii="MS Mincho" w:hAnsi="MS Mincho" w:eastAsia="MS Mincho" w:cs="MS Mincho"/>
                <w:sz w:val="28"/>
                <w:szCs w:val="28"/>
              </w:rPr>
              <w:t>☑</w:t>
            </w:r>
            <w:r>
              <w:rPr>
                <w:rFonts w:hint="eastAsia"/>
                <w:sz w:val="21"/>
                <w:szCs w:val="21"/>
              </w:rPr>
              <w:t>公共建筑</w:t>
            </w:r>
          </w:p>
        </w:tc>
      </w:tr>
      <w:tr>
        <w:tblPrEx>
          <w:tblCellMar>
            <w:top w:w="0" w:type="dxa"/>
            <w:left w:w="0" w:type="dxa"/>
            <w:bottom w:w="0" w:type="dxa"/>
            <w:right w:w="0" w:type="dxa"/>
          </w:tblCellMar>
        </w:tblPrEx>
        <w:trPr>
          <w:trHeight w:val="329" w:hRule="atLeast"/>
          <w:jc w:val="center"/>
        </w:trPr>
        <w:tc>
          <w:tcPr>
            <w:tcW w:w="16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绿地面积</w:t>
            </w:r>
          </w:p>
          <w:p>
            <w:pPr>
              <w:pStyle w:val="11"/>
              <w:spacing w:before="0" w:beforeAutospacing="0" w:after="0" w:afterAutospacing="0"/>
              <w:jc w:val="center"/>
            </w:pPr>
            <w:r>
              <w:rPr>
                <w:rFonts w:hint="eastAsia"/>
                <w:sz w:val="21"/>
                <w:szCs w:val="21"/>
              </w:rPr>
              <w:t>（</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325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1110 </w:t>
            </w:r>
          </w:p>
        </w:tc>
      </w:tr>
      <w:tr>
        <w:tblPrEx>
          <w:tblCellMar>
            <w:top w:w="0" w:type="dxa"/>
            <w:left w:w="0" w:type="dxa"/>
            <w:bottom w:w="0" w:type="dxa"/>
            <w:right w:w="0" w:type="dxa"/>
          </w:tblCellMar>
        </w:tblPrEx>
        <w:trPr>
          <w:trHeight w:val="329" w:hRule="atLeast"/>
          <w:jc w:val="center"/>
        </w:trPr>
        <w:tc>
          <w:tcPr>
            <w:tcW w:w="16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用地面积</w:t>
            </w:r>
          </w:p>
          <w:p>
            <w:pPr>
              <w:pStyle w:val="11"/>
              <w:spacing w:before="0" w:beforeAutospacing="0" w:after="0" w:afterAutospacing="0"/>
              <w:jc w:val="center"/>
            </w:pPr>
            <w:r>
              <w:rPr>
                <w:rFonts w:hint="eastAsia"/>
                <w:sz w:val="21"/>
                <w:szCs w:val="21"/>
              </w:rPr>
              <w:t>（</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325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4320 </w:t>
            </w:r>
          </w:p>
        </w:tc>
      </w:tr>
      <w:tr>
        <w:tblPrEx>
          <w:tblCellMar>
            <w:top w:w="0" w:type="dxa"/>
            <w:left w:w="0" w:type="dxa"/>
            <w:bottom w:w="0" w:type="dxa"/>
            <w:right w:w="0" w:type="dxa"/>
          </w:tblCellMar>
        </w:tblPrEx>
        <w:trPr>
          <w:trHeight w:val="329" w:hRule="atLeast"/>
          <w:jc w:val="center"/>
        </w:trPr>
        <w:tc>
          <w:tcPr>
            <w:tcW w:w="16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绿地率（</w:t>
            </w:r>
            <w:r>
              <w:rPr>
                <w:rFonts w:ascii="Calibri" w:hAnsi="Calibri"/>
                <w:sz w:val="21"/>
                <w:szCs w:val="21"/>
              </w:rPr>
              <w:t>%</w:t>
            </w:r>
            <w:r>
              <w:rPr>
                <w:rFonts w:hint="eastAsia"/>
                <w:sz w:val="21"/>
                <w:szCs w:val="21"/>
              </w:rPr>
              <w:t>）</w:t>
            </w:r>
          </w:p>
        </w:tc>
        <w:tc>
          <w:tcPr>
            <w:tcW w:w="325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3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25% </w:t>
            </w:r>
          </w:p>
        </w:tc>
      </w:tr>
      <w:tr>
        <w:tblPrEx>
          <w:tblCellMar>
            <w:top w:w="0" w:type="dxa"/>
            <w:left w:w="0" w:type="dxa"/>
            <w:bottom w:w="0" w:type="dxa"/>
            <w:right w:w="0" w:type="dxa"/>
          </w:tblCellMar>
        </w:tblPrEx>
        <w:trPr>
          <w:trHeight w:val="329" w:hRule="atLeast"/>
          <w:jc w:val="center"/>
        </w:trPr>
        <w:tc>
          <w:tcPr>
            <w:tcW w:w="169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其他</w:t>
            </w:r>
          </w:p>
        </w:tc>
        <w:tc>
          <w:tcPr>
            <w:tcW w:w="325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总公共绿地面积</w:t>
            </w:r>
            <w:r>
              <w:rPr>
                <w:rFonts w:hint="eastAsia"/>
                <w:sz w:val="21"/>
                <w:szCs w:val="21"/>
                <w:u w:val="single"/>
              </w:rPr>
              <w:t xml:space="preserve">      </w:t>
            </w:r>
            <w:r>
              <w:rPr>
                <w:rFonts w:ascii="Calibri" w:hAnsi="Calibri"/>
                <w:sz w:val="21"/>
                <w:szCs w:val="21"/>
              </w:rPr>
              <w:t>m</w:t>
            </w:r>
            <w:r>
              <w:rPr>
                <w:rFonts w:ascii="Calibri" w:hAnsi="Calibri"/>
                <w:sz w:val="14"/>
                <w:szCs w:val="14"/>
                <w:vertAlign w:val="superscript"/>
              </w:rPr>
              <w:t>2</w:t>
            </w:r>
          </w:p>
        </w:tc>
        <w:tc>
          <w:tcPr>
            <w:tcW w:w="361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绿地是否向社会公众开放：</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pPr>
            <w:r>
              <w:rPr>
                <w:rFonts w:hint="eastAsia"/>
                <w:sz w:val="21"/>
                <w:szCs w:val="21"/>
              </w:rPr>
              <w:t>开放时间：</w:t>
            </w:r>
            <w:r>
              <w:rPr>
                <w:rFonts w:hint="eastAsia"/>
                <w:sz w:val="21"/>
                <w:szCs w:val="21"/>
                <w:u w:val="single"/>
              </w:rPr>
              <w:t xml:space="preserve">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）项目竣工总平面图及设计说明、景观专业竣工图及设计说明；</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）平面日照等时线模拟图，应体现绿地的日照和阴影情况；</w:t>
      </w:r>
    </w:p>
    <w:p>
      <w:pPr>
        <w:pStyle w:val="11"/>
        <w:spacing w:before="0" w:beforeAutospacing="0" w:after="0" w:afterAutospacing="0"/>
        <w:jc w:val="both"/>
      </w:pPr>
      <w:r>
        <w:rPr>
          <w:rFonts w:ascii="Times New Roman" w:hAnsi="Times New Roman" w:cs="Times New Roman"/>
          <w:sz w:val="21"/>
          <w:szCs w:val="21"/>
        </w:rPr>
        <w:t>3</w:t>
      </w:r>
      <w:r>
        <w:rPr>
          <w:rFonts w:hint="eastAsia"/>
          <w:sz w:val="21"/>
          <w:szCs w:val="21"/>
        </w:rPr>
        <w:t>）人均公共绿地面积计算书，应体现公共绿地的位置、面积分析和清单列表，以及计算结果；</w:t>
      </w:r>
    </w:p>
    <w:p>
      <w:pPr>
        <w:pStyle w:val="11"/>
        <w:spacing w:before="0" w:beforeAutospacing="0" w:after="0" w:afterAutospacing="0"/>
        <w:jc w:val="both"/>
      </w:pPr>
      <w:r>
        <w:rPr>
          <w:rFonts w:ascii="Times New Roman" w:hAnsi="Times New Roman" w:cs="Times New Roman"/>
          <w:sz w:val="21"/>
          <w:szCs w:val="21"/>
        </w:rPr>
        <w:t>4</w:t>
      </w:r>
      <w:r>
        <w:rPr>
          <w:rFonts w:hint="eastAsia"/>
          <w:sz w:val="21"/>
          <w:szCs w:val="21"/>
        </w:rPr>
        <w:t>）体现绿地向社会公众开放的相关文件，应包括设计理念、具体措施及运行管理记录。</w:t>
      </w:r>
    </w:p>
    <w:p>
      <w:pPr>
        <w:pStyle w:val="11"/>
        <w:spacing w:before="0" w:beforeAutospacing="0" w:after="0" w:afterAutospacing="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景观专业图纸及设计说明：4景观设计/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建筑总平面图：3建筑设计/ 总平面.jpg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8.2.4 室外吸烟区位置布局合理。（9分）</w:t>
      </w:r>
    </w:p>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tbl>
      <w:tblPr>
        <w:tblStyle w:val="1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962"/>
        <w:gridCol w:w="1701"/>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22" w:type="dxa"/>
            <w:noWrap w:val="0"/>
            <w:vAlign w:val="top"/>
          </w:tcPr>
          <w:p>
            <w:pPr>
              <w:jc w:val="center"/>
              <w:rPr>
                <w:lang w:val="zh-CN"/>
              </w:rPr>
            </w:pPr>
            <w:r>
              <w:rPr>
                <w:rFonts w:hint="eastAsia"/>
                <w:lang w:val="zh-CN"/>
              </w:rPr>
              <w:t>序号</w:t>
            </w:r>
          </w:p>
        </w:tc>
        <w:tc>
          <w:tcPr>
            <w:tcW w:w="4962" w:type="dxa"/>
            <w:noWrap w:val="0"/>
            <w:vAlign w:val="top"/>
          </w:tcPr>
          <w:p>
            <w:pPr>
              <w:jc w:val="center"/>
              <w:rPr>
                <w:lang w:val="zh-CN"/>
              </w:rPr>
            </w:pPr>
            <w:r>
              <w:rPr>
                <w:rFonts w:hint="eastAsia"/>
                <w:lang w:val="zh-CN"/>
              </w:rPr>
              <w:t>评价内容</w:t>
            </w:r>
          </w:p>
        </w:tc>
        <w:tc>
          <w:tcPr>
            <w:tcW w:w="1701" w:type="dxa"/>
            <w:noWrap w:val="0"/>
            <w:vAlign w:val="top"/>
          </w:tcPr>
          <w:p>
            <w:pPr>
              <w:jc w:val="center"/>
              <w:rPr>
                <w:lang w:val="zh-CN"/>
              </w:rPr>
            </w:pPr>
            <w:r>
              <w:rPr>
                <w:rFonts w:hint="eastAsia"/>
                <w:lang w:val="zh-CN"/>
              </w:rPr>
              <w:t>评价分值</w:t>
            </w:r>
          </w:p>
        </w:tc>
        <w:tc>
          <w:tcPr>
            <w:tcW w:w="1629" w:type="dxa"/>
            <w:noWrap w:val="0"/>
            <w:vAlign w:val="center"/>
          </w:tcPr>
          <w:p>
            <w:pPr>
              <w:jc w:val="center"/>
              <w:rPr>
                <w:lang w:val="zh-CN"/>
              </w:rPr>
            </w:pPr>
            <w:r>
              <w:rPr>
                <w:rFonts w:hint="eastAsia"/>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noWrap w:val="0"/>
            <w:vAlign w:val="center"/>
          </w:tcPr>
          <w:p>
            <w:pPr>
              <w:jc w:val="center"/>
            </w:pPr>
            <w:r>
              <w:rPr>
                <w:rFonts w:hint="eastAsia"/>
              </w:rPr>
              <w:t>1</w:t>
            </w:r>
          </w:p>
        </w:tc>
        <w:tc>
          <w:tcPr>
            <w:tcW w:w="4962" w:type="dxa"/>
            <w:noWrap w:val="0"/>
            <w:vAlign w:val="center"/>
          </w:tcPr>
          <w:p>
            <w:r>
              <w:rPr>
                <w:rFonts w:hint="eastAsia"/>
              </w:rPr>
              <w:t>室外吸烟区布置在建筑主出入口的主导风的下风向，与所有建筑出入口、新风进气口和可开启窗扇的距离不少于8m，且距离儿童和老人活动场地不少于8m</w:t>
            </w:r>
          </w:p>
        </w:tc>
        <w:tc>
          <w:tcPr>
            <w:tcW w:w="1701" w:type="dxa"/>
            <w:noWrap w:val="0"/>
            <w:vAlign w:val="center"/>
          </w:tcPr>
          <w:p>
            <w:pPr>
              <w:jc w:val="center"/>
              <w:rPr>
                <w:lang w:val="zh-CN"/>
              </w:rPr>
            </w:pPr>
            <w:r>
              <w:rPr>
                <w:rFonts w:hint="eastAsia"/>
                <w:lang w:val="zh-CN"/>
              </w:rPr>
              <w:t>5</w:t>
            </w:r>
          </w:p>
        </w:tc>
        <w:tc>
          <w:tcPr>
            <w:tcW w:w="1629" w:type="dxa"/>
            <w:noWrap w:val="0"/>
            <w:vAlign w:val="center"/>
          </w:tcPr>
          <w:p>
            <w:pPr>
              <w:jc w:val="center"/>
              <w:rPr>
                <w:lang w:val="zh-CN"/>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noWrap w:val="0"/>
            <w:vAlign w:val="center"/>
          </w:tcPr>
          <w:p>
            <w:pPr>
              <w:jc w:val="center"/>
            </w:pPr>
            <w:r>
              <w:rPr>
                <w:rFonts w:hint="eastAsia"/>
              </w:rPr>
              <w:t>2</w:t>
            </w:r>
          </w:p>
        </w:tc>
        <w:tc>
          <w:tcPr>
            <w:tcW w:w="4962" w:type="dxa"/>
            <w:noWrap w:val="0"/>
            <w:vAlign w:val="center"/>
          </w:tcPr>
          <w:p>
            <w:r>
              <w:rPr>
                <w:rFonts w:hint="eastAsia"/>
              </w:rPr>
              <w:t>室外吸烟区与绿植结合布置，并合理配置坐椅和带烟头收集的垃圾筒，从建筑主出入口至室外吸烟区的导向标识完整、定位标识醒目，吸烟区设置吸烟有害健康的警示标识</w:t>
            </w:r>
          </w:p>
        </w:tc>
        <w:tc>
          <w:tcPr>
            <w:tcW w:w="1701" w:type="dxa"/>
            <w:noWrap w:val="0"/>
            <w:vAlign w:val="center"/>
          </w:tcPr>
          <w:p>
            <w:pPr>
              <w:jc w:val="center"/>
              <w:rPr>
                <w:lang w:val="zh-CN"/>
              </w:rPr>
            </w:pPr>
            <w:r>
              <w:rPr>
                <w:rFonts w:hint="eastAsia"/>
                <w:lang w:val="zh-CN"/>
              </w:rPr>
              <w:t>4</w:t>
            </w:r>
          </w:p>
        </w:tc>
        <w:tc>
          <w:tcPr>
            <w:tcW w:w="1629" w:type="dxa"/>
            <w:noWrap w:val="0"/>
            <w:vAlign w:val="center"/>
          </w:tcPr>
          <w:p>
            <w:pPr>
              <w:jc w:val="center"/>
              <w:rPr>
                <w:lang w:val="zh-CN"/>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4" w:type="dxa"/>
            <w:gridSpan w:val="2"/>
            <w:noWrap w:val="0"/>
            <w:vAlign w:val="top"/>
          </w:tcPr>
          <w:p>
            <w:pPr>
              <w:jc w:val="center"/>
            </w:pPr>
            <w:r>
              <w:rPr>
                <w:rFonts w:hint="eastAsia"/>
              </w:rPr>
              <w:t>合计</w:t>
            </w:r>
          </w:p>
        </w:tc>
        <w:tc>
          <w:tcPr>
            <w:tcW w:w="1701" w:type="dxa"/>
            <w:noWrap w:val="0"/>
            <w:vAlign w:val="center"/>
          </w:tcPr>
          <w:p>
            <w:pPr>
              <w:jc w:val="center"/>
              <w:rPr>
                <w:lang w:val="zh-CN"/>
              </w:rPr>
            </w:pPr>
            <w:r>
              <w:rPr>
                <w:rFonts w:hint="eastAsia"/>
                <w:lang w:val="zh-CN"/>
              </w:rPr>
              <w:t>9</w:t>
            </w:r>
          </w:p>
        </w:tc>
        <w:tc>
          <w:tcPr>
            <w:tcW w:w="1629" w:type="dxa"/>
            <w:noWrap w:val="0"/>
            <w:vAlign w:val="center"/>
          </w:tcPr>
          <w:p>
            <w:pPr>
              <w:jc w:val="center"/>
              <w:rPr>
                <w:lang w:val="zh-CN"/>
              </w:rPr>
            </w:pPr>
            <w:r>
              <w:rPr>
                <w:rFonts w:hint="eastAsia" w:ascii="Times New Roman" w:hAnsi="Times New Roman" w:cs="Times New Roman"/>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2 评价要点</w:t>
      </w:r>
    </w:p>
    <w:p>
      <w:pPr>
        <w:rPr>
          <w:lang w:val="zh-CN"/>
        </w:rPr>
      </w:pPr>
      <w:r>
        <w:rPr>
          <w:rFonts w:hint="eastAsia"/>
          <w:lang w:val="zh-CN"/>
        </w:rPr>
        <w:t>室外吸烟区布置在</w:t>
      </w:r>
      <w:r>
        <w:rPr>
          <w:rFonts w:hint="eastAsia"/>
          <w:u w:val="single"/>
          <w:lang w:val="zh-CN"/>
        </w:rPr>
        <w:t xml:space="preserve">           </w:t>
      </w:r>
      <w:r>
        <w:rPr>
          <w:rFonts w:hint="eastAsia"/>
          <w:lang w:val="zh-CN"/>
        </w:rPr>
        <w:t>，距离建筑出入口、新风进气口、可开启窗扇的</w:t>
      </w:r>
      <w:r>
        <w:rPr>
          <w:rFonts w:hint="eastAsia"/>
          <w:u w:val="single"/>
          <w:lang w:val="zh-CN"/>
        </w:rPr>
        <w:t xml:space="preserve">      </w:t>
      </w:r>
      <w:r>
        <w:rPr>
          <w:u w:val="single"/>
          <w:lang w:val="zh-CN"/>
        </w:rPr>
        <w:t xml:space="preserve"> </w:t>
      </w:r>
      <w:r>
        <w:rPr>
          <w:rFonts w:hint="eastAsia"/>
          <w:lang w:val="zh-CN"/>
        </w:rPr>
        <w:t>米，距离儿童和老人活动场所</w:t>
      </w:r>
      <w:r>
        <w:rPr>
          <w:rFonts w:hint="eastAsia"/>
          <w:u w:val="single"/>
          <w:lang w:val="zh-CN"/>
        </w:rPr>
        <w:t xml:space="preserve">     </w:t>
      </w:r>
      <w:r>
        <w:rPr>
          <w:rFonts w:hint="eastAsia"/>
          <w:lang w:val="zh-CN"/>
        </w:rPr>
        <w:t>米，具备</w:t>
      </w:r>
      <w:r>
        <w:rPr>
          <w:rFonts w:hint="eastAsia"/>
        </w:rPr>
        <w:t xml:space="preserve"> </w:t>
      </w:r>
      <w:r>
        <w:rPr>
          <w:rFonts w:hint="eastAsia"/>
          <w:sz w:val="28"/>
        </w:rPr>
        <w:sym w:font="Wingdings 2" w:char="F0A3"/>
      </w:r>
      <w:r>
        <w:rPr>
          <w:rFonts w:hint="eastAsia"/>
          <w:lang w:val="zh-CN"/>
        </w:rPr>
        <w:t>专用垃圾桶、</w:t>
      </w:r>
      <w:r>
        <w:rPr>
          <w:rFonts w:hint="eastAsia"/>
        </w:rPr>
        <w:t xml:space="preserve"> </w:t>
      </w:r>
      <w:r>
        <w:rPr>
          <w:rFonts w:hint="eastAsia"/>
          <w:sz w:val="28"/>
        </w:rPr>
        <w:sym w:font="Wingdings 2" w:char="F0A3"/>
      </w:r>
      <w:r>
        <w:rPr>
          <w:rFonts w:hint="eastAsia"/>
          <w:lang w:val="zh-CN"/>
        </w:rPr>
        <w:t>导向标识、</w:t>
      </w:r>
      <w:r>
        <w:rPr>
          <w:rFonts w:hint="eastAsia"/>
        </w:rPr>
        <w:t xml:space="preserve"> </w:t>
      </w:r>
      <w:r>
        <w:rPr>
          <w:rFonts w:hint="eastAsia"/>
          <w:sz w:val="28"/>
        </w:rPr>
        <w:sym w:font="Wingdings 2" w:char="F0A3"/>
      </w:r>
      <w:r>
        <w:rPr>
          <w:rFonts w:hint="eastAsia"/>
          <w:lang w:val="zh-CN"/>
        </w:rPr>
        <w:t>警示标识。</w:t>
      </w:r>
    </w:p>
    <w:p>
      <w:pPr>
        <w:rPr>
          <w:rFonts w:ascii="Times New Roman" w:hAnsi="Times New Roman" w:cs="Times New Roman"/>
          <w:szCs w:val="21"/>
        </w:rPr>
      </w:pPr>
      <w:r>
        <w:rPr>
          <w:rFonts w:hint="eastAsia"/>
          <w:lang w:val="zh-CN"/>
        </w:rPr>
        <w:t>请简要说明室外吸烟区的布置情况。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r>
        <w:t>1</w:t>
      </w:r>
      <w:r>
        <w:rPr>
          <w:rFonts w:hint="eastAsia"/>
        </w:rPr>
        <w:t>）竣工总平面图；</w:t>
      </w:r>
    </w:p>
    <w:p>
      <w:r>
        <w:rPr>
          <w:rFonts w:hint="eastAsia"/>
        </w:rPr>
        <w:t>2）景观专业竣工图纸及设计说明，应包括吸烟区布置情况。</w:t>
      </w:r>
    </w:p>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8.2.5 利用场地空间设置绿色雨水基础设施。（15分）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195" w:type="dxa"/>
        <w:jc w:val="center"/>
        <w:tblLayout w:type="autofit"/>
        <w:tblCellMar>
          <w:top w:w="0" w:type="dxa"/>
          <w:left w:w="0" w:type="dxa"/>
          <w:bottom w:w="0" w:type="dxa"/>
          <w:right w:w="0" w:type="dxa"/>
        </w:tblCellMar>
      </w:tblPr>
      <w:tblGrid>
        <w:gridCol w:w="906"/>
        <w:gridCol w:w="3834"/>
        <w:gridCol w:w="1277"/>
        <w:gridCol w:w="1704"/>
        <w:gridCol w:w="1474"/>
      </w:tblGrid>
      <w:tr>
        <w:tblPrEx>
          <w:tblCellMar>
            <w:top w:w="0" w:type="dxa"/>
            <w:left w:w="0" w:type="dxa"/>
            <w:bottom w:w="0" w:type="dxa"/>
            <w:right w:w="0" w:type="dxa"/>
          </w:tblCellMar>
        </w:tblPrEx>
        <w:trPr>
          <w:trHeight w:val="327" w:hRule="atLeast"/>
          <w:jc w:val="center"/>
        </w:trPr>
        <w:tc>
          <w:tcPr>
            <w:tcW w:w="6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88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2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463" w:hRule="atLeast"/>
          <w:jc w:val="center"/>
        </w:trPr>
        <w:tc>
          <w:tcPr>
            <w:tcW w:w="689"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36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下凹式绿地、雨水花园等有调蓄雨水功能的绿地和水体的面积之和占绿地面积的比例</w:t>
            </w: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达到</w:t>
            </w:r>
            <w:r>
              <w:rPr>
                <w:rFonts w:ascii="Times New Roman" w:hAnsi="Times New Roman" w:cs="Times New Roman"/>
                <w:sz w:val="21"/>
                <w:szCs w:val="21"/>
              </w:rPr>
              <w:t>40%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25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trHeight w:val="28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5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达到</w:t>
            </w:r>
            <w:r>
              <w:rPr>
                <w:rFonts w:ascii="Times New Roman" w:hAnsi="Times New Roman" w:cs="Times New Roman"/>
                <w:sz w:val="21"/>
                <w:szCs w:val="21"/>
              </w:rPr>
              <w:t>60%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88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衔接和引导不少于</w:t>
            </w:r>
            <w:r>
              <w:rPr>
                <w:rFonts w:ascii="Times New Roman" w:hAnsi="Times New Roman" w:cs="Times New Roman"/>
                <w:sz w:val="21"/>
                <w:szCs w:val="21"/>
              </w:rPr>
              <w:t>80%</w:t>
            </w:r>
            <w:r>
              <w:rPr>
                <w:rFonts w:hint="eastAsia"/>
                <w:sz w:val="21"/>
                <w:szCs w:val="21"/>
              </w:rPr>
              <w:t>的屋面雨水进入地面生态设施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2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0</w:t>
            </w:r>
          </w:p>
        </w:tc>
      </w:tr>
      <w:tr>
        <w:tblPrEx>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88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衔接和引导不少于</w:t>
            </w:r>
            <w:r>
              <w:rPr>
                <w:rFonts w:ascii="Times New Roman" w:hAnsi="Times New Roman" w:cs="Times New Roman"/>
                <w:sz w:val="21"/>
                <w:szCs w:val="21"/>
              </w:rPr>
              <w:t>80%</w:t>
            </w:r>
            <w:r>
              <w:rPr>
                <w:rFonts w:hint="eastAsia"/>
                <w:sz w:val="21"/>
                <w:szCs w:val="21"/>
              </w:rPr>
              <w:t>的道路雨水进入地面生态设施</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12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4</w:t>
            </w:r>
          </w:p>
        </w:tc>
      </w:tr>
      <w:tr>
        <w:tblPrEx>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488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硬质铺装地面中透水铺装面积的比例达到</w:t>
            </w:r>
            <w:r>
              <w:rPr>
                <w:rFonts w:ascii="Times New Roman" w:hAnsi="Times New Roman" w:cs="Times New Roman"/>
                <w:sz w:val="21"/>
                <w:szCs w:val="21"/>
              </w:rPr>
              <w:t>50%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2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trHeight w:val="340" w:hRule="atLeast"/>
          <w:jc w:val="center"/>
        </w:trPr>
        <w:tc>
          <w:tcPr>
            <w:tcW w:w="5792"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12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905" w:type="dxa"/>
            <w:tcBorders>
              <w:top w:val="nil"/>
              <w:left w:val="nil"/>
              <w:bottom w:val="nil"/>
              <w:right w:val="nil"/>
            </w:tcBorders>
            <w:noWrap w:val="0"/>
            <w:vAlign w:val="center"/>
          </w:tcPr>
          <w:p>
            <w:pPr>
              <w:rPr>
                <w:sz w:val="1"/>
              </w:rPr>
            </w:pPr>
          </w:p>
        </w:tc>
        <w:tc>
          <w:tcPr>
            <w:tcW w:w="3828" w:type="dxa"/>
            <w:tcBorders>
              <w:top w:val="nil"/>
              <w:left w:val="nil"/>
              <w:bottom w:val="nil"/>
              <w:right w:val="nil"/>
            </w:tcBorders>
            <w:noWrap w:val="0"/>
            <w:vAlign w:val="center"/>
          </w:tcPr>
          <w:p>
            <w:pPr>
              <w:rPr>
                <w:sz w:val="1"/>
              </w:rPr>
            </w:pPr>
          </w:p>
        </w:tc>
        <w:tc>
          <w:tcPr>
            <w:tcW w:w="1275"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471"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项目所在地</w:t>
      </w:r>
      <w:r>
        <w:rPr>
          <w:rFonts w:hint="eastAsia"/>
          <w:sz w:val="21"/>
          <w:szCs w:val="21"/>
          <w:u w:val="single"/>
        </w:rPr>
        <w:t>     江苏省常州市   </w:t>
      </w:r>
      <w:r>
        <w:rPr>
          <w:rFonts w:hint="eastAsia"/>
          <w:sz w:val="21"/>
          <w:szCs w:val="21"/>
        </w:rPr>
        <w:t>，当地年均降雨量</w:t>
      </w:r>
      <w:r>
        <w:rPr>
          <w:rFonts w:hint="eastAsia"/>
          <w:sz w:val="21"/>
          <w:szCs w:val="21"/>
          <w:u w:val="single"/>
        </w:rPr>
        <w:t xml:space="preserve">    1066    </w:t>
      </w:r>
      <w:r>
        <w:rPr>
          <w:rFonts w:ascii="Calibri" w:hAnsi="Calibri"/>
          <w:sz w:val="21"/>
          <w:szCs w:val="21"/>
        </w:rPr>
        <w:t>mm</w:t>
      </w:r>
    </w:p>
    <w:tbl>
      <w:tblPr>
        <w:tblStyle w:val="13"/>
        <w:tblW w:w="9228" w:type="dxa"/>
        <w:jc w:val="center"/>
        <w:tblLayout w:type="autofit"/>
        <w:tblCellMar>
          <w:top w:w="0" w:type="dxa"/>
          <w:left w:w="0" w:type="dxa"/>
          <w:bottom w:w="0" w:type="dxa"/>
          <w:right w:w="0" w:type="dxa"/>
        </w:tblCellMar>
      </w:tblPr>
      <w:tblGrid>
        <w:gridCol w:w="2344"/>
        <w:gridCol w:w="1987"/>
        <w:gridCol w:w="2982"/>
        <w:gridCol w:w="1915"/>
      </w:tblGrid>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绿色雨水基础设施</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hint="eastAsia"/>
                <w:sz w:val="21"/>
                <w:szCs w:val="21"/>
              </w:rPr>
              <w:t>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center"/>
            </w:pPr>
            <w:r>
              <w:rPr>
                <w:rFonts w:hint="eastAsia"/>
                <w:sz w:val="21"/>
                <w:szCs w:val="21"/>
              </w:rPr>
              <w:t>绿色雨水基础设施</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面积（</w:t>
            </w:r>
            <w:r>
              <w:rPr>
                <w:rFonts w:ascii="Calibri" w:hAnsi="Calibri"/>
                <w:sz w:val="21"/>
                <w:szCs w:val="21"/>
              </w:rPr>
              <w:t>m</w:t>
            </w:r>
            <w:r>
              <w:rPr>
                <w:rFonts w:ascii="Calibri" w:hAnsi="Calibri"/>
                <w:sz w:val="14"/>
                <w:szCs w:val="14"/>
                <w:vertAlign w:val="superscript"/>
              </w:rPr>
              <w:t>2</w:t>
            </w:r>
            <w:r>
              <w:rPr>
                <w:rFonts w:hint="eastAsia"/>
                <w:sz w:val="21"/>
                <w:szCs w:val="21"/>
              </w:rPr>
              <w:t>）</w:t>
            </w:r>
          </w:p>
        </w:tc>
      </w:tr>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下凹式绿地</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ascii="Times New Roman" w:hAnsi="Times New Roman" w:cs="Times New Roman"/>
                <w:sz w:val="21"/>
                <w:szCs w:val="21"/>
              </w:rPr>
              <w:t>100 </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both"/>
            </w:pPr>
            <w:r>
              <w:rPr>
                <w:rFonts w:hint="eastAsia"/>
                <w:sz w:val="21"/>
                <w:szCs w:val="21"/>
              </w:rPr>
              <w:t>雨水湿地</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100 </w:t>
            </w:r>
          </w:p>
        </w:tc>
      </w:tr>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雨水花园</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ascii="Times New Roman" w:hAnsi="Times New Roman" w:cs="Times New Roman"/>
                <w:sz w:val="21"/>
                <w:szCs w:val="21"/>
              </w:rPr>
              <w:t> 100</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both"/>
            </w:pPr>
            <w:r>
              <w:rPr>
                <w:rFonts w:hint="eastAsia"/>
                <w:sz w:val="21"/>
                <w:szCs w:val="21"/>
              </w:rPr>
              <w:t>景观设计水体</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100</w:t>
            </w:r>
          </w:p>
        </w:tc>
      </w:tr>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屋顶绿化</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ascii="Times New Roman" w:hAnsi="Times New Roman" w:cs="Times New Roman"/>
                <w:sz w:val="21"/>
                <w:szCs w:val="21"/>
              </w:rPr>
              <w:t> 500</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both"/>
            </w:pPr>
            <w:r>
              <w:rPr>
                <w:rFonts w:hint="eastAsia"/>
                <w:sz w:val="21"/>
                <w:szCs w:val="21"/>
              </w:rPr>
              <w:t>自然水体（河流、湖泊）</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0 </w:t>
            </w:r>
          </w:p>
        </w:tc>
      </w:tr>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植被浅沟</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ascii="Times New Roman" w:hAnsi="Times New Roman" w:cs="Times New Roman"/>
                <w:sz w:val="21"/>
                <w:szCs w:val="21"/>
              </w:rPr>
              <w:t> 50</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both"/>
            </w:pPr>
            <w:r>
              <w:rPr>
                <w:rFonts w:hint="eastAsia"/>
                <w:sz w:val="21"/>
                <w:szCs w:val="21"/>
              </w:rPr>
              <w:t xml:space="preserve">其他  </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0 </w:t>
            </w:r>
          </w:p>
        </w:tc>
      </w:tr>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树池</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ascii="Times New Roman" w:hAnsi="Times New Roman" w:cs="Times New Roman"/>
                <w:sz w:val="21"/>
                <w:szCs w:val="21"/>
              </w:rPr>
              <w:t>60 </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both"/>
            </w:pPr>
            <w:r>
              <w:rPr>
                <w:rFonts w:hint="eastAsia"/>
                <w:sz w:val="21"/>
                <w:szCs w:val="21"/>
              </w:rPr>
              <w:t>绿色雨水基础设施面积合计</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1100</w:t>
            </w:r>
          </w:p>
        </w:tc>
      </w:tr>
      <w:tr>
        <w:tblPrEx>
          <w:tblCellMar>
            <w:top w:w="0" w:type="dxa"/>
            <w:left w:w="0" w:type="dxa"/>
            <w:bottom w:w="0" w:type="dxa"/>
            <w:right w:w="0" w:type="dxa"/>
          </w:tblCellMar>
        </w:tblPrEx>
        <w:trPr>
          <w:trHeight w:val="284" w:hRule="atLeast"/>
          <w:jc w:val="center"/>
        </w:trPr>
        <w:tc>
          <w:tcPr>
            <w:tcW w:w="21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雨水塘</w:t>
            </w:r>
          </w:p>
        </w:tc>
        <w:tc>
          <w:tcPr>
            <w:tcW w:w="1768" w:type="dxa"/>
            <w:tcBorders>
              <w:top w:val="single" w:color="000000" w:sz="6" w:space="0"/>
              <w:left w:val="single" w:color="000000" w:sz="6" w:space="0"/>
              <w:bottom w:val="single" w:color="000000" w:sz="6" w:space="0"/>
              <w:right w:val="double" w:color="000000" w:sz="4" w:space="0"/>
            </w:tcBorders>
            <w:noWrap w:val="0"/>
            <w:tcMar>
              <w:top w:w="0" w:type="dxa"/>
              <w:left w:w="101" w:type="dxa"/>
              <w:bottom w:w="0" w:type="dxa"/>
              <w:right w:w="93" w:type="dxa"/>
            </w:tcMar>
            <w:vAlign w:val="center"/>
          </w:tcPr>
          <w:p>
            <w:pPr>
              <w:pStyle w:val="11"/>
              <w:spacing w:before="0" w:beforeAutospacing="0" w:after="0" w:afterAutospacing="0"/>
              <w:jc w:val="center"/>
            </w:pPr>
            <w:r>
              <w:rPr>
                <w:rFonts w:ascii="Times New Roman" w:hAnsi="Times New Roman" w:cs="Times New Roman"/>
                <w:sz w:val="21"/>
                <w:szCs w:val="21"/>
              </w:rPr>
              <w:t> 100</w:t>
            </w:r>
          </w:p>
        </w:tc>
        <w:tc>
          <w:tcPr>
            <w:tcW w:w="2761" w:type="dxa"/>
            <w:tcBorders>
              <w:top w:val="single" w:color="000000" w:sz="6" w:space="0"/>
              <w:left w:val="double" w:color="000000" w:sz="4" w:space="0"/>
              <w:bottom w:val="single" w:color="000000" w:sz="6" w:space="0"/>
              <w:right w:val="single" w:color="000000" w:sz="6" w:space="0"/>
            </w:tcBorders>
            <w:noWrap w:val="0"/>
            <w:tcMar>
              <w:top w:w="0" w:type="dxa"/>
              <w:left w:w="93" w:type="dxa"/>
              <w:bottom w:w="0" w:type="dxa"/>
              <w:right w:w="101" w:type="dxa"/>
            </w:tcMar>
            <w:vAlign w:val="center"/>
          </w:tcPr>
          <w:p>
            <w:pPr>
              <w:pStyle w:val="11"/>
              <w:spacing w:before="0" w:beforeAutospacing="0" w:after="0" w:afterAutospacing="0"/>
              <w:jc w:val="both"/>
            </w:pPr>
            <w:r>
              <w:rPr>
                <w:rFonts w:hint="eastAsia"/>
                <w:sz w:val="21"/>
                <w:szCs w:val="21"/>
              </w:rPr>
              <w:t>场地绿地面积</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2200 </w:t>
            </w:r>
          </w:p>
        </w:tc>
      </w:tr>
      <w:tr>
        <w:tblPrEx>
          <w:tblCellMar>
            <w:top w:w="0" w:type="dxa"/>
            <w:left w:w="0" w:type="dxa"/>
            <w:bottom w:w="0" w:type="dxa"/>
            <w:right w:w="0" w:type="dxa"/>
          </w:tblCellMar>
        </w:tblPrEx>
        <w:trPr>
          <w:trHeight w:val="284" w:hRule="atLeast"/>
          <w:jc w:val="center"/>
        </w:trPr>
        <w:tc>
          <w:tcPr>
            <w:tcW w:w="7085"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有调蓄雨水功能的绿地和水体的面积之和占绿地面积的比例（</w:t>
            </w:r>
            <w:r>
              <w:rPr>
                <w:rFonts w:ascii="Calibri" w:hAnsi="Calibri"/>
                <w:sz w:val="21"/>
                <w:szCs w:val="21"/>
              </w:rPr>
              <w:t>%</w:t>
            </w:r>
            <w:r>
              <w:rPr>
                <w:rFonts w:hint="eastAsia"/>
                <w:sz w:val="21"/>
                <w:szCs w:val="21"/>
              </w:rPr>
              <w:t>）</w:t>
            </w:r>
          </w:p>
        </w:tc>
        <w:tc>
          <w:tcPr>
            <w:tcW w:w="169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50</w:t>
            </w:r>
          </w:p>
        </w:tc>
      </w:tr>
      <w:tr>
        <w:tblPrEx>
          <w:tblCellMar>
            <w:top w:w="0" w:type="dxa"/>
            <w:left w:w="0" w:type="dxa"/>
            <w:bottom w:w="0" w:type="dxa"/>
            <w:right w:w="0" w:type="dxa"/>
          </w:tblCellMar>
        </w:tblPrEx>
        <w:trPr>
          <w:jc w:val="center"/>
        </w:trPr>
        <w:tc>
          <w:tcPr>
            <w:tcW w:w="2340" w:type="dxa"/>
            <w:tcBorders>
              <w:top w:val="nil"/>
              <w:left w:val="nil"/>
              <w:bottom w:val="nil"/>
              <w:right w:val="nil"/>
            </w:tcBorders>
            <w:noWrap w:val="0"/>
            <w:vAlign w:val="center"/>
          </w:tcPr>
          <w:p>
            <w:pPr>
              <w:rPr>
                <w:sz w:val="1"/>
              </w:rPr>
            </w:pPr>
          </w:p>
        </w:tc>
        <w:tc>
          <w:tcPr>
            <w:tcW w:w="1984" w:type="dxa"/>
            <w:tcBorders>
              <w:top w:val="nil"/>
              <w:left w:val="nil"/>
              <w:bottom w:val="nil"/>
              <w:right w:val="nil"/>
            </w:tcBorders>
            <w:noWrap w:val="0"/>
            <w:vAlign w:val="center"/>
          </w:tcPr>
          <w:p>
            <w:pPr>
              <w:rPr>
                <w:sz w:val="1"/>
              </w:rPr>
            </w:pPr>
          </w:p>
        </w:tc>
        <w:tc>
          <w:tcPr>
            <w:tcW w:w="2977" w:type="dxa"/>
            <w:tcBorders>
              <w:top w:val="nil"/>
              <w:left w:val="nil"/>
              <w:bottom w:val="nil"/>
              <w:right w:val="nil"/>
            </w:tcBorders>
            <w:noWrap w:val="0"/>
            <w:vAlign w:val="center"/>
          </w:tcPr>
          <w:p>
            <w:pPr>
              <w:rPr>
                <w:sz w:val="1"/>
              </w:rPr>
            </w:pPr>
          </w:p>
        </w:tc>
        <w:tc>
          <w:tcPr>
            <w:tcW w:w="1912"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hint="eastAsia"/>
          <w:sz w:val="21"/>
          <w:szCs w:val="21"/>
        </w:rPr>
        <w:t>透水铺装面积比例计算</w:t>
      </w:r>
    </w:p>
    <w:tbl>
      <w:tblPr>
        <w:tblStyle w:val="13"/>
        <w:tblW w:w="9228" w:type="dxa"/>
        <w:jc w:val="center"/>
        <w:tblLayout w:type="autofit"/>
        <w:tblCellMar>
          <w:top w:w="0" w:type="dxa"/>
          <w:left w:w="0" w:type="dxa"/>
          <w:bottom w:w="0" w:type="dxa"/>
          <w:right w:w="0" w:type="dxa"/>
        </w:tblCellMar>
      </w:tblPr>
      <w:tblGrid>
        <w:gridCol w:w="1395"/>
        <w:gridCol w:w="1552"/>
        <w:gridCol w:w="1477"/>
        <w:gridCol w:w="1601"/>
        <w:gridCol w:w="1600"/>
        <w:gridCol w:w="1603"/>
      </w:tblGrid>
      <w:tr>
        <w:tblPrEx>
          <w:tblCellMar>
            <w:top w:w="0" w:type="dxa"/>
            <w:left w:w="0" w:type="dxa"/>
            <w:bottom w:w="0" w:type="dxa"/>
            <w:right w:w="0" w:type="dxa"/>
          </w:tblCellMar>
        </w:tblPrEx>
        <w:trPr>
          <w:trHeight w:val="284" w:hRule="atLeast"/>
          <w:jc w:val="center"/>
        </w:trPr>
        <w:tc>
          <w:tcPr>
            <w:tcW w:w="14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植草砖</w:t>
            </w:r>
          </w:p>
        </w:tc>
        <w:tc>
          <w:tcPr>
            <w:tcW w:w="12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透水沥青</w:t>
            </w:r>
          </w:p>
        </w:tc>
        <w:tc>
          <w:tcPr>
            <w:tcW w:w="13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透水混凝土</w:t>
            </w:r>
          </w:p>
        </w:tc>
        <w:tc>
          <w:tcPr>
            <w:tcW w:w="139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透水地砖</w:t>
            </w:r>
          </w:p>
        </w:tc>
        <w:tc>
          <w:tcPr>
            <w:tcW w:w="13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其他</w:t>
            </w:r>
            <w:r>
              <w:rPr>
                <w:rFonts w:hint="eastAsia"/>
                <w:sz w:val="21"/>
                <w:szCs w:val="21"/>
                <w:u w:val="single"/>
              </w:rPr>
              <w:t xml:space="preserve">   </w:t>
            </w:r>
          </w:p>
        </w:tc>
      </w:tr>
      <w:tr>
        <w:tblPrEx>
          <w:tblCellMar>
            <w:top w:w="0" w:type="dxa"/>
            <w:left w:w="0" w:type="dxa"/>
            <w:bottom w:w="0" w:type="dxa"/>
            <w:right w:w="0" w:type="dxa"/>
          </w:tblCellMar>
        </w:tblPrEx>
        <w:trPr>
          <w:trHeight w:val="284" w:hRule="atLeast"/>
          <w:jc w:val="center"/>
        </w:trPr>
        <w:tc>
          <w:tcPr>
            <w:tcW w:w="113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34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200</w:t>
            </w:r>
          </w:p>
        </w:tc>
        <w:tc>
          <w:tcPr>
            <w:tcW w:w="12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300</w:t>
            </w:r>
          </w:p>
        </w:tc>
        <w:tc>
          <w:tcPr>
            <w:tcW w:w="13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300</w:t>
            </w:r>
          </w:p>
        </w:tc>
        <w:tc>
          <w:tcPr>
            <w:tcW w:w="139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100</w:t>
            </w:r>
          </w:p>
        </w:tc>
        <w:tc>
          <w:tcPr>
            <w:tcW w:w="13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84" w:hRule="atLeast"/>
          <w:jc w:val="center"/>
        </w:trPr>
        <w:tc>
          <w:tcPr>
            <w:tcW w:w="2691"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硬质铺装总面积（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26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2200</w:t>
            </w:r>
          </w:p>
        </w:tc>
        <w:tc>
          <w:tcPr>
            <w:tcW w:w="2999"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透水铺装面积的比例（</w:t>
            </w:r>
            <w:r>
              <w:rPr>
                <w:rFonts w:ascii="Calibri" w:hAnsi="Calibri"/>
                <w:sz w:val="21"/>
                <w:szCs w:val="21"/>
              </w:rPr>
              <w:t>%</w:t>
            </w:r>
            <w:r>
              <w:rPr>
                <w:rFonts w:hint="eastAsia"/>
                <w:sz w:val="21"/>
                <w:szCs w:val="21"/>
              </w:rPr>
              <w:t>）</w:t>
            </w:r>
          </w:p>
        </w:tc>
        <w:tc>
          <w:tcPr>
            <w:tcW w:w="139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82 </w:t>
            </w:r>
          </w:p>
        </w:tc>
      </w:tr>
      <w:tr>
        <w:tblPrEx>
          <w:tblCellMar>
            <w:top w:w="0" w:type="dxa"/>
            <w:left w:w="0" w:type="dxa"/>
            <w:bottom w:w="0" w:type="dxa"/>
            <w:right w:w="0" w:type="dxa"/>
          </w:tblCellMar>
        </w:tblPrEx>
        <w:trPr>
          <w:jc w:val="center"/>
        </w:trPr>
        <w:tc>
          <w:tcPr>
            <w:tcW w:w="1348" w:type="dxa"/>
            <w:tcBorders>
              <w:top w:val="nil"/>
              <w:left w:val="nil"/>
              <w:bottom w:val="nil"/>
              <w:right w:val="nil"/>
            </w:tcBorders>
            <w:noWrap w:val="0"/>
            <w:vAlign w:val="center"/>
          </w:tcPr>
          <w:p>
            <w:pPr>
              <w:rPr>
                <w:sz w:val="1"/>
              </w:rPr>
            </w:pPr>
          </w:p>
        </w:tc>
        <w:tc>
          <w:tcPr>
            <w:tcW w:w="1559" w:type="dxa"/>
            <w:tcBorders>
              <w:top w:val="nil"/>
              <w:left w:val="nil"/>
              <w:bottom w:val="nil"/>
              <w:right w:val="nil"/>
            </w:tcBorders>
            <w:noWrap w:val="0"/>
            <w:vAlign w:val="center"/>
          </w:tcPr>
          <w:p>
            <w:pPr>
              <w:rPr>
                <w:sz w:val="1"/>
              </w:rPr>
            </w:pPr>
          </w:p>
        </w:tc>
        <w:tc>
          <w:tcPr>
            <w:tcW w:w="1483" w:type="dxa"/>
            <w:tcBorders>
              <w:top w:val="nil"/>
              <w:left w:val="nil"/>
              <w:bottom w:val="nil"/>
              <w:right w:val="nil"/>
            </w:tcBorders>
            <w:noWrap w:val="0"/>
            <w:vAlign w:val="center"/>
          </w:tcPr>
          <w:p>
            <w:pPr>
              <w:rPr>
                <w:sz w:val="1"/>
              </w:rPr>
            </w:pPr>
          </w:p>
        </w:tc>
        <w:tc>
          <w:tcPr>
            <w:tcW w:w="1608" w:type="dxa"/>
            <w:tcBorders>
              <w:top w:val="nil"/>
              <w:left w:val="nil"/>
              <w:bottom w:val="nil"/>
              <w:right w:val="nil"/>
            </w:tcBorders>
            <w:noWrap w:val="0"/>
            <w:vAlign w:val="center"/>
          </w:tcPr>
          <w:p>
            <w:pPr>
              <w:rPr>
                <w:sz w:val="1"/>
              </w:rPr>
            </w:pPr>
          </w:p>
        </w:tc>
        <w:tc>
          <w:tcPr>
            <w:tcW w:w="1607" w:type="dxa"/>
            <w:tcBorders>
              <w:top w:val="nil"/>
              <w:left w:val="nil"/>
              <w:bottom w:val="nil"/>
              <w:right w:val="nil"/>
            </w:tcBorders>
            <w:noWrap w:val="0"/>
            <w:vAlign w:val="center"/>
          </w:tcPr>
          <w:p>
            <w:pPr>
              <w:rPr>
                <w:sz w:val="1"/>
              </w:rPr>
            </w:pPr>
          </w:p>
        </w:tc>
        <w:tc>
          <w:tcPr>
            <w:tcW w:w="1608"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hint="eastAsia"/>
          <w:sz w:val="21"/>
          <w:szCs w:val="21"/>
        </w:rPr>
        <w:t>请简要说明场地空间设置绿色雨水基础设施的情况。</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本工程雨水渗透方式采用透水铺装地面渗透。</w:t>
            </w:r>
          </w:p>
          <w:p>
            <w:pPr>
              <w:pStyle w:val="11"/>
              <w:spacing w:before="0" w:beforeAutospacing="0" w:after="0" w:afterAutospacing="0"/>
              <w:ind w:firstLine="400"/>
            </w:pPr>
            <w:r>
              <w:rPr>
                <w:rFonts w:hint="eastAsia"/>
                <w:sz w:val="20"/>
                <w:szCs w:val="20"/>
              </w:rPr>
              <w:t>透水铺装地面包括透水砖和透水沥青。透水砖、透水沥青用于路面。当透水铺装下为地下室顶板时，地下室顶板上覆土深度能满足当地园林绿化部门要求，可认定其为透水铺装地面。</w:t>
            </w:r>
          </w:p>
          <w:p>
            <w:pPr>
              <w:pStyle w:val="11"/>
              <w:spacing w:before="0" w:beforeAutospacing="0" w:after="0" w:afterAutospacing="0"/>
              <w:ind w:firstLine="400"/>
            </w:pPr>
            <w:r>
              <w:rPr>
                <w:rFonts w:hint="eastAsia"/>
                <w:sz w:val="20"/>
                <w:szCs w:val="20"/>
              </w:rPr>
              <w:t>硬质铺装地面中透水铺装面积的比例达到</w:t>
            </w:r>
            <w:r>
              <w:rPr>
                <w:rFonts w:ascii="Times New Roman" w:hAnsi="Times New Roman" w:cs="Times New Roman"/>
                <w:sz w:val="20"/>
                <w:szCs w:val="20"/>
              </w:rPr>
              <w:t>82%</w:t>
            </w:r>
            <w:r>
              <w:rPr>
                <w:rFonts w:hint="eastAsia"/>
                <w:sz w:val="20"/>
                <w:szCs w:val="20"/>
              </w:rPr>
              <w:t>＞</w:t>
            </w:r>
            <w:r>
              <w:rPr>
                <w:rFonts w:ascii="Times New Roman" w:hAnsi="Times New Roman" w:cs="Times New Roman"/>
                <w:sz w:val="20"/>
                <w:szCs w:val="20"/>
              </w:rPr>
              <w:t xml:space="preserve">50% </w:t>
            </w:r>
            <w:r>
              <w:rPr>
                <w:rFonts w:hint="eastAsia"/>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ind w:left="10" w:hanging="200"/>
        <w:jc w:val="both"/>
      </w:pPr>
      <w:r>
        <w:rPr>
          <w:rFonts w:ascii="Calibri" w:hAnsi="Calibri"/>
          <w:sz w:val="21"/>
          <w:szCs w:val="21"/>
        </w:rPr>
        <w:t>1</w:t>
      </w:r>
      <w:r>
        <w:rPr>
          <w:rFonts w:hint="eastAsia"/>
          <w:sz w:val="21"/>
          <w:szCs w:val="21"/>
        </w:rPr>
        <w:t>）场地原地形图；</w:t>
      </w:r>
    </w:p>
    <w:p>
      <w:pPr>
        <w:pStyle w:val="11"/>
        <w:spacing w:before="0" w:beforeAutospacing="0" w:after="0" w:afterAutospacing="0"/>
        <w:ind w:left="10" w:hanging="200"/>
        <w:jc w:val="both"/>
      </w:pPr>
      <w:r>
        <w:rPr>
          <w:rFonts w:ascii="Calibri" w:hAnsi="Calibri"/>
          <w:sz w:val="21"/>
          <w:szCs w:val="21"/>
        </w:rPr>
        <w:t>2</w:t>
      </w:r>
      <w:r>
        <w:rPr>
          <w:rFonts w:hint="eastAsia"/>
          <w:sz w:val="21"/>
          <w:szCs w:val="21"/>
        </w:rPr>
        <w:t>）竣工总平面图，应包括绿化、场地竖向设计内容；</w:t>
      </w:r>
    </w:p>
    <w:p>
      <w:pPr>
        <w:pStyle w:val="11"/>
        <w:spacing w:before="0" w:beforeAutospacing="0" w:after="0" w:afterAutospacing="0"/>
        <w:ind w:left="10" w:hanging="200"/>
        <w:jc w:val="both"/>
      </w:pPr>
      <w:r>
        <w:rPr>
          <w:rFonts w:ascii="Calibri" w:hAnsi="Calibri"/>
          <w:sz w:val="21"/>
          <w:szCs w:val="21"/>
        </w:rPr>
        <w:t>3</w:t>
      </w:r>
      <w:r>
        <w:rPr>
          <w:rFonts w:hint="eastAsia"/>
          <w:sz w:val="21"/>
          <w:szCs w:val="21"/>
        </w:rPr>
        <w:t>）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pStyle w:val="11"/>
        <w:spacing w:before="0" w:beforeAutospacing="0" w:after="0" w:afterAutospacing="0"/>
        <w:ind w:left="10" w:hanging="200"/>
        <w:jc w:val="both"/>
      </w:pPr>
      <w:r>
        <w:rPr>
          <w:rFonts w:ascii="Calibri" w:hAnsi="Calibri"/>
          <w:sz w:val="21"/>
          <w:szCs w:val="21"/>
        </w:rPr>
        <w:t>4</w:t>
      </w:r>
      <w:r>
        <w:rPr>
          <w:rFonts w:hint="eastAsia"/>
          <w:sz w:val="21"/>
          <w:szCs w:val="21"/>
        </w:rPr>
        <w:t>）场地铺装图纸及设计说明，应包括透水铺装地面位置、面积、铺装材料和铺装方式；</w:t>
      </w:r>
    </w:p>
    <w:p>
      <w:pPr>
        <w:pStyle w:val="11"/>
        <w:spacing w:before="0" w:beforeAutospacing="0" w:after="0" w:afterAutospacing="0"/>
        <w:ind w:left="10" w:hanging="200"/>
        <w:jc w:val="both"/>
      </w:pPr>
      <w:r>
        <w:rPr>
          <w:rFonts w:ascii="Calibri" w:hAnsi="Calibri"/>
          <w:sz w:val="21"/>
          <w:szCs w:val="21"/>
        </w:rPr>
        <w:t>5</w:t>
      </w:r>
      <w:r>
        <w:rPr>
          <w:rFonts w:hint="eastAsia"/>
          <w:sz w:val="21"/>
          <w:szCs w:val="21"/>
        </w:rPr>
        <w:t>）绿地及透水铺装比例计算书。</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景观专业图纸及设计说明：4景观设计/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建筑总平图图：3建筑设计/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场地地形图：3建筑设计/ 新桥幼儿园地形-17(1).dwg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8.2.6 场地内的环境噪声优于现行国家标准《声环境质量标准》GB 3096的要求。（10分）</w:t>
      </w:r>
    </w:p>
    <w:p>
      <w:pPr>
        <w:pStyle w:val="11"/>
        <w:spacing w:before="0" w:beforeAutospacing="0" w:after="0"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27" w:type="dxa"/>
        <w:jc w:val="center"/>
        <w:tblLayout w:type="autofit"/>
        <w:tblCellMar>
          <w:top w:w="0" w:type="dxa"/>
          <w:left w:w="0" w:type="dxa"/>
          <w:bottom w:w="0" w:type="dxa"/>
          <w:right w:w="0" w:type="dxa"/>
        </w:tblCellMar>
      </w:tblPr>
      <w:tblGrid>
        <w:gridCol w:w="781"/>
        <w:gridCol w:w="5111"/>
        <w:gridCol w:w="1704"/>
        <w:gridCol w:w="1631"/>
      </w:tblGrid>
      <w:tr>
        <w:tblPrEx>
          <w:tblCellMar>
            <w:top w:w="0" w:type="dxa"/>
            <w:left w:w="0" w:type="dxa"/>
            <w:bottom w:w="0" w:type="dxa"/>
            <w:right w:w="0" w:type="dxa"/>
          </w:tblCellMar>
        </w:tblPrEx>
        <w:trPr>
          <w:trHeight w:val="327"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40"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ascii="Times New Roman" w:hAnsi="Times New Roman" w:cs="Times New Roman"/>
                <w:sz w:val="21"/>
                <w:szCs w:val="21"/>
              </w:rPr>
              <w:t>2</w:t>
            </w:r>
            <w:r>
              <w:rPr>
                <w:rFonts w:hint="eastAsia"/>
                <w:sz w:val="21"/>
                <w:szCs w:val="21"/>
              </w:rPr>
              <w:t>类声环境功能区标准限值＜环境噪声值</w:t>
            </w:r>
            <w:r>
              <w:rPr>
                <w:rFonts w:ascii="Times New Roman" w:hAnsi="Times New Roman" w:cs="Times New Roman"/>
                <w:sz w:val="21"/>
                <w:szCs w:val="21"/>
              </w:rPr>
              <w:t>≤3</w:t>
            </w:r>
            <w:r>
              <w:rPr>
                <w:rFonts w:hint="eastAsia"/>
                <w:sz w:val="21"/>
                <w:szCs w:val="21"/>
              </w:rPr>
              <w:t>类声环境功能区标准限值</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4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trHeight w:val="340" w:hRule="atLeast"/>
          <w:jc w:val="center"/>
        </w:trPr>
        <w:tc>
          <w:tcPr>
            <w:tcW w:w="56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88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环境噪声值</w:t>
            </w:r>
            <w:r>
              <w:rPr>
                <w:rFonts w:ascii="Times New Roman" w:hAnsi="Times New Roman" w:cs="Times New Roman"/>
                <w:sz w:val="21"/>
                <w:szCs w:val="21"/>
              </w:rPr>
              <w:t>≤2</w:t>
            </w:r>
            <w:r>
              <w:rPr>
                <w:rFonts w:hint="eastAsia"/>
                <w:sz w:val="21"/>
                <w:szCs w:val="21"/>
              </w:rPr>
              <w:t>类声环境功能区标准限值</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40" w:hRule="atLeast"/>
          <w:jc w:val="center"/>
        </w:trPr>
        <w:tc>
          <w:tcPr>
            <w:tcW w:w="566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ascii="Times New Roman" w:hAnsi="Times New Roman" w:eastAsia="宋体" w:cs="Times New Roman"/>
                <w:sz w:val="21"/>
                <w:szCs w:val="21"/>
                <w:lang w:val="en-US" w:eastAsia="zh-CN"/>
              </w:rPr>
              <w:t>10</w:t>
            </w: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80" w:type="dxa"/>
            <w:tcBorders>
              <w:top w:val="nil"/>
              <w:left w:val="nil"/>
              <w:bottom w:val="nil"/>
              <w:right w:val="nil"/>
            </w:tcBorders>
            <w:noWrap w:val="0"/>
            <w:vAlign w:val="center"/>
          </w:tcPr>
          <w:p>
            <w:pPr>
              <w:rPr>
                <w:sz w:val="1"/>
              </w:rPr>
            </w:pPr>
          </w:p>
        </w:tc>
        <w:tc>
          <w:tcPr>
            <w:tcW w:w="5103"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28"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场地位于《声环境质量标准》</w:t>
      </w:r>
      <w:r>
        <w:rPr>
          <w:rFonts w:ascii="Calibri" w:hAnsi="Calibri"/>
          <w:sz w:val="21"/>
          <w:szCs w:val="21"/>
        </w:rPr>
        <w:t>GB3096</w:t>
      </w:r>
      <w:r>
        <w:rPr>
          <w:rFonts w:hint="eastAsia"/>
          <w:sz w:val="21"/>
          <w:szCs w:val="21"/>
        </w:rPr>
        <w:t>中</w:t>
      </w:r>
      <w:r>
        <w:rPr>
          <w:rFonts w:hint="eastAsia"/>
          <w:sz w:val="21"/>
          <w:szCs w:val="21"/>
          <w:u w:val="single"/>
        </w:rPr>
        <w:t>  1  </w:t>
      </w:r>
      <w:r>
        <w:rPr>
          <w:rFonts w:hint="eastAsia"/>
          <w:sz w:val="21"/>
          <w:szCs w:val="21"/>
        </w:rPr>
        <w:t>类型</w:t>
      </w:r>
    </w:p>
    <w:p>
      <w:pPr>
        <w:pStyle w:val="11"/>
        <w:spacing w:before="0" w:beforeAutospacing="0" w:after="0" w:afterAutospacing="0"/>
        <w:jc w:val="both"/>
      </w:pPr>
      <w:r>
        <w:rPr>
          <w:rFonts w:hint="eastAsia"/>
          <w:sz w:val="21"/>
          <w:szCs w:val="21"/>
        </w:rPr>
        <w:t>环境噪声检测情况</w:t>
      </w:r>
    </w:p>
    <w:tbl>
      <w:tblPr>
        <w:tblStyle w:val="13"/>
        <w:tblW w:w="9231" w:type="dxa"/>
        <w:jc w:val="center"/>
        <w:tblLayout w:type="autofit"/>
        <w:tblCellMar>
          <w:top w:w="0" w:type="dxa"/>
          <w:left w:w="0" w:type="dxa"/>
          <w:bottom w:w="0" w:type="dxa"/>
          <w:right w:w="0" w:type="dxa"/>
        </w:tblCellMar>
      </w:tblPr>
      <w:tblGrid>
        <w:gridCol w:w="641"/>
        <w:gridCol w:w="851"/>
        <w:gridCol w:w="1278"/>
        <w:gridCol w:w="1278"/>
        <w:gridCol w:w="1276"/>
        <w:gridCol w:w="1349"/>
        <w:gridCol w:w="1208"/>
        <w:gridCol w:w="1350"/>
      </w:tblGrid>
      <w:tr>
        <w:tblPrEx>
          <w:tblCellMar>
            <w:top w:w="0" w:type="dxa"/>
            <w:left w:w="0" w:type="dxa"/>
            <w:bottom w:w="0" w:type="dxa"/>
            <w:right w:w="0" w:type="dxa"/>
          </w:tblCellMar>
        </w:tblPrEx>
        <w:trPr>
          <w:trHeight w:val="335" w:hRule="atLeast"/>
          <w:jc w:val="center"/>
        </w:trPr>
        <w:tc>
          <w:tcPr>
            <w:tcW w:w="60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80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监测点</w:t>
            </w:r>
          </w:p>
        </w:tc>
        <w:tc>
          <w:tcPr>
            <w:tcW w:w="4957" w:type="dxa"/>
            <w:gridSpan w:val="4"/>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声环境功能区的环境噪声等效声级限值</w:t>
            </w:r>
            <w:r>
              <w:rPr>
                <w:rFonts w:ascii="Calibri" w:hAnsi="Calibri"/>
                <w:sz w:val="21"/>
                <w:szCs w:val="21"/>
              </w:rPr>
              <w:t>[dB(A)]</w:t>
            </w:r>
          </w:p>
        </w:tc>
        <w:tc>
          <w:tcPr>
            <w:tcW w:w="2400"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环境噪声测试值</w:t>
            </w:r>
          </w:p>
          <w:p>
            <w:pPr>
              <w:pStyle w:val="11"/>
              <w:spacing w:before="0" w:beforeAutospacing="0" w:after="0" w:afterAutospacing="0"/>
              <w:jc w:val="center"/>
            </w:pPr>
            <w:r>
              <w:rPr>
                <w:rFonts w:ascii="Calibri" w:hAnsi="Calibri"/>
                <w:sz w:val="21"/>
                <w:szCs w:val="21"/>
              </w:rPr>
              <w:t>[dB(A)]</w:t>
            </w:r>
          </w:p>
        </w:tc>
      </w:tr>
      <w:tr>
        <w:tblPrEx>
          <w:tblCellMar>
            <w:top w:w="0" w:type="dxa"/>
            <w:left w:w="0" w:type="dxa"/>
            <w:bottom w:w="0" w:type="dxa"/>
            <w:right w:w="0" w:type="dxa"/>
          </w:tblCellMar>
        </w:tblPrEx>
        <w:trPr>
          <w:trHeight w:val="33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2336"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2</w:t>
            </w:r>
            <w:r>
              <w:rPr>
                <w:rFonts w:hint="eastAsia"/>
                <w:sz w:val="21"/>
                <w:szCs w:val="21"/>
              </w:rPr>
              <w:t>类</w:t>
            </w:r>
          </w:p>
        </w:tc>
        <w:tc>
          <w:tcPr>
            <w:tcW w:w="240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3</w:t>
            </w:r>
            <w:r>
              <w:rPr>
                <w:rFonts w:hint="eastAsia"/>
                <w:sz w:val="21"/>
                <w:szCs w:val="21"/>
              </w:rPr>
              <w:t>类</w:t>
            </w:r>
          </w:p>
        </w:tc>
        <w:tc>
          <w:tcPr>
            <w:tcW w:w="0" w:type="auto"/>
            <w:gridSpan w:val="2"/>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昼间</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夜间</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昼间</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夜间</w:t>
            </w:r>
          </w:p>
        </w:tc>
        <w:tc>
          <w:tcPr>
            <w:tcW w:w="99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昼间</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夜间</w:t>
            </w:r>
          </w:p>
        </w:tc>
      </w:tr>
      <w:tr>
        <w:tblPrEx>
          <w:tblCellMar>
            <w:top w:w="0" w:type="dxa"/>
            <w:left w:w="0" w:type="dxa"/>
            <w:bottom w:w="0" w:type="dxa"/>
            <w:right w:w="0" w:type="dxa"/>
          </w:tblCellMar>
        </w:tblPrEx>
        <w:trPr>
          <w:jc w:val="center"/>
        </w:trPr>
        <w:tc>
          <w:tcPr>
            <w:tcW w:w="4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1</w:t>
            </w:r>
          </w:p>
        </w:tc>
        <w:tc>
          <w:tcPr>
            <w:tcW w:w="63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9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2</w:t>
            </w:r>
          </w:p>
        </w:tc>
        <w:tc>
          <w:tcPr>
            <w:tcW w:w="63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9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3</w:t>
            </w:r>
          </w:p>
        </w:tc>
        <w:tc>
          <w:tcPr>
            <w:tcW w:w="63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9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4</w:t>
            </w:r>
          </w:p>
        </w:tc>
        <w:tc>
          <w:tcPr>
            <w:tcW w:w="63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9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42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w:t>
            </w:r>
          </w:p>
        </w:tc>
        <w:tc>
          <w:tcPr>
            <w:tcW w:w="634"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6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99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c>
          <w:tcPr>
            <w:tcW w:w="113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640" w:type="dxa"/>
            <w:tcBorders>
              <w:top w:val="nil"/>
              <w:left w:val="nil"/>
              <w:bottom w:val="nil"/>
              <w:right w:val="nil"/>
            </w:tcBorders>
            <w:noWrap w:val="0"/>
            <w:vAlign w:val="center"/>
          </w:tcPr>
          <w:p>
            <w:pPr>
              <w:rPr>
                <w:sz w:val="1"/>
              </w:rPr>
            </w:pPr>
          </w:p>
        </w:tc>
        <w:tc>
          <w:tcPr>
            <w:tcW w:w="850" w:type="dxa"/>
            <w:tcBorders>
              <w:top w:val="nil"/>
              <w:left w:val="nil"/>
              <w:bottom w:val="nil"/>
              <w:right w:val="nil"/>
            </w:tcBorders>
            <w:noWrap w:val="0"/>
            <w:vAlign w:val="center"/>
          </w:tcPr>
          <w:p>
            <w:pPr>
              <w:rPr>
                <w:sz w:val="1"/>
              </w:rPr>
            </w:pPr>
          </w:p>
        </w:tc>
        <w:tc>
          <w:tcPr>
            <w:tcW w:w="1276" w:type="dxa"/>
            <w:tcBorders>
              <w:top w:val="nil"/>
              <w:left w:val="nil"/>
              <w:bottom w:val="nil"/>
              <w:right w:val="nil"/>
            </w:tcBorders>
            <w:noWrap w:val="0"/>
            <w:vAlign w:val="center"/>
          </w:tcPr>
          <w:p>
            <w:pPr>
              <w:rPr>
                <w:sz w:val="1"/>
              </w:rPr>
            </w:pPr>
          </w:p>
        </w:tc>
        <w:tc>
          <w:tcPr>
            <w:tcW w:w="1276" w:type="dxa"/>
            <w:tcBorders>
              <w:top w:val="nil"/>
              <w:left w:val="nil"/>
              <w:bottom w:val="nil"/>
              <w:right w:val="nil"/>
            </w:tcBorders>
            <w:noWrap w:val="0"/>
            <w:vAlign w:val="center"/>
          </w:tcPr>
          <w:p>
            <w:pPr>
              <w:rPr>
                <w:sz w:val="1"/>
              </w:rPr>
            </w:pPr>
          </w:p>
        </w:tc>
        <w:tc>
          <w:tcPr>
            <w:tcW w:w="1274" w:type="dxa"/>
            <w:tcBorders>
              <w:top w:val="nil"/>
              <w:left w:val="nil"/>
              <w:bottom w:val="nil"/>
              <w:right w:val="nil"/>
            </w:tcBorders>
            <w:noWrap w:val="0"/>
            <w:vAlign w:val="center"/>
          </w:tcPr>
          <w:p>
            <w:pPr>
              <w:rPr>
                <w:sz w:val="1"/>
              </w:rPr>
            </w:pPr>
          </w:p>
        </w:tc>
        <w:tc>
          <w:tcPr>
            <w:tcW w:w="1347" w:type="dxa"/>
            <w:tcBorders>
              <w:top w:val="nil"/>
              <w:left w:val="nil"/>
              <w:bottom w:val="nil"/>
              <w:right w:val="nil"/>
            </w:tcBorders>
            <w:noWrap w:val="0"/>
            <w:vAlign w:val="center"/>
          </w:tcPr>
          <w:p>
            <w:pPr>
              <w:rPr>
                <w:sz w:val="1"/>
              </w:rPr>
            </w:pPr>
          </w:p>
        </w:tc>
        <w:tc>
          <w:tcPr>
            <w:tcW w:w="1206" w:type="dxa"/>
            <w:tcBorders>
              <w:top w:val="nil"/>
              <w:left w:val="nil"/>
              <w:bottom w:val="nil"/>
              <w:right w:val="nil"/>
            </w:tcBorders>
            <w:noWrap w:val="0"/>
            <w:vAlign w:val="center"/>
          </w:tcPr>
          <w:p>
            <w:pPr>
              <w:rPr>
                <w:sz w:val="1"/>
              </w:rPr>
            </w:pPr>
          </w:p>
        </w:tc>
        <w:tc>
          <w:tcPr>
            <w:tcW w:w="1347"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hint="eastAsia"/>
          <w:sz w:val="21"/>
          <w:szCs w:val="21"/>
        </w:rPr>
        <w:t>请简要说明建筑场地周边噪声分布状况以及降噪措施。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633"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本项目场地噪声主要来源于校区外交通噪声及操场噪声，噪声值满足标准要求。</w:t>
            </w:r>
          </w:p>
          <w:p>
            <w:pPr>
              <w:pStyle w:val="11"/>
              <w:spacing w:before="0" w:beforeAutospacing="0" w:after="0" w:afterAutospacing="0"/>
              <w:ind w:firstLine="400"/>
            </w:pPr>
            <w:r>
              <w:rPr>
                <w:rFonts w:hint="eastAsia"/>
                <w:sz w:val="20"/>
                <w:szCs w:val="20"/>
              </w:rPr>
              <w:t>本项目噪声主要为地下车库的设备噪声和车辆噪声，要求选用低噪设备，安装减震等措施；同时加强车辆管理，禁止鸣笛，限制车速，经建筑隔声、距离衰减后噪声达标排放。</w:t>
            </w:r>
          </w:p>
        </w:tc>
      </w:tr>
    </w:tbl>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ind w:left="10" w:hanging="200"/>
        <w:jc w:val="both"/>
      </w:pPr>
      <w:r>
        <w:rPr>
          <w:rFonts w:ascii="Calibri" w:hAnsi="Calibri"/>
          <w:sz w:val="21"/>
          <w:szCs w:val="21"/>
        </w:rPr>
        <w:t>1</w:t>
      </w:r>
      <w:r>
        <w:rPr>
          <w:rFonts w:hint="eastAsia"/>
          <w:sz w:val="21"/>
          <w:szCs w:val="21"/>
        </w:rPr>
        <w:t>）环评报告书（表），应含有噪声检测及与预测评价或独立的环境噪声影响测试评估报告；</w:t>
      </w:r>
    </w:p>
    <w:p>
      <w:pPr>
        <w:pStyle w:val="11"/>
        <w:spacing w:before="0" w:beforeAutospacing="0" w:after="0" w:afterAutospacing="0"/>
        <w:ind w:left="10" w:hanging="200"/>
        <w:jc w:val="both"/>
      </w:pPr>
      <w:r>
        <w:rPr>
          <w:rFonts w:ascii="Calibri" w:hAnsi="Calibri"/>
          <w:sz w:val="21"/>
          <w:szCs w:val="21"/>
        </w:rPr>
        <w:t>2</w:t>
      </w:r>
      <w:r>
        <w:rPr>
          <w:rFonts w:hint="eastAsia"/>
          <w:sz w:val="21"/>
          <w:szCs w:val="21"/>
        </w:rPr>
        <w:t>）场地交通组织说明；降噪竣工图纸，包括道路声屏障、低噪声路面的设计内容；</w:t>
      </w:r>
    </w:p>
    <w:p>
      <w:pPr>
        <w:pStyle w:val="11"/>
        <w:spacing w:before="0" w:beforeAutospacing="0" w:after="0" w:afterAutospacing="0"/>
        <w:ind w:left="10" w:hanging="200"/>
        <w:jc w:val="both"/>
      </w:pPr>
      <w:r>
        <w:rPr>
          <w:rFonts w:ascii="Calibri" w:hAnsi="Calibri"/>
          <w:sz w:val="21"/>
          <w:szCs w:val="21"/>
        </w:rPr>
        <w:t>3</w:t>
      </w:r>
      <w:r>
        <w:rPr>
          <w:rFonts w:hint="eastAsia"/>
          <w:sz w:val="21"/>
          <w:szCs w:val="21"/>
        </w:rPr>
        <w:t>）规划总平面图、景观园林总平面图；</w:t>
      </w:r>
    </w:p>
    <w:p>
      <w:pPr>
        <w:pStyle w:val="11"/>
        <w:spacing w:before="0" w:beforeAutospacing="0" w:after="0" w:afterAutospacing="0"/>
        <w:ind w:left="10" w:hanging="200"/>
        <w:jc w:val="both"/>
      </w:pPr>
      <w:r>
        <w:rPr>
          <w:rFonts w:ascii="Calibri" w:hAnsi="Calibri"/>
          <w:sz w:val="21"/>
          <w:szCs w:val="21"/>
        </w:rPr>
        <w:t>4</w:t>
      </w:r>
      <w:r>
        <w:rPr>
          <w:rFonts w:hint="eastAsia"/>
          <w:sz w:val="21"/>
          <w:szCs w:val="21"/>
        </w:rPr>
        <w:t>）场地环境噪声检测报告及规划验收报告。</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75"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环评报告：2规划设计/ 环评报告书.docx</w:t>
            </w:r>
            <w:r>
              <w:rPr>
                <w:rFonts w:ascii="Times New Roman" w:hAnsi="Times New Roman" w:cs="Times New Roman"/>
                <w:sz w:val="20"/>
                <w:szCs w:val="20"/>
              </w:rPr>
              <w:br w:type="textWrapping"/>
            </w:r>
            <w:r>
              <w:rPr>
                <w:rStyle w:val="26"/>
                <w:rFonts w:ascii="Times New Roman" w:hAnsi="Times New Roman" w:cs="Times New Roman"/>
                <w:sz w:val="20"/>
                <w:szCs w:val="20"/>
              </w:rPr>
              <w:t>景观专业图纸及设计说明：4景观设计/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规划设计平面图：2规划设计/ 总平面.jpg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8.2.7 建筑及照明设计避免产生光污染。（10分）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27" w:type="dxa"/>
        <w:jc w:val="center"/>
        <w:tblLayout w:type="autofit"/>
        <w:tblCellMar>
          <w:top w:w="0" w:type="dxa"/>
          <w:left w:w="0" w:type="dxa"/>
          <w:bottom w:w="0" w:type="dxa"/>
          <w:right w:w="0" w:type="dxa"/>
        </w:tblCellMar>
      </w:tblPr>
      <w:tblGrid>
        <w:gridCol w:w="922"/>
        <w:gridCol w:w="4970"/>
        <w:gridCol w:w="1704"/>
        <w:gridCol w:w="1631"/>
      </w:tblGrid>
      <w:tr>
        <w:tblPrEx>
          <w:tblCellMar>
            <w:top w:w="0" w:type="dxa"/>
            <w:left w:w="0" w:type="dxa"/>
            <w:bottom w:w="0" w:type="dxa"/>
            <w:right w:w="0" w:type="dxa"/>
          </w:tblCellMar>
        </w:tblPrEx>
        <w:trPr>
          <w:trHeight w:val="327" w:hRule="atLeast"/>
          <w:jc w:val="center"/>
        </w:trPr>
        <w:tc>
          <w:tcPr>
            <w:tcW w:w="7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40" w:hRule="atLeast"/>
          <w:jc w:val="center"/>
        </w:trPr>
        <w:tc>
          <w:tcPr>
            <w:tcW w:w="70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玻璃幕墙的可见光反射比及反射光对周边环境的影响符合《玻璃幕墙光热性能》</w:t>
            </w:r>
            <w:r>
              <w:rPr>
                <w:rFonts w:ascii="Times New Roman" w:hAnsi="Times New Roman" w:cs="Times New Roman"/>
                <w:sz w:val="21"/>
                <w:szCs w:val="21"/>
              </w:rPr>
              <w:t>GB/T 18091</w:t>
            </w:r>
            <w:r>
              <w:rPr>
                <w:rFonts w:hint="eastAsia"/>
                <w:sz w:val="21"/>
                <w:szCs w:val="21"/>
              </w:rPr>
              <w:t>的规定</w:t>
            </w:r>
          </w:p>
        </w:tc>
        <w:tc>
          <w:tcPr>
            <w:tcW w:w="148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4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w:t>
            </w:r>
          </w:p>
        </w:tc>
      </w:tr>
      <w:tr>
        <w:tblPrEx>
          <w:tblCellMar>
            <w:top w:w="0" w:type="dxa"/>
            <w:left w:w="0" w:type="dxa"/>
            <w:bottom w:w="0" w:type="dxa"/>
            <w:right w:w="0" w:type="dxa"/>
          </w:tblCellMar>
        </w:tblPrEx>
        <w:trPr>
          <w:trHeight w:val="34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非玻璃幕墙建筑</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40" w:hRule="atLeast"/>
          <w:jc w:val="center"/>
        </w:trPr>
        <w:tc>
          <w:tcPr>
            <w:tcW w:w="70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4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室外夜景照明光污染的限制符合现行国家标准《室外照明干扰光限制规范》</w:t>
            </w:r>
            <w:r>
              <w:rPr>
                <w:rFonts w:ascii="Times New Roman" w:hAnsi="Times New Roman" w:cs="Times New Roman"/>
                <w:sz w:val="21"/>
                <w:szCs w:val="21"/>
              </w:rPr>
              <w:t>GB/T 35626</w:t>
            </w:r>
            <w:r>
              <w:rPr>
                <w:rFonts w:hint="eastAsia"/>
                <w:sz w:val="21"/>
                <w:szCs w:val="21"/>
              </w:rPr>
              <w:t>和现行行业标准《城市夜景照明设计规范》</w:t>
            </w:r>
            <w:r>
              <w:rPr>
                <w:rFonts w:ascii="Times New Roman" w:hAnsi="Times New Roman" w:cs="Times New Roman"/>
                <w:sz w:val="21"/>
                <w:szCs w:val="21"/>
              </w:rPr>
              <w:t>JGJ/T 163</w:t>
            </w:r>
            <w:r>
              <w:rPr>
                <w:rFonts w:hint="eastAsia"/>
                <w:sz w:val="21"/>
                <w:szCs w:val="21"/>
              </w:rPr>
              <w:t>的规定</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5</w:t>
            </w:r>
          </w:p>
        </w:tc>
      </w:tr>
      <w:tr>
        <w:tblPrEx>
          <w:tblCellMar>
            <w:top w:w="0" w:type="dxa"/>
            <w:left w:w="0" w:type="dxa"/>
            <w:bottom w:w="0" w:type="dxa"/>
            <w:right w:w="0" w:type="dxa"/>
          </w:tblCellMar>
        </w:tblPrEx>
        <w:trPr>
          <w:trHeight w:val="340" w:hRule="atLeast"/>
          <w:jc w:val="center"/>
        </w:trPr>
        <w:tc>
          <w:tcPr>
            <w:tcW w:w="5667"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921" w:type="dxa"/>
            <w:tcBorders>
              <w:top w:val="nil"/>
              <w:left w:val="nil"/>
              <w:bottom w:val="nil"/>
              <w:right w:val="nil"/>
            </w:tcBorders>
            <w:noWrap w:val="0"/>
            <w:vAlign w:val="center"/>
          </w:tcPr>
          <w:p>
            <w:pPr>
              <w:rPr>
                <w:sz w:val="1"/>
              </w:rPr>
            </w:pPr>
          </w:p>
        </w:tc>
        <w:tc>
          <w:tcPr>
            <w:tcW w:w="4962"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28"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是否采用玻璃幕墙或镜面式铝合金装饰外墙：</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若采用，则其可见光反射比为：</w:t>
      </w:r>
      <w:r>
        <w:rPr>
          <w:rFonts w:hint="eastAsia"/>
          <w:sz w:val="21"/>
          <w:szCs w:val="21"/>
          <w:u w:val="single"/>
        </w:rPr>
        <w:t xml:space="preserve">          </w:t>
      </w:r>
      <w:r>
        <w:rPr>
          <w:rFonts w:hint="eastAsia"/>
          <w:sz w:val="21"/>
          <w:szCs w:val="21"/>
        </w:rPr>
        <w:t>。</w:t>
      </w:r>
    </w:p>
    <w:p>
      <w:pPr>
        <w:pStyle w:val="11"/>
        <w:spacing w:before="0" w:beforeAutospacing="0" w:after="0" w:afterAutospacing="0"/>
        <w:jc w:val="both"/>
      </w:pPr>
      <w:r>
        <w:rPr>
          <w:rFonts w:hint="eastAsia"/>
          <w:sz w:val="21"/>
          <w:szCs w:val="21"/>
        </w:rPr>
        <w:t>室外夜景照明的光污染控制情况：</w:t>
      </w:r>
    </w:p>
    <w:tbl>
      <w:tblPr>
        <w:tblStyle w:val="13"/>
        <w:tblW w:w="4770" w:type="pct"/>
        <w:jc w:val="center"/>
        <w:tblLayout w:type="autofit"/>
        <w:tblCellMar>
          <w:top w:w="0" w:type="dxa"/>
          <w:left w:w="0" w:type="dxa"/>
          <w:bottom w:w="0" w:type="dxa"/>
          <w:right w:w="0" w:type="dxa"/>
        </w:tblCellMar>
      </w:tblPr>
      <w:tblGrid>
        <w:gridCol w:w="2016"/>
        <w:gridCol w:w="2590"/>
        <w:gridCol w:w="832"/>
        <w:gridCol w:w="832"/>
        <w:gridCol w:w="832"/>
        <w:gridCol w:w="837"/>
      </w:tblGrid>
      <w:tr>
        <w:tblPrEx>
          <w:tblCellMar>
            <w:top w:w="0" w:type="dxa"/>
            <w:left w:w="0" w:type="dxa"/>
            <w:bottom w:w="0" w:type="dxa"/>
            <w:right w:w="0" w:type="dxa"/>
          </w:tblCellMar>
        </w:tblPrEx>
        <w:trPr>
          <w:jc w:val="center"/>
        </w:trPr>
        <w:tc>
          <w:tcPr>
            <w:tcW w:w="1270" w:type="pct"/>
            <w:vMerge w:val="restar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照明技术参数</w:t>
            </w:r>
          </w:p>
        </w:tc>
        <w:tc>
          <w:tcPr>
            <w:tcW w:w="1631" w:type="pct"/>
            <w:vMerge w:val="restar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应用条件</w:t>
            </w:r>
          </w:p>
        </w:tc>
        <w:tc>
          <w:tcPr>
            <w:tcW w:w="0" w:type="auto"/>
            <w:gridSpan w:val="4"/>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环境区域</w:t>
            </w:r>
          </w:p>
        </w:tc>
      </w:tr>
      <w:tr>
        <w:tblPrEx>
          <w:tblCellMar>
            <w:top w:w="0" w:type="dxa"/>
            <w:left w:w="0" w:type="dxa"/>
            <w:bottom w:w="0" w:type="dxa"/>
            <w:right w:w="0" w:type="dxa"/>
          </w:tblCellMar>
        </w:tblPrEx>
        <w:trPr>
          <w:jc w:val="center"/>
        </w:trPr>
        <w:tc>
          <w:tcPr>
            <w:tcW w:w="0" w:type="auto"/>
            <w:vMerge w:val="continue"/>
            <w:tcBorders>
              <w:top w:val="single" w:color="333333" w:sz="6" w:space="0"/>
              <w:left w:val="single" w:color="333333" w:sz="6" w:space="0"/>
              <w:bottom w:val="single" w:color="333333" w:sz="6" w:space="0"/>
              <w:right w:val="single" w:color="333333" w:sz="6" w:space="0"/>
            </w:tcBorders>
            <w:noWrap w:val="0"/>
            <w:vAlign w:val="center"/>
          </w:tcPr>
          <w:p>
            <w:pPr>
              <w:rPr>
                <w:sz w:val="21"/>
                <w:szCs w:val="21"/>
              </w:rPr>
            </w:pPr>
          </w:p>
        </w:tc>
        <w:tc>
          <w:tcPr>
            <w:tcW w:w="0" w:type="auto"/>
            <w:vMerge w:val="continue"/>
            <w:tcBorders>
              <w:top w:val="single" w:color="333333" w:sz="6" w:space="0"/>
              <w:left w:val="single" w:color="333333" w:sz="6" w:space="0"/>
              <w:bottom w:val="single" w:color="333333" w:sz="6" w:space="0"/>
              <w:right w:val="single" w:color="333333" w:sz="6" w:space="0"/>
            </w:tcBorders>
            <w:noWrap w:val="0"/>
            <w:vAlign w:val="center"/>
          </w:tcPr>
          <w:p>
            <w:pPr>
              <w:rPr>
                <w:sz w:val="21"/>
                <w:szCs w:val="21"/>
              </w:rPr>
            </w:pP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E1</w:t>
            </w:r>
            <w:r>
              <w:rPr>
                <w:rFonts w:hint="eastAsia"/>
                <w:sz w:val="21"/>
                <w:szCs w:val="21"/>
              </w:rPr>
              <w:t>区</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E2</w:t>
            </w:r>
            <w:r>
              <w:rPr>
                <w:rFonts w:hint="eastAsia"/>
                <w:sz w:val="21"/>
                <w:szCs w:val="21"/>
              </w:rPr>
              <w:t>区</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E3</w:t>
            </w:r>
            <w:r>
              <w:rPr>
                <w:rFonts w:hint="eastAsia"/>
                <w:sz w:val="21"/>
                <w:szCs w:val="21"/>
              </w:rPr>
              <w:t>区</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E4</w:t>
            </w:r>
            <w:r>
              <w:rPr>
                <w:rFonts w:hint="eastAsia"/>
                <w:sz w:val="21"/>
                <w:szCs w:val="21"/>
              </w:rPr>
              <w:t>区</w:t>
            </w:r>
          </w:p>
        </w:tc>
      </w:tr>
      <w:tr>
        <w:tblPrEx>
          <w:tblCellMar>
            <w:top w:w="0" w:type="dxa"/>
            <w:left w:w="0" w:type="dxa"/>
            <w:bottom w:w="0" w:type="dxa"/>
            <w:right w:w="0" w:type="dxa"/>
          </w:tblCellMar>
        </w:tblPrEx>
        <w:trPr>
          <w:jc w:val="center"/>
        </w:trPr>
        <w:tc>
          <w:tcPr>
            <w:tcW w:w="1270" w:type="pct"/>
            <w:vMerge w:val="restar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垂直面照度（</w:t>
            </w:r>
            <w:r>
              <w:rPr>
                <w:rFonts w:ascii="Times New Roman" w:hAnsi="Times New Roman" w:cs="Times New Roman"/>
                <w:sz w:val="21"/>
                <w:szCs w:val="21"/>
              </w:rPr>
              <w:t>Ev</w:t>
            </w:r>
            <w:r>
              <w:rPr>
                <w:rFonts w:hint="eastAsia"/>
                <w:sz w:val="21"/>
                <w:szCs w:val="21"/>
              </w:rPr>
              <w:t>）</w:t>
            </w:r>
            <w:r>
              <w:rPr>
                <w:rFonts w:ascii="Times New Roman" w:hAnsi="Times New Roman" w:cs="Times New Roman"/>
                <w:sz w:val="21"/>
                <w:szCs w:val="21"/>
              </w:rPr>
              <w:t>(lx)</w:t>
            </w:r>
          </w:p>
        </w:tc>
        <w:tc>
          <w:tcPr>
            <w:tcW w:w="1631"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熄灯时段前</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5</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10</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25</w:t>
            </w:r>
          </w:p>
        </w:tc>
      </w:tr>
      <w:tr>
        <w:tblPrEx>
          <w:tblCellMar>
            <w:top w:w="0" w:type="dxa"/>
            <w:left w:w="0" w:type="dxa"/>
            <w:bottom w:w="0" w:type="dxa"/>
            <w:right w:w="0" w:type="dxa"/>
          </w:tblCellMar>
        </w:tblPrEx>
        <w:trPr>
          <w:jc w:val="center"/>
        </w:trPr>
        <w:tc>
          <w:tcPr>
            <w:tcW w:w="0" w:type="auto"/>
            <w:vMerge w:val="continue"/>
            <w:tcBorders>
              <w:top w:val="single" w:color="333333" w:sz="6" w:space="0"/>
              <w:left w:val="single" w:color="333333" w:sz="6" w:space="0"/>
              <w:bottom w:val="single" w:color="333333" w:sz="6" w:space="0"/>
              <w:right w:val="single" w:color="333333" w:sz="6" w:space="0"/>
            </w:tcBorders>
            <w:noWrap w:val="0"/>
            <w:vAlign w:val="center"/>
          </w:tcPr>
          <w:p>
            <w:pPr>
              <w:rPr>
                <w:sz w:val="21"/>
                <w:szCs w:val="21"/>
              </w:rPr>
            </w:pPr>
          </w:p>
        </w:tc>
        <w:tc>
          <w:tcPr>
            <w:tcW w:w="1631"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熄灯时段</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5</w:t>
            </w:r>
          </w:p>
        </w:tc>
      </w:tr>
      <w:tr>
        <w:tblPrEx>
          <w:tblCellMar>
            <w:top w:w="0" w:type="dxa"/>
            <w:left w:w="0" w:type="dxa"/>
            <w:bottom w:w="0" w:type="dxa"/>
            <w:right w:w="0" w:type="dxa"/>
          </w:tblCellMar>
        </w:tblPrEx>
        <w:trPr>
          <w:jc w:val="center"/>
        </w:trPr>
        <w:tc>
          <w:tcPr>
            <w:tcW w:w="1270" w:type="pct"/>
            <w:vMerge w:val="restart"/>
            <w:tcBorders>
              <w:top w:val="single" w:color="333333" w:sz="6" w:space="0"/>
              <w:left w:val="single" w:color="333333" w:sz="6" w:space="0"/>
              <w:bottom w:val="single" w:color="000000"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灯具发光强度</w:t>
            </w:r>
            <w:r>
              <w:rPr>
                <w:rFonts w:ascii="Times New Roman" w:hAnsi="Times New Roman" w:cs="Times New Roman"/>
                <w:sz w:val="21"/>
                <w:szCs w:val="21"/>
              </w:rPr>
              <w:t>I</w:t>
            </w:r>
            <w:r>
              <w:rPr>
                <w:rFonts w:hint="eastAsia"/>
                <w:sz w:val="21"/>
                <w:szCs w:val="21"/>
              </w:rPr>
              <w:t>（</w:t>
            </w:r>
            <w:r>
              <w:rPr>
                <w:rFonts w:ascii="Times New Roman" w:hAnsi="Times New Roman" w:cs="Times New Roman"/>
                <w:sz w:val="21"/>
                <w:szCs w:val="21"/>
              </w:rPr>
              <w:t>cd</w:t>
            </w:r>
            <w:r>
              <w:rPr>
                <w:rFonts w:hint="eastAsia"/>
                <w:sz w:val="21"/>
                <w:szCs w:val="21"/>
              </w:rPr>
              <w:t>）</w:t>
            </w:r>
          </w:p>
        </w:tc>
        <w:tc>
          <w:tcPr>
            <w:tcW w:w="1631"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熄灯时段前</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2500</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7500</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10000</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25000</w:t>
            </w:r>
          </w:p>
        </w:tc>
      </w:tr>
      <w:tr>
        <w:tblPrEx>
          <w:tblCellMar>
            <w:top w:w="0" w:type="dxa"/>
            <w:left w:w="0" w:type="dxa"/>
            <w:bottom w:w="0" w:type="dxa"/>
            <w:right w:w="0" w:type="dxa"/>
          </w:tblCellMar>
        </w:tblPrEx>
        <w:trPr>
          <w:jc w:val="center"/>
        </w:trPr>
        <w:tc>
          <w:tcPr>
            <w:tcW w:w="0" w:type="auto"/>
            <w:vMerge w:val="continue"/>
            <w:tcBorders>
              <w:top w:val="single" w:color="333333" w:sz="6" w:space="0"/>
              <w:left w:val="single" w:color="333333" w:sz="6" w:space="0"/>
              <w:bottom w:val="single" w:color="000000" w:sz="6" w:space="0"/>
              <w:right w:val="single" w:color="333333" w:sz="6" w:space="0"/>
            </w:tcBorders>
            <w:noWrap w:val="0"/>
            <w:vAlign w:val="center"/>
          </w:tcPr>
          <w:p>
            <w:pPr>
              <w:rPr>
                <w:sz w:val="21"/>
                <w:szCs w:val="21"/>
              </w:rPr>
            </w:pPr>
          </w:p>
        </w:tc>
        <w:tc>
          <w:tcPr>
            <w:tcW w:w="1631" w:type="pct"/>
            <w:tcBorders>
              <w:top w:val="single" w:color="333333" w:sz="6" w:space="0"/>
              <w:left w:val="single" w:color="333333" w:sz="6" w:space="0"/>
              <w:bottom w:val="single" w:color="000000"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熄灯时段</w:t>
            </w:r>
          </w:p>
        </w:tc>
        <w:tc>
          <w:tcPr>
            <w:tcW w:w="524" w:type="pct"/>
            <w:tcBorders>
              <w:top w:val="single" w:color="333333" w:sz="6" w:space="0"/>
              <w:left w:val="single" w:color="333333" w:sz="6" w:space="0"/>
              <w:bottom w:val="single" w:color="000000"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color="333333" w:sz="6" w:space="0"/>
              <w:left w:val="single" w:color="333333" w:sz="6" w:space="0"/>
              <w:bottom w:val="single" w:color="000000"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500</w:t>
            </w:r>
          </w:p>
        </w:tc>
        <w:tc>
          <w:tcPr>
            <w:tcW w:w="524" w:type="pct"/>
            <w:tcBorders>
              <w:top w:val="single" w:color="333333" w:sz="6" w:space="0"/>
              <w:left w:val="single" w:color="333333" w:sz="6" w:space="0"/>
              <w:bottom w:val="single" w:color="000000"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1000</w:t>
            </w:r>
          </w:p>
        </w:tc>
        <w:tc>
          <w:tcPr>
            <w:tcW w:w="527" w:type="pct"/>
            <w:tcBorders>
              <w:top w:val="single" w:color="333333" w:sz="6" w:space="0"/>
              <w:left w:val="single" w:color="333333" w:sz="6" w:space="0"/>
              <w:bottom w:val="single" w:color="000000" w:sz="6" w:space="0"/>
              <w:right w:val="single" w:color="333333"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2500</w:t>
            </w:r>
          </w:p>
        </w:tc>
      </w:tr>
      <w:tr>
        <w:tblPrEx>
          <w:tblCellMar>
            <w:top w:w="0" w:type="dxa"/>
            <w:left w:w="0" w:type="dxa"/>
            <w:bottom w:w="0" w:type="dxa"/>
            <w:right w:w="0" w:type="dxa"/>
          </w:tblCellMar>
        </w:tblPrEx>
        <w:trPr>
          <w:jc w:val="center"/>
        </w:trPr>
        <w:tc>
          <w:tcPr>
            <w:tcW w:w="1270"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上射光通比</w:t>
            </w:r>
          </w:p>
        </w:tc>
        <w:tc>
          <w:tcPr>
            <w:tcW w:w="1631"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jc w:val="center"/>
            </w:pPr>
            <w:r>
              <w:rPr>
                <w:rFonts w:hint="eastAsia"/>
                <w:sz w:val="21"/>
                <w:szCs w:val="21"/>
              </w:rPr>
              <w:t>灯具所处位置水平面以上的光通量与灯具总光通量之比（％）</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5</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15</w:t>
            </w:r>
          </w:p>
        </w:tc>
        <w:tc>
          <w:tcPr>
            <w:tcW w:w="527"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25</w:t>
            </w:r>
          </w:p>
        </w:tc>
      </w:tr>
      <w:tr>
        <w:tblPrEx>
          <w:tblCellMar>
            <w:top w:w="0" w:type="dxa"/>
            <w:left w:w="0" w:type="dxa"/>
            <w:bottom w:w="0" w:type="dxa"/>
            <w:right w:w="0" w:type="dxa"/>
          </w:tblCellMar>
        </w:tblPrEx>
        <w:trPr>
          <w:jc w:val="center"/>
        </w:trPr>
        <w:tc>
          <w:tcPr>
            <w:tcW w:w="1270"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建筑立面亮度</w:t>
            </w:r>
            <w:r>
              <w:rPr>
                <w:rFonts w:ascii="Times New Roman" w:hAnsi="Times New Roman" w:cs="Times New Roman"/>
                <w:sz w:val="21"/>
                <w:szCs w:val="21"/>
              </w:rPr>
              <w:t>Lb(cd/m2)</w:t>
            </w:r>
          </w:p>
        </w:tc>
        <w:tc>
          <w:tcPr>
            <w:tcW w:w="1631"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被照面平均亮度</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5</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10</w:t>
            </w:r>
          </w:p>
        </w:tc>
        <w:tc>
          <w:tcPr>
            <w:tcW w:w="527"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25</w:t>
            </w:r>
          </w:p>
        </w:tc>
      </w:tr>
      <w:tr>
        <w:tblPrEx>
          <w:tblCellMar>
            <w:top w:w="0" w:type="dxa"/>
            <w:left w:w="0" w:type="dxa"/>
            <w:bottom w:w="0" w:type="dxa"/>
            <w:right w:w="0" w:type="dxa"/>
          </w:tblCellMar>
        </w:tblPrEx>
        <w:trPr>
          <w:jc w:val="center"/>
        </w:trPr>
        <w:tc>
          <w:tcPr>
            <w:tcW w:w="1270"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标识亮度</w:t>
            </w:r>
            <w:r>
              <w:rPr>
                <w:rFonts w:ascii="Times New Roman" w:hAnsi="Times New Roman" w:cs="Times New Roman"/>
                <w:sz w:val="21"/>
                <w:szCs w:val="21"/>
              </w:rPr>
              <w:t>Ls(cd/m2)</w:t>
            </w:r>
          </w:p>
        </w:tc>
        <w:tc>
          <w:tcPr>
            <w:tcW w:w="1631"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hint="eastAsia"/>
                <w:sz w:val="21"/>
                <w:szCs w:val="21"/>
              </w:rPr>
              <w:t>外投光标识被照面平均亮度</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50</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400</w:t>
            </w:r>
          </w:p>
        </w:tc>
        <w:tc>
          <w:tcPr>
            <w:tcW w:w="524"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800</w:t>
            </w:r>
          </w:p>
        </w:tc>
        <w:tc>
          <w:tcPr>
            <w:tcW w:w="527" w:type="pct"/>
            <w:tcBorders>
              <w:top w:val="single" w:color="000000" w:sz="6" w:space="0"/>
              <w:left w:val="single" w:color="000000" w:sz="6" w:space="0"/>
              <w:bottom w:val="single" w:color="000000" w:sz="6" w:space="0"/>
              <w:right w:val="single" w:color="000000" w:sz="6" w:space="0"/>
            </w:tcBorders>
            <w:noWrap w:val="0"/>
            <w:vAlign w:val="center"/>
          </w:tcPr>
          <w:p>
            <w:pPr>
              <w:pStyle w:val="11"/>
              <w:spacing w:before="0" w:beforeAutospacing="0" w:after="0" w:afterAutospacing="0" w:line="360" w:lineRule="auto"/>
              <w:jc w:val="center"/>
              <w:rPr>
                <w:sz w:val="21"/>
                <w:szCs w:val="21"/>
              </w:rPr>
            </w:pPr>
            <w:r>
              <w:rPr>
                <w:rFonts w:ascii="Times New Roman" w:hAnsi="Times New Roman" w:cs="Times New Roman"/>
                <w:sz w:val="21"/>
                <w:szCs w:val="21"/>
              </w:rPr>
              <w:t>1000</w:t>
            </w:r>
          </w:p>
        </w:tc>
      </w:tr>
      <w:tr>
        <w:tblPrEx>
          <w:tblCellMar>
            <w:top w:w="0" w:type="dxa"/>
            <w:left w:w="0" w:type="dxa"/>
            <w:bottom w:w="0" w:type="dxa"/>
            <w:right w:w="0" w:type="dxa"/>
          </w:tblCellMar>
        </w:tblPrEx>
        <w:trPr>
          <w:jc w:val="center"/>
        </w:trPr>
        <w:tc>
          <w:tcPr>
            <w:tcW w:w="2008" w:type="dxa"/>
            <w:tcBorders>
              <w:top w:val="nil"/>
              <w:left w:val="nil"/>
              <w:bottom w:val="nil"/>
              <w:right w:val="nil"/>
            </w:tcBorders>
            <w:noWrap w:val="0"/>
            <w:vAlign w:val="center"/>
          </w:tcPr>
          <w:p>
            <w:pPr>
              <w:rPr>
                <w:sz w:val="1"/>
              </w:rPr>
            </w:pPr>
          </w:p>
        </w:tc>
        <w:tc>
          <w:tcPr>
            <w:tcW w:w="2580" w:type="dxa"/>
            <w:tcBorders>
              <w:top w:val="nil"/>
              <w:left w:val="nil"/>
              <w:bottom w:val="nil"/>
              <w:right w:val="nil"/>
            </w:tcBorders>
            <w:noWrap w:val="0"/>
            <w:vAlign w:val="center"/>
          </w:tcPr>
          <w:p>
            <w:pPr>
              <w:rPr>
                <w:sz w:val="1"/>
              </w:rPr>
            </w:pPr>
          </w:p>
        </w:tc>
        <w:tc>
          <w:tcPr>
            <w:tcW w:w="829" w:type="dxa"/>
            <w:tcBorders>
              <w:top w:val="nil"/>
              <w:left w:val="nil"/>
              <w:bottom w:val="nil"/>
              <w:right w:val="nil"/>
            </w:tcBorders>
            <w:noWrap w:val="0"/>
            <w:vAlign w:val="center"/>
          </w:tcPr>
          <w:p>
            <w:pPr>
              <w:rPr>
                <w:sz w:val="1"/>
              </w:rPr>
            </w:pPr>
          </w:p>
        </w:tc>
        <w:tc>
          <w:tcPr>
            <w:tcW w:w="829" w:type="dxa"/>
            <w:tcBorders>
              <w:top w:val="nil"/>
              <w:left w:val="nil"/>
              <w:bottom w:val="nil"/>
              <w:right w:val="nil"/>
            </w:tcBorders>
            <w:noWrap w:val="0"/>
            <w:vAlign w:val="center"/>
          </w:tcPr>
          <w:p>
            <w:pPr>
              <w:rPr>
                <w:sz w:val="1"/>
              </w:rPr>
            </w:pPr>
          </w:p>
        </w:tc>
        <w:tc>
          <w:tcPr>
            <w:tcW w:w="829" w:type="dxa"/>
            <w:tcBorders>
              <w:top w:val="nil"/>
              <w:left w:val="nil"/>
              <w:bottom w:val="nil"/>
              <w:right w:val="nil"/>
            </w:tcBorders>
            <w:noWrap w:val="0"/>
            <w:vAlign w:val="center"/>
          </w:tcPr>
          <w:p>
            <w:pPr>
              <w:rPr>
                <w:sz w:val="1"/>
              </w:rPr>
            </w:pPr>
          </w:p>
        </w:tc>
        <w:tc>
          <w:tcPr>
            <w:tcW w:w="834"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hint="eastAsia"/>
          <w:sz w:val="21"/>
          <w:szCs w:val="21"/>
        </w:rPr>
        <w:t>居住区和步行区夜景照明灯具的眩光限制值：</w:t>
      </w:r>
    </w:p>
    <w:tbl>
      <w:tblPr>
        <w:tblStyle w:val="13"/>
        <w:tblW w:w="0" w:type="auto"/>
        <w:jc w:val="center"/>
        <w:tblLayout w:type="autofit"/>
        <w:tblCellMar>
          <w:top w:w="0" w:type="dxa"/>
          <w:left w:w="0" w:type="dxa"/>
          <w:bottom w:w="0" w:type="dxa"/>
          <w:right w:w="0" w:type="dxa"/>
        </w:tblCellMar>
      </w:tblPr>
      <w:tblGrid>
        <w:gridCol w:w="3137"/>
        <w:gridCol w:w="1400"/>
        <w:gridCol w:w="1400"/>
        <w:gridCol w:w="1755"/>
      </w:tblGrid>
      <w:tr>
        <w:tblPrEx>
          <w:tblCellMar>
            <w:top w:w="0" w:type="dxa"/>
            <w:left w:w="0" w:type="dxa"/>
            <w:bottom w:w="0" w:type="dxa"/>
            <w:right w:w="0" w:type="dxa"/>
          </w:tblCellMar>
        </w:tblPrEx>
        <w:trPr>
          <w:jc w:val="center"/>
        </w:trPr>
        <w:tc>
          <w:tcPr>
            <w:tcW w:w="3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安装高度</w:t>
            </w:r>
            <w:r>
              <w:rPr>
                <w:rFonts w:ascii="Calibri" w:hAnsi="Calibri"/>
                <w:sz w:val="21"/>
                <w:szCs w:val="21"/>
              </w:rPr>
              <w:t>(m)</w:t>
            </w:r>
          </w:p>
        </w:tc>
        <w:tc>
          <w:tcPr>
            <w:tcW w:w="14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H</w:t>
            </w:r>
            <w:r>
              <w:rPr>
                <w:rFonts w:hint="eastAsia"/>
                <w:sz w:val="21"/>
                <w:szCs w:val="21"/>
              </w:rPr>
              <w:t>≤</w:t>
            </w:r>
            <w:r>
              <w:rPr>
                <w:rFonts w:ascii="Calibri" w:hAnsi="Calibri"/>
                <w:sz w:val="21"/>
                <w:szCs w:val="21"/>
              </w:rPr>
              <w:t>4.5</w:t>
            </w:r>
          </w:p>
        </w:tc>
        <w:tc>
          <w:tcPr>
            <w:tcW w:w="140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4.5</w:t>
            </w:r>
            <w:r>
              <w:rPr>
                <w:rFonts w:hint="eastAsia"/>
                <w:sz w:val="21"/>
                <w:szCs w:val="21"/>
              </w:rPr>
              <w:t>＜</w:t>
            </w:r>
            <w:r>
              <w:rPr>
                <w:rFonts w:ascii="Calibri" w:hAnsi="Calibri"/>
                <w:sz w:val="21"/>
                <w:szCs w:val="21"/>
              </w:rPr>
              <w:t>H</w:t>
            </w:r>
            <w:r>
              <w:rPr>
                <w:rFonts w:hint="eastAsia"/>
                <w:sz w:val="21"/>
                <w:szCs w:val="21"/>
              </w:rPr>
              <w:t>≤</w:t>
            </w:r>
            <w:r>
              <w:rPr>
                <w:rFonts w:ascii="Calibri" w:hAnsi="Calibri"/>
                <w:sz w:val="21"/>
                <w:szCs w:val="21"/>
              </w:rPr>
              <w:t>6</w:t>
            </w:r>
          </w:p>
        </w:tc>
        <w:tc>
          <w:tcPr>
            <w:tcW w:w="17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H</w:t>
            </w:r>
            <w:r>
              <w:rPr>
                <w:rFonts w:hint="eastAsia"/>
                <w:sz w:val="21"/>
                <w:szCs w:val="21"/>
              </w:rPr>
              <w:t>＞</w:t>
            </w:r>
            <w:r>
              <w:rPr>
                <w:rFonts w:ascii="Calibri" w:hAnsi="Calibri"/>
                <w:sz w:val="21"/>
                <w:szCs w:val="21"/>
              </w:rPr>
              <w:t>6</w:t>
            </w:r>
          </w:p>
        </w:tc>
      </w:tr>
      <w:tr>
        <w:tblPrEx>
          <w:tblCellMar>
            <w:top w:w="0" w:type="dxa"/>
            <w:left w:w="0" w:type="dxa"/>
            <w:bottom w:w="0" w:type="dxa"/>
            <w:right w:w="0" w:type="dxa"/>
          </w:tblCellMar>
        </w:tblPrEx>
        <w:trPr>
          <w:jc w:val="center"/>
        </w:trPr>
        <w:tc>
          <w:tcPr>
            <w:tcW w:w="3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L</w:t>
            </w:r>
            <w:r>
              <w:rPr>
                <w:rFonts w:hint="eastAsia"/>
                <w:sz w:val="21"/>
                <w:szCs w:val="21"/>
              </w:rPr>
              <w:t>与</w:t>
            </w:r>
            <w:r>
              <w:rPr>
                <w:rFonts w:ascii="Calibri" w:hAnsi="Calibri"/>
                <w:sz w:val="21"/>
                <w:szCs w:val="21"/>
              </w:rPr>
              <w:t>A</w:t>
            </w:r>
            <w:r>
              <w:rPr>
                <w:rFonts w:ascii="Calibri" w:hAnsi="Calibri"/>
                <w:sz w:val="14"/>
                <w:szCs w:val="14"/>
                <w:vertAlign w:val="superscript"/>
              </w:rPr>
              <w:t>0.5</w:t>
            </w:r>
            <w:r>
              <w:rPr>
                <w:rFonts w:hint="eastAsia"/>
                <w:sz w:val="21"/>
                <w:szCs w:val="21"/>
              </w:rPr>
              <w:t>的乘积</w:t>
            </w:r>
          </w:p>
        </w:tc>
        <w:tc>
          <w:tcPr>
            <w:tcW w:w="12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360" w:lineRule="auto"/>
              <w:jc w:val="center"/>
              <w:rPr>
                <w:sz w:val="21"/>
                <w:szCs w:val="21"/>
              </w:rPr>
            </w:pPr>
            <w:r>
              <w:rPr>
                <w:rFonts w:ascii="Calibri" w:hAnsi="Calibri"/>
                <w:sz w:val="21"/>
                <w:szCs w:val="21"/>
              </w:rPr>
              <w:t>LA</w:t>
            </w:r>
            <w:r>
              <w:rPr>
                <w:rFonts w:ascii="Calibri" w:hAnsi="Calibri"/>
                <w:sz w:val="14"/>
                <w:szCs w:val="14"/>
                <w:vertAlign w:val="superscript"/>
              </w:rPr>
              <w:t>0.5</w:t>
            </w:r>
            <w:r>
              <w:rPr>
                <w:rFonts w:hint="eastAsia"/>
                <w:sz w:val="21"/>
                <w:szCs w:val="21"/>
              </w:rPr>
              <w:t>≤</w:t>
            </w:r>
            <w:r>
              <w:rPr>
                <w:rFonts w:ascii="Calibri" w:hAnsi="Calibri"/>
                <w:sz w:val="21"/>
                <w:szCs w:val="21"/>
              </w:rPr>
              <w:t>4000</w:t>
            </w:r>
          </w:p>
        </w:tc>
        <w:tc>
          <w:tcPr>
            <w:tcW w:w="12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LA</w:t>
            </w:r>
            <w:r>
              <w:rPr>
                <w:rFonts w:ascii="Calibri" w:hAnsi="Calibri"/>
                <w:sz w:val="14"/>
                <w:szCs w:val="14"/>
                <w:vertAlign w:val="superscript"/>
              </w:rPr>
              <w:t>0.5</w:t>
            </w:r>
            <w:r>
              <w:rPr>
                <w:rFonts w:hint="eastAsia"/>
                <w:sz w:val="21"/>
                <w:szCs w:val="21"/>
              </w:rPr>
              <w:t>≤</w:t>
            </w:r>
            <w:r>
              <w:rPr>
                <w:rFonts w:ascii="Calibri" w:hAnsi="Calibri"/>
                <w:sz w:val="21"/>
                <w:szCs w:val="21"/>
              </w:rPr>
              <w:t>5500</w:t>
            </w:r>
          </w:p>
        </w:tc>
        <w:tc>
          <w:tcPr>
            <w:tcW w:w="17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LA</w:t>
            </w:r>
            <w:r>
              <w:rPr>
                <w:rFonts w:ascii="Calibri" w:hAnsi="Calibri"/>
                <w:sz w:val="14"/>
                <w:szCs w:val="14"/>
                <w:vertAlign w:val="superscript"/>
              </w:rPr>
              <w:t>0.5</w:t>
            </w:r>
            <w:r>
              <w:rPr>
                <w:rFonts w:hint="eastAsia"/>
                <w:sz w:val="21"/>
                <w:szCs w:val="21"/>
              </w:rPr>
              <w:t>≤</w:t>
            </w:r>
            <w:r>
              <w:rPr>
                <w:rFonts w:ascii="Calibri" w:hAnsi="Calibri"/>
                <w:sz w:val="21"/>
                <w:szCs w:val="21"/>
              </w:rPr>
              <w:t>7000</w:t>
            </w:r>
          </w:p>
        </w:tc>
      </w:tr>
      <w:tr>
        <w:tblPrEx>
          <w:tblCellMar>
            <w:top w:w="0" w:type="dxa"/>
            <w:left w:w="0" w:type="dxa"/>
            <w:bottom w:w="0" w:type="dxa"/>
            <w:right w:w="0" w:type="dxa"/>
          </w:tblCellMar>
        </w:tblPrEx>
        <w:trPr>
          <w:jc w:val="center"/>
        </w:trPr>
        <w:tc>
          <w:tcPr>
            <w:tcW w:w="313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项目情况</w:t>
            </w:r>
          </w:p>
        </w:tc>
        <w:tc>
          <w:tcPr>
            <w:tcW w:w="12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line="360" w:lineRule="auto"/>
              <w:jc w:val="center"/>
              <w:rPr>
                <w:sz w:val="21"/>
                <w:szCs w:val="21"/>
              </w:rPr>
            </w:pPr>
            <w:r>
              <w:rPr>
                <w:rFonts w:ascii="Calibri" w:hAnsi="Calibri"/>
                <w:sz w:val="21"/>
                <w:szCs w:val="21"/>
              </w:rPr>
              <w:t> </w:t>
            </w:r>
          </w:p>
        </w:tc>
        <w:tc>
          <w:tcPr>
            <w:tcW w:w="1203"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c>
          <w:tcPr>
            <w:tcW w:w="175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Calibri" w:hAnsi="Calibri"/>
                <w:sz w:val="21"/>
                <w:szCs w:val="21"/>
              </w:rPr>
              <w:t> </w:t>
            </w:r>
          </w:p>
        </w:tc>
      </w:tr>
    </w:tbl>
    <w:p>
      <w:pPr>
        <w:pStyle w:val="11"/>
        <w:spacing w:before="0" w:beforeAutospacing="0" w:after="0" w:afterAutospacing="0"/>
        <w:jc w:val="both"/>
      </w:pPr>
      <w:r>
        <w:rPr>
          <w:rFonts w:hint="eastAsia"/>
          <w:sz w:val="21"/>
          <w:szCs w:val="21"/>
        </w:rPr>
        <w:t>请简要说明建筑及照明设计控制光污染的措施。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本工程项目均不设玻璃幕墙和室外夜景照明。</w:t>
            </w:r>
          </w:p>
          <w:p>
            <w:pPr>
              <w:pStyle w:val="11"/>
              <w:spacing w:before="0" w:beforeAutospacing="0" w:after="0" w:afterAutospacing="0"/>
              <w:ind w:firstLine="400"/>
            </w:pPr>
            <w:r>
              <w:rPr>
                <w:rFonts w:hint="eastAsia"/>
                <w:sz w:val="20"/>
                <w:szCs w:val="20"/>
              </w:rPr>
              <w:t>本工程没有采用玻璃幕墙和镜面式铝合金装饰外墙；无夜景照明。</w:t>
            </w:r>
          </w:p>
          <w:p>
            <w:pPr>
              <w:pStyle w:val="11"/>
              <w:spacing w:before="0" w:beforeAutospacing="0" w:after="0" w:afterAutospacing="0"/>
              <w:ind w:firstLine="400"/>
            </w:pPr>
            <w:r>
              <w:rPr>
                <w:rFonts w:hint="eastAsia"/>
                <w:sz w:val="20"/>
                <w:szCs w:val="20"/>
              </w:rPr>
              <w:t>本项目为非玻璃幕墙建筑，室外照明采用截光型灯具，无直射光射入空中，不会对周边</w:t>
            </w:r>
          </w:p>
          <w:p>
            <w:pPr>
              <w:pStyle w:val="11"/>
              <w:spacing w:before="0" w:beforeAutospacing="0" w:after="0" w:afterAutospacing="0"/>
            </w:pPr>
            <w:r>
              <w:rPr>
                <w:rFonts w:hint="eastAsia"/>
                <w:sz w:val="20"/>
                <w:szCs w:val="20"/>
              </w:rPr>
              <w:t>带来光污染。</w:t>
            </w:r>
          </w:p>
          <w:p>
            <w:pPr>
              <w:pStyle w:val="11"/>
              <w:spacing w:before="0" w:beforeAutospacing="0" w:after="0" w:afterAutospacing="0"/>
              <w:ind w:firstLine="400"/>
            </w:pPr>
            <w:r>
              <w:rPr>
                <w:rFonts w:hint="eastAsia"/>
                <w:sz w:val="20"/>
                <w:szCs w:val="20"/>
              </w:rPr>
              <w:t>学校室外有路灯，通过室外光污染分析，本项目夜景照明设施在建筑外表面产生的垂直照度、平均亮度、朝居室方向的发光强度、灯具的眩光限制值和上射光通比均符合现行行业标准《城市夜景照明设计规范》</w:t>
            </w:r>
            <w:r>
              <w:rPr>
                <w:rFonts w:ascii="Times New Roman" w:hAnsi="Times New Roman" w:cs="Times New Roman"/>
                <w:sz w:val="20"/>
                <w:szCs w:val="20"/>
              </w:rPr>
              <w:t>JGJ/T163</w:t>
            </w:r>
            <w:r>
              <w:rPr>
                <w:rFonts w:hint="eastAsia"/>
                <w:sz w:val="20"/>
                <w:szCs w:val="20"/>
              </w:rPr>
              <w:t>的规定，本项目夜景照明的光线被严格控制在了被照区域内，减少了被照区域的溢散光，有效地避免产生光污染。</w:t>
            </w:r>
          </w:p>
        </w:tc>
      </w:tr>
    </w:tbl>
    <w:p>
      <w:pPr>
        <w:pStyle w:val="11"/>
        <w:spacing w:before="156" w:beforeAutospacing="0" w:after="156" w:afterAutospacing="0"/>
        <w:jc w:val="both"/>
      </w:pPr>
      <w:r>
        <w:rPr>
          <w:rFonts w:ascii="Times New Roman" w:hAnsi="Times New Roman" w:cs="Times New Roman"/>
          <w:b/>
          <w:bCs/>
          <w:sz w:val="21"/>
          <w:szCs w:val="21"/>
        </w:rPr>
        <w:t> </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）建筑专业竣工图纸及设计说明，应包括玻璃幕墙竣工图及说明；</w:t>
      </w:r>
    </w:p>
    <w:p>
      <w:pPr>
        <w:pStyle w:val="11"/>
        <w:spacing w:before="0" w:beforeAutospacing="0" w:after="0" w:afterAutospacing="0"/>
        <w:jc w:val="both"/>
      </w:pPr>
      <w:r>
        <w:rPr>
          <w:rFonts w:ascii="Calibri" w:hAnsi="Calibri"/>
          <w:sz w:val="21"/>
          <w:szCs w:val="21"/>
        </w:rPr>
        <w:t>2</w:t>
      </w:r>
      <w:r>
        <w:rPr>
          <w:rFonts w:hint="eastAsia"/>
          <w:sz w:val="21"/>
          <w:szCs w:val="21"/>
        </w:rPr>
        <w:t>）玻璃幕墙专项验收报告，包括玻璃幕墙光污染分析专项报告、玻璃的光学性能检验报告、玻璃进场复验报告；</w:t>
      </w:r>
    </w:p>
    <w:p>
      <w:pPr>
        <w:pStyle w:val="11"/>
        <w:spacing w:before="0" w:beforeAutospacing="0" w:after="0" w:afterAutospacing="0"/>
        <w:ind w:left="10" w:hanging="200"/>
        <w:jc w:val="both"/>
      </w:pPr>
      <w:r>
        <w:rPr>
          <w:rFonts w:ascii="Calibri" w:hAnsi="Calibri"/>
          <w:sz w:val="21"/>
          <w:szCs w:val="21"/>
        </w:rPr>
        <w:t>3</w:t>
      </w:r>
      <w:r>
        <w:rPr>
          <w:rFonts w:hint="eastAsia"/>
          <w:sz w:val="21"/>
          <w:szCs w:val="21"/>
        </w:rPr>
        <w:t>）室外夜景照明光污染分析报告；</w:t>
      </w:r>
    </w:p>
    <w:p>
      <w:pPr>
        <w:pStyle w:val="11"/>
        <w:spacing w:before="0" w:beforeAutospacing="0" w:after="0" w:afterAutospacing="0"/>
        <w:ind w:left="10" w:hanging="200"/>
        <w:jc w:val="both"/>
      </w:pPr>
      <w:r>
        <w:rPr>
          <w:rFonts w:ascii="Calibri" w:hAnsi="Calibri"/>
          <w:sz w:val="21"/>
          <w:szCs w:val="21"/>
        </w:rPr>
        <w:t>4</w:t>
      </w:r>
      <w:r>
        <w:rPr>
          <w:rFonts w:hint="eastAsia"/>
          <w:sz w:val="21"/>
          <w:szCs w:val="21"/>
        </w:rPr>
        <w:t>）灯具的光度检验报告、灯具进场复验报告；</w:t>
      </w:r>
    </w:p>
    <w:p>
      <w:pPr>
        <w:pStyle w:val="11"/>
        <w:spacing w:before="0" w:beforeAutospacing="0" w:after="0" w:afterAutospacing="0"/>
        <w:ind w:left="10" w:hanging="200"/>
        <w:jc w:val="both"/>
      </w:pPr>
      <w:r>
        <w:rPr>
          <w:rFonts w:ascii="Calibri" w:hAnsi="Calibri"/>
          <w:sz w:val="21"/>
          <w:szCs w:val="21"/>
        </w:rPr>
        <w:t>5</w:t>
      </w:r>
      <w:r>
        <w:rPr>
          <w:rFonts w:hint="eastAsia"/>
          <w:sz w:val="21"/>
          <w:szCs w:val="21"/>
        </w:rPr>
        <w:t>）照明设计方案，包括照明照度及功率密度计算；</w:t>
      </w:r>
    </w:p>
    <w:p>
      <w:pPr>
        <w:pStyle w:val="11"/>
        <w:spacing w:before="0" w:beforeAutospacing="0" w:after="0" w:afterAutospacing="0"/>
        <w:ind w:left="10" w:hanging="200"/>
        <w:jc w:val="both"/>
      </w:pPr>
      <w:r>
        <w:rPr>
          <w:rFonts w:ascii="Calibri" w:hAnsi="Calibri"/>
          <w:sz w:val="21"/>
          <w:szCs w:val="21"/>
        </w:rPr>
        <w:t>6</w:t>
      </w:r>
      <w:r>
        <w:rPr>
          <w:rFonts w:hint="eastAsia"/>
          <w:sz w:val="21"/>
          <w:szCs w:val="21"/>
        </w:rPr>
        <w:t>）泛光照明、景观照明竣工图纸及设计说明。</w:t>
      </w:r>
    </w:p>
    <w:p>
      <w:pPr>
        <w:pStyle w:val="11"/>
        <w:spacing w:before="0" w:beforeAutospacing="0" w:after="0" w:afterAutospacing="0"/>
        <w:ind w:left="10" w:hanging="200"/>
        <w:jc w:val="both"/>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r>
              <w:rPr>
                <w:rFonts w:ascii="Times New Roman" w:hAnsi="Times New Roman" w:cs="Times New Roman"/>
                <w:sz w:val="20"/>
                <w:szCs w:val="20"/>
              </w:rPr>
              <w:br w:type="textWrapping"/>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8.2.8 场地内风环境有利于室外行走、活动舒适和建筑的自然通风。（10分）</w:t>
      </w:r>
    </w:p>
    <w:p>
      <w:pPr>
        <w:pStyle w:val="11"/>
        <w:spacing w:before="0" w:beforeAutospacing="0" w:after="0"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28" w:type="dxa"/>
        <w:jc w:val="center"/>
        <w:tblLayout w:type="autofit"/>
        <w:tblCellMar>
          <w:top w:w="0" w:type="dxa"/>
          <w:left w:w="0" w:type="dxa"/>
          <w:bottom w:w="0" w:type="dxa"/>
          <w:right w:w="0" w:type="dxa"/>
        </w:tblCellMar>
      </w:tblPr>
      <w:tblGrid>
        <w:gridCol w:w="923"/>
        <w:gridCol w:w="1420"/>
        <w:gridCol w:w="3550"/>
        <w:gridCol w:w="1704"/>
        <w:gridCol w:w="1631"/>
      </w:tblGrid>
      <w:tr>
        <w:tblPrEx>
          <w:tblCellMar>
            <w:top w:w="0" w:type="dxa"/>
            <w:left w:w="0" w:type="dxa"/>
            <w:bottom w:w="0" w:type="dxa"/>
            <w:right w:w="0" w:type="dxa"/>
          </w:tblCellMar>
        </w:tblPrEx>
        <w:trPr>
          <w:trHeight w:val="327" w:hRule="atLeast"/>
          <w:jc w:val="center"/>
        </w:trPr>
        <w:tc>
          <w:tcPr>
            <w:tcW w:w="70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序号</w:t>
            </w:r>
          </w:p>
        </w:tc>
        <w:tc>
          <w:tcPr>
            <w:tcW w:w="4746"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评价分值</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340" w:hRule="atLeast"/>
          <w:jc w:val="center"/>
        </w:trPr>
        <w:tc>
          <w:tcPr>
            <w:tcW w:w="70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冬季典型风速和风向条件下</w:t>
            </w:r>
          </w:p>
        </w:tc>
        <w:tc>
          <w:tcPr>
            <w:tcW w:w="3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建筑物周围人行区距地高</w:t>
            </w:r>
            <w:r>
              <w:rPr>
                <w:rFonts w:ascii="Times New Roman" w:hAnsi="Times New Roman" w:cs="Times New Roman"/>
                <w:sz w:val="21"/>
                <w:szCs w:val="21"/>
              </w:rPr>
              <w:t>1.5m</w:t>
            </w:r>
            <w:r>
              <w:rPr>
                <w:rFonts w:hint="eastAsia"/>
                <w:sz w:val="21"/>
                <w:szCs w:val="21"/>
              </w:rPr>
              <w:t>处风速小于</w:t>
            </w:r>
            <w:r>
              <w:rPr>
                <w:rFonts w:ascii="Times New Roman" w:hAnsi="Times New Roman" w:cs="Times New Roman"/>
                <w:sz w:val="21"/>
                <w:szCs w:val="21"/>
              </w:rPr>
              <w:t>5m/s</w:t>
            </w:r>
            <w:r>
              <w:rPr>
                <w:rFonts w:hint="eastAsia"/>
                <w:sz w:val="21"/>
                <w:szCs w:val="21"/>
              </w:rPr>
              <w:t>，户外休息区、儿童娱乐区风速小于</w:t>
            </w:r>
            <w:r>
              <w:rPr>
                <w:rFonts w:ascii="Times New Roman" w:hAnsi="Times New Roman" w:cs="Times New Roman"/>
                <w:sz w:val="21"/>
                <w:szCs w:val="21"/>
              </w:rPr>
              <w:t>2m/s</w:t>
            </w:r>
            <w:r>
              <w:rPr>
                <w:rFonts w:hint="eastAsia"/>
                <w:sz w:val="21"/>
                <w:szCs w:val="21"/>
              </w:rPr>
              <w:t>，且室外风速放大系数小于</w:t>
            </w:r>
            <w:r>
              <w:rPr>
                <w:rFonts w:ascii="Times New Roman" w:hAnsi="Times New Roman" w:cs="Times New Roman"/>
                <w:sz w:val="21"/>
                <w:szCs w:val="21"/>
              </w:rPr>
              <w:t>2</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3</w:t>
            </w:r>
          </w:p>
        </w:tc>
      </w:tr>
      <w:tr>
        <w:tblPrEx>
          <w:tblCellMar>
            <w:top w:w="0" w:type="dxa"/>
            <w:left w:w="0" w:type="dxa"/>
            <w:bottom w:w="0" w:type="dxa"/>
            <w:right w:w="0" w:type="dxa"/>
          </w:tblCellMar>
        </w:tblPrEx>
        <w:trPr>
          <w:trHeight w:val="34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除迎风第一排建筑外，建筑迎风面与背风面表面风压差不大于</w:t>
            </w:r>
            <w:r>
              <w:rPr>
                <w:rFonts w:ascii="Times New Roman" w:hAnsi="Times New Roman" w:cs="Times New Roman"/>
                <w:sz w:val="21"/>
                <w:szCs w:val="21"/>
              </w:rPr>
              <w:t>5Pa</w:t>
            </w:r>
          </w:p>
        </w:tc>
        <w:tc>
          <w:tcPr>
            <w:tcW w:w="1485"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41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2 </w:t>
            </w:r>
          </w:p>
        </w:tc>
      </w:tr>
      <w:tr>
        <w:tblPrEx>
          <w:tblCellMar>
            <w:top w:w="0" w:type="dxa"/>
            <w:left w:w="0" w:type="dxa"/>
            <w:bottom w:w="0" w:type="dxa"/>
            <w:right w:w="0" w:type="dxa"/>
          </w:tblCellMar>
        </w:tblPrEx>
        <w:trPr>
          <w:trHeight w:val="34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只有一排建筑，可直接得分</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40" w:hRule="atLeast"/>
          <w:jc w:val="center"/>
        </w:trPr>
        <w:tc>
          <w:tcPr>
            <w:tcW w:w="70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202"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过渡季、夏季典型风速和风向条件下</w:t>
            </w:r>
          </w:p>
        </w:tc>
        <w:tc>
          <w:tcPr>
            <w:tcW w:w="3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场地内人活动区不出现涡旋或无风区</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trHeight w:val="34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3328"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ascii="Times New Roman" w:hAnsi="Times New Roman" w:cs="Times New Roman"/>
                <w:sz w:val="21"/>
                <w:szCs w:val="21"/>
              </w:rPr>
              <w:t>50%</w:t>
            </w:r>
            <w:r>
              <w:rPr>
                <w:rFonts w:hint="eastAsia"/>
                <w:sz w:val="21"/>
                <w:szCs w:val="21"/>
              </w:rPr>
              <w:t>以上可开启外窗室内外表面的风压差大于</w:t>
            </w:r>
            <w:r>
              <w:rPr>
                <w:rFonts w:ascii="Times New Roman" w:hAnsi="Times New Roman" w:cs="Times New Roman"/>
                <w:sz w:val="21"/>
                <w:szCs w:val="21"/>
              </w:rPr>
              <w:t>0.5Pa</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p>
        </w:tc>
      </w:tr>
      <w:tr>
        <w:tblPrEx>
          <w:tblCellMar>
            <w:top w:w="0" w:type="dxa"/>
            <w:left w:w="0" w:type="dxa"/>
            <w:bottom w:w="0" w:type="dxa"/>
            <w:right w:w="0" w:type="dxa"/>
          </w:tblCellMar>
        </w:tblPrEx>
        <w:trPr>
          <w:trHeight w:val="340" w:hRule="atLeast"/>
          <w:jc w:val="center"/>
        </w:trPr>
        <w:tc>
          <w:tcPr>
            <w:tcW w:w="5668"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12"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val="en-US" w:eastAsia="zh-CN"/>
              </w:rPr>
            </w:pPr>
            <w:r>
              <w:rPr>
                <w:rFonts w:hint="eastAsia" w:eastAsia="宋体"/>
                <w:lang w:val="en-US" w:eastAsia="zh-CN"/>
              </w:rPr>
              <w:t>8</w:t>
            </w:r>
          </w:p>
        </w:tc>
      </w:tr>
      <w:tr>
        <w:tblPrEx>
          <w:tblCellMar>
            <w:top w:w="0" w:type="dxa"/>
            <w:left w:w="0" w:type="dxa"/>
            <w:bottom w:w="0" w:type="dxa"/>
            <w:right w:w="0" w:type="dxa"/>
          </w:tblCellMar>
        </w:tblPrEx>
        <w:trPr>
          <w:jc w:val="center"/>
        </w:trPr>
        <w:tc>
          <w:tcPr>
            <w:tcW w:w="922" w:type="dxa"/>
            <w:tcBorders>
              <w:top w:val="nil"/>
              <w:left w:val="nil"/>
              <w:bottom w:val="nil"/>
              <w:right w:val="nil"/>
            </w:tcBorders>
            <w:noWrap w:val="0"/>
            <w:vAlign w:val="center"/>
          </w:tcPr>
          <w:p>
            <w:pPr>
              <w:rPr>
                <w:sz w:val="1"/>
              </w:rPr>
            </w:pPr>
          </w:p>
        </w:tc>
        <w:tc>
          <w:tcPr>
            <w:tcW w:w="1418" w:type="dxa"/>
            <w:tcBorders>
              <w:top w:val="nil"/>
              <w:left w:val="nil"/>
              <w:bottom w:val="nil"/>
              <w:right w:val="nil"/>
            </w:tcBorders>
            <w:noWrap w:val="0"/>
            <w:vAlign w:val="center"/>
          </w:tcPr>
          <w:p>
            <w:pPr>
              <w:rPr>
                <w:sz w:val="1"/>
              </w:rPr>
            </w:pPr>
          </w:p>
        </w:tc>
        <w:tc>
          <w:tcPr>
            <w:tcW w:w="3544"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28" w:type="dxa"/>
            <w:tcBorders>
              <w:top w:val="nil"/>
              <w:left w:val="nil"/>
              <w:bottom w:val="nil"/>
              <w:right w:val="nil"/>
            </w:tcBorders>
            <w:noWrap w:val="0"/>
            <w:vAlign w:val="center"/>
          </w:tcPr>
          <w:p>
            <w:pPr>
              <w:rPr>
                <w:sz w:val="1"/>
              </w:rPr>
            </w:pPr>
          </w:p>
        </w:tc>
      </w:tr>
    </w:tbl>
    <w:p>
      <w:pPr>
        <w:pStyle w:val="11"/>
        <w:spacing w:before="0" w:beforeAutospacing="0" w:after="0"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冬季典型风速和风向条件下，建筑物周围人行区距地</w:t>
      </w:r>
      <w:r>
        <w:rPr>
          <w:rFonts w:ascii="Calibri" w:hAnsi="Calibri"/>
          <w:sz w:val="21"/>
          <w:szCs w:val="21"/>
        </w:rPr>
        <w:t>1</w:t>
      </w:r>
      <w:r>
        <w:rPr>
          <w:rFonts w:ascii="Times New Roman" w:hAnsi="Times New Roman" w:cs="Times New Roman"/>
          <w:sz w:val="21"/>
          <w:szCs w:val="21"/>
        </w:rPr>
        <w:t>.5m</w:t>
      </w:r>
      <w:r>
        <w:rPr>
          <w:rFonts w:hint="eastAsia"/>
          <w:sz w:val="21"/>
          <w:szCs w:val="21"/>
        </w:rPr>
        <w:t>高处的风速为</w:t>
      </w:r>
      <w:r>
        <w:rPr>
          <w:rFonts w:hint="eastAsia"/>
          <w:sz w:val="21"/>
          <w:szCs w:val="21"/>
          <w:u w:val="single"/>
        </w:rPr>
        <w:t>   5    </w:t>
      </w:r>
      <w:r>
        <w:rPr>
          <w:rFonts w:ascii="Times New Roman" w:hAnsi="Times New Roman" w:cs="Times New Roman"/>
          <w:sz w:val="21"/>
          <w:szCs w:val="21"/>
        </w:rPr>
        <w:t>m/s</w:t>
      </w:r>
      <w:r>
        <w:rPr>
          <w:rFonts w:hint="eastAsia"/>
          <w:sz w:val="21"/>
          <w:szCs w:val="21"/>
        </w:rPr>
        <w:t>，最大风速放大系数为</w:t>
      </w:r>
      <w:r>
        <w:rPr>
          <w:rFonts w:hint="eastAsia"/>
          <w:sz w:val="21"/>
          <w:szCs w:val="21"/>
          <w:u w:val="single"/>
        </w:rPr>
        <w:t xml:space="preserve">    2  </w:t>
      </w:r>
      <w:r>
        <w:rPr>
          <w:rFonts w:hint="eastAsia"/>
          <w:sz w:val="21"/>
          <w:szCs w:val="21"/>
        </w:rPr>
        <w:t>，除迎风第一排建筑外，建筑迎风面与背风面表面风压差为</w:t>
      </w:r>
      <w:r>
        <w:rPr>
          <w:rFonts w:hint="eastAsia"/>
          <w:sz w:val="21"/>
          <w:szCs w:val="21"/>
          <w:u w:val="single"/>
        </w:rPr>
        <w:t xml:space="preserve">  5  </w:t>
      </w:r>
      <w:r>
        <w:rPr>
          <w:rFonts w:ascii="Times New Roman" w:hAnsi="Times New Roman" w:cs="Times New Roman"/>
          <w:sz w:val="21"/>
          <w:szCs w:val="21"/>
        </w:rPr>
        <w:t>Pa</w:t>
      </w:r>
      <w:r>
        <w:rPr>
          <w:rFonts w:hint="eastAsia"/>
          <w:sz w:val="21"/>
          <w:szCs w:val="21"/>
        </w:rPr>
        <w:t>；</w:t>
      </w:r>
    </w:p>
    <w:p>
      <w:pPr>
        <w:pStyle w:val="11"/>
        <w:spacing w:before="0" w:beforeAutospacing="0" w:after="0" w:afterAutospacing="0"/>
        <w:jc w:val="both"/>
      </w:pPr>
      <w:r>
        <w:rPr>
          <w:rFonts w:hint="eastAsia"/>
          <w:sz w:val="21"/>
          <w:szCs w:val="21"/>
        </w:rPr>
        <w:t>过渡季、夏季典型风速和风向条件下，场地内人活动区是否会出现涡旋或无风区：</w:t>
      </w:r>
      <w:r>
        <w:rPr>
          <w:rStyle w:val="25"/>
          <w:rFonts w:hint="eastAsia" w:ascii="MS Mincho" w:hAnsi="MS Mincho" w:eastAsia="MS Mincho" w:cs="MS Mincho"/>
          <w:sz w:val="28"/>
          <w:szCs w:val="28"/>
        </w:rPr>
        <w:t>☐</w:t>
      </w:r>
      <w:r>
        <w:rPr>
          <w:rFonts w:hint="eastAsia"/>
          <w:sz w:val="21"/>
          <w:szCs w:val="21"/>
        </w:rPr>
        <w:t xml:space="preserve">是 </w:t>
      </w:r>
      <w:r>
        <w:rPr>
          <w:rStyle w:val="25"/>
          <w:rFonts w:hint="eastAsia" w:ascii="MS Mincho" w:hAnsi="MS Mincho" w:eastAsia="MS Mincho" w:cs="MS Mincho"/>
          <w:sz w:val="28"/>
          <w:szCs w:val="28"/>
        </w:rPr>
        <w:t>☑</w:t>
      </w:r>
      <w:r>
        <w:rPr>
          <w:rFonts w:hint="eastAsia"/>
          <w:sz w:val="21"/>
          <w:szCs w:val="21"/>
        </w:rPr>
        <w:t>否</w:t>
      </w:r>
    </w:p>
    <w:p>
      <w:pPr>
        <w:pStyle w:val="11"/>
        <w:spacing w:before="0" w:beforeAutospacing="0" w:after="0" w:afterAutospacing="0"/>
        <w:jc w:val="both"/>
      </w:pPr>
      <w:r>
        <w:rPr>
          <w:rFonts w:hint="eastAsia"/>
          <w:sz w:val="21"/>
          <w:szCs w:val="21"/>
        </w:rPr>
        <w:t>外窗中室内外表面的风压差大于</w:t>
      </w:r>
      <w:r>
        <w:rPr>
          <w:rFonts w:ascii="Calibri" w:hAnsi="Calibri"/>
          <w:sz w:val="21"/>
          <w:szCs w:val="21"/>
        </w:rPr>
        <w:t>0.5Pa</w:t>
      </w:r>
      <w:r>
        <w:rPr>
          <w:rFonts w:hint="eastAsia"/>
          <w:sz w:val="21"/>
          <w:szCs w:val="21"/>
        </w:rPr>
        <w:t>的可开启外窗的面积比例</w:t>
      </w:r>
      <w:r>
        <w:rPr>
          <w:rFonts w:hint="eastAsia"/>
          <w:sz w:val="21"/>
          <w:szCs w:val="21"/>
          <w:u w:val="single"/>
        </w:rPr>
        <w:t>  50  </w:t>
      </w:r>
      <w:r>
        <w:rPr>
          <w:rFonts w:ascii="Calibri" w:hAnsi="Calibri"/>
          <w:sz w:val="21"/>
          <w:szCs w:val="21"/>
        </w:rPr>
        <w:t>%</w:t>
      </w:r>
      <w:r>
        <w:rPr>
          <w:rFonts w:hint="eastAsia"/>
          <w:sz w:val="21"/>
          <w:szCs w:val="21"/>
        </w:rPr>
        <w:t>。</w:t>
      </w:r>
    </w:p>
    <w:p>
      <w:pPr>
        <w:pStyle w:val="11"/>
        <w:spacing w:before="0" w:beforeAutospacing="0" w:after="0" w:afterAutospacing="0"/>
        <w:jc w:val="both"/>
      </w:pPr>
      <w:r>
        <w:rPr>
          <w:rFonts w:hint="eastAsia"/>
          <w:sz w:val="21"/>
          <w:szCs w:val="21"/>
        </w:rPr>
        <w:t>请简要说明项目室外风环境情况以及改善风环境的措施。</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670"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0"/>
            </w:pPr>
            <w:r>
              <w:rPr>
                <w:rFonts w:hint="eastAsia"/>
                <w:sz w:val="20"/>
                <w:szCs w:val="20"/>
              </w:rPr>
              <w:t>冬季工况时，建筑物周围人行区风速低于</w:t>
            </w:r>
            <w:r>
              <w:rPr>
                <w:rFonts w:ascii="Times New Roman" w:hAnsi="Times New Roman" w:cs="Times New Roman"/>
                <w:sz w:val="20"/>
                <w:szCs w:val="20"/>
              </w:rPr>
              <w:t>5m/s</w:t>
            </w:r>
            <w:r>
              <w:rPr>
                <w:rFonts w:hint="eastAsia"/>
                <w:sz w:val="20"/>
                <w:szCs w:val="20"/>
              </w:rPr>
              <w:t>，且室外风速放大系数小于</w:t>
            </w:r>
            <w:r>
              <w:rPr>
                <w:rFonts w:ascii="Times New Roman" w:hAnsi="Times New Roman" w:cs="Times New Roman"/>
                <w:sz w:val="20"/>
                <w:szCs w:val="20"/>
              </w:rPr>
              <w:t>2</w:t>
            </w:r>
            <w:r>
              <w:rPr>
                <w:rFonts w:hint="eastAsia"/>
                <w:sz w:val="20"/>
                <w:szCs w:val="20"/>
              </w:rPr>
              <w:t>，符合行人舒适性要求。人行区域风速放大系数小于</w:t>
            </w:r>
            <w:r>
              <w:rPr>
                <w:rFonts w:ascii="Times New Roman" w:hAnsi="Times New Roman" w:cs="Times New Roman"/>
                <w:sz w:val="20"/>
                <w:szCs w:val="20"/>
              </w:rPr>
              <w:t>2</w:t>
            </w:r>
            <w:r>
              <w:rPr>
                <w:rFonts w:hint="eastAsia"/>
                <w:sz w:val="20"/>
                <w:szCs w:val="20"/>
              </w:rPr>
              <w:t>，满足要求。冬季主导风向条件下，前后压差小于</w:t>
            </w:r>
            <w:r>
              <w:rPr>
                <w:rFonts w:ascii="Times New Roman" w:hAnsi="Times New Roman" w:cs="Times New Roman"/>
                <w:sz w:val="20"/>
                <w:szCs w:val="20"/>
              </w:rPr>
              <w:t>5KPa</w:t>
            </w:r>
            <w:r>
              <w:rPr>
                <w:rFonts w:hint="eastAsia"/>
                <w:sz w:val="20"/>
                <w:szCs w:val="20"/>
              </w:rPr>
              <w:t>，有利于冬季的防风节能效果。</w:t>
            </w:r>
          </w:p>
          <w:p>
            <w:pPr>
              <w:pStyle w:val="11"/>
              <w:spacing w:before="0" w:beforeAutospacing="0" w:after="0" w:afterAutospacing="0"/>
              <w:ind w:firstLine="400"/>
            </w:pPr>
            <w:r>
              <w:rPr>
                <w:rFonts w:hint="eastAsia"/>
                <w:sz w:val="20"/>
                <w:szCs w:val="20"/>
              </w:rPr>
              <w:t>夏季主导风向条件下，可开启外窗室内外表面的风差值基本大于</w:t>
            </w:r>
            <w:r>
              <w:rPr>
                <w:rFonts w:ascii="Times New Roman" w:hAnsi="Times New Roman" w:cs="Times New Roman"/>
                <w:sz w:val="20"/>
                <w:szCs w:val="20"/>
              </w:rPr>
              <w:t>0.5KPa</w:t>
            </w:r>
            <w:r>
              <w:rPr>
                <w:rFonts w:hint="eastAsia"/>
                <w:sz w:val="20"/>
                <w:szCs w:val="20"/>
              </w:rPr>
              <w:t>，有利于室内利用自然通风。</w:t>
            </w:r>
          </w:p>
          <w:p>
            <w:pPr>
              <w:pStyle w:val="11"/>
              <w:spacing w:before="0" w:beforeAutospacing="0" w:after="0" w:afterAutospacing="0"/>
              <w:ind w:firstLine="400"/>
            </w:pPr>
            <w:r>
              <w:rPr>
                <w:rFonts w:hint="eastAsia"/>
                <w:sz w:val="20"/>
                <w:szCs w:val="20"/>
              </w:rPr>
              <w:t>项目总体规划紧凑，规划布局结构清晰。项目方案学习传统岭南建筑的空间策略，采用现代建筑形式及模块化小体量建筑手法，将传统岭南建筑空间处理手法运用到现代建筑设计中，空间布局灵活，体量轻盈通透、疏密有致。</w:t>
            </w:r>
          </w:p>
        </w:tc>
      </w:tr>
    </w:tbl>
    <w:p>
      <w:pPr>
        <w:pStyle w:val="11"/>
        <w:spacing w:before="0" w:beforeAutospacing="0" w:after="0"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ind w:left="10" w:hanging="200"/>
        <w:jc w:val="both"/>
      </w:pPr>
      <w:r>
        <w:rPr>
          <w:rFonts w:ascii="Calibri" w:hAnsi="Calibri"/>
          <w:sz w:val="21"/>
          <w:szCs w:val="21"/>
        </w:rPr>
        <w:t>1</w:t>
      </w:r>
      <w:r>
        <w:rPr>
          <w:rFonts w:hint="eastAsia"/>
          <w:sz w:val="21"/>
          <w:szCs w:val="21"/>
        </w:rPr>
        <w:t>）室外风环境模拟计算分析报告；</w:t>
      </w:r>
    </w:p>
    <w:p>
      <w:pPr>
        <w:pStyle w:val="11"/>
        <w:spacing w:before="0" w:beforeAutospacing="0" w:after="0" w:afterAutospacing="0"/>
        <w:ind w:left="10" w:hanging="200"/>
        <w:jc w:val="both"/>
      </w:pPr>
      <w:r>
        <w:rPr>
          <w:rFonts w:ascii="Calibri" w:hAnsi="Calibri"/>
          <w:sz w:val="21"/>
          <w:szCs w:val="21"/>
        </w:rPr>
        <w:t>2</w:t>
      </w:r>
      <w:r>
        <w:rPr>
          <w:rFonts w:hint="eastAsia"/>
          <w:sz w:val="21"/>
          <w:szCs w:val="21"/>
        </w:rPr>
        <w:t>）竣工总平面图；</w:t>
      </w:r>
    </w:p>
    <w:p>
      <w:pPr>
        <w:pStyle w:val="11"/>
        <w:spacing w:before="0" w:beforeAutospacing="0" w:after="0" w:afterAutospacing="0"/>
        <w:ind w:left="10" w:hanging="200"/>
        <w:jc w:val="both"/>
      </w:pPr>
      <w:r>
        <w:rPr>
          <w:rFonts w:ascii="Calibri" w:hAnsi="Calibri"/>
          <w:sz w:val="21"/>
          <w:szCs w:val="21"/>
        </w:rPr>
        <w:t>3</w:t>
      </w:r>
      <w:r>
        <w:rPr>
          <w:rFonts w:hint="eastAsia"/>
          <w:sz w:val="21"/>
          <w:szCs w:val="21"/>
        </w:rPr>
        <w:t>）景观专业竣工图纸及设计说明；</w:t>
      </w:r>
    </w:p>
    <w:p>
      <w:pPr>
        <w:pStyle w:val="11"/>
        <w:spacing w:before="0" w:beforeAutospacing="0" w:after="0" w:afterAutospacing="0"/>
        <w:ind w:left="10" w:hanging="200"/>
        <w:jc w:val="both"/>
      </w:pPr>
      <w:r>
        <w:rPr>
          <w:rFonts w:ascii="Calibri" w:hAnsi="Calibri"/>
          <w:sz w:val="21"/>
          <w:szCs w:val="21"/>
        </w:rPr>
        <w:t>4</w:t>
      </w:r>
      <w:r>
        <w:rPr>
          <w:rFonts w:hint="eastAsia"/>
          <w:sz w:val="21"/>
          <w:szCs w:val="21"/>
        </w:rPr>
        <w:t>）场地周边及建筑物的实景影像资料。</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1975"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建筑总平面图：3建筑设计/ 总平面.jpg</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8.2.9 采取措施降低热岛强度。（10分）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9212" w:type="dxa"/>
        <w:jc w:val="center"/>
        <w:tblLayout w:type="autofit"/>
        <w:tblCellMar>
          <w:top w:w="0" w:type="dxa"/>
          <w:left w:w="0" w:type="dxa"/>
          <w:bottom w:w="0" w:type="dxa"/>
          <w:right w:w="0" w:type="dxa"/>
        </w:tblCellMar>
      </w:tblPr>
      <w:tblGrid>
        <w:gridCol w:w="873"/>
        <w:gridCol w:w="2981"/>
        <w:gridCol w:w="1988"/>
        <w:gridCol w:w="1704"/>
        <w:gridCol w:w="1666"/>
      </w:tblGrid>
      <w:tr>
        <w:tblPrEx>
          <w:tblCellMar>
            <w:top w:w="0" w:type="dxa"/>
            <w:left w:w="0" w:type="dxa"/>
            <w:bottom w:w="0" w:type="dxa"/>
            <w:right w:w="0" w:type="dxa"/>
          </w:tblCellMar>
        </w:tblPrEx>
        <w:trPr>
          <w:trHeight w:val="327" w:hRule="atLeast"/>
          <w:jc w:val="center"/>
        </w:trPr>
        <w:tc>
          <w:tcPr>
            <w:tcW w:w="6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474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463" w:hRule="atLeast"/>
          <w:jc w:val="center"/>
        </w:trPr>
        <w:tc>
          <w:tcPr>
            <w:tcW w:w="656"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60"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场地中处于建筑阴影区外的步道、游憩场、庭院、广场等室外活动场地设有乔木、花架等遮阴措施的面积比例</w:t>
            </w: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居建达</w:t>
            </w:r>
            <w:r>
              <w:rPr>
                <w:rFonts w:ascii="Times New Roman" w:hAnsi="Times New Roman" w:cs="Times New Roman"/>
                <w:sz w:val="21"/>
                <w:szCs w:val="21"/>
              </w:rPr>
              <w:t>30%</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公建达</w:t>
            </w:r>
            <w:r>
              <w:rPr>
                <w:rFonts w:ascii="Times New Roman" w:hAnsi="Times New Roman" w:cs="Times New Roman"/>
                <w:sz w:val="21"/>
                <w:szCs w:val="21"/>
              </w:rPr>
              <w:t>10%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1447"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3</w:t>
            </w:r>
          </w:p>
        </w:tc>
      </w:tr>
      <w:tr>
        <w:tblPrEx>
          <w:tblCellMar>
            <w:top w:w="0" w:type="dxa"/>
            <w:left w:w="0" w:type="dxa"/>
            <w:bottom w:w="0" w:type="dxa"/>
            <w:right w:w="0" w:type="dxa"/>
          </w:tblCellMar>
        </w:tblPrEx>
        <w:trPr>
          <w:trHeight w:val="46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1769"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居建达</w:t>
            </w:r>
            <w:r>
              <w:rPr>
                <w:rFonts w:ascii="Times New Roman" w:hAnsi="Times New Roman" w:cs="Times New Roman"/>
                <w:sz w:val="21"/>
                <w:szCs w:val="21"/>
              </w:rPr>
              <w:t xml:space="preserve">50% </w:t>
            </w:r>
          </w:p>
          <w:p>
            <w:pPr>
              <w:pStyle w:val="11"/>
              <w:spacing w:before="0" w:beforeAutospacing="0" w:after="0" w:afterAutospacing="0"/>
              <w:jc w:val="both"/>
            </w:pPr>
            <w:r>
              <w:rPr>
                <w:rStyle w:val="25"/>
                <w:rFonts w:hint="eastAsia" w:ascii="MS Mincho" w:hAnsi="MS Mincho" w:eastAsia="MS Mincho" w:cs="MS Mincho"/>
                <w:sz w:val="28"/>
                <w:szCs w:val="28"/>
              </w:rPr>
              <w:t>☐</w:t>
            </w:r>
            <w:r>
              <w:rPr>
                <w:rFonts w:hint="eastAsia"/>
                <w:sz w:val="21"/>
                <w:szCs w:val="21"/>
              </w:rPr>
              <w:t>公建达</w:t>
            </w:r>
            <w:r>
              <w:rPr>
                <w:rFonts w:ascii="Times New Roman" w:hAnsi="Times New Roman" w:cs="Times New Roman"/>
                <w:sz w:val="21"/>
                <w:szCs w:val="21"/>
              </w:rPr>
              <w:t>20%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r>
      <w:tr>
        <w:tblPrEx>
          <w:tblCellMar>
            <w:top w:w="0" w:type="dxa"/>
            <w:left w:w="0" w:type="dxa"/>
            <w:bottom w:w="0" w:type="dxa"/>
            <w:right w:w="0" w:type="dxa"/>
          </w:tblCellMar>
        </w:tblPrEx>
        <w:trPr>
          <w:trHeight w:val="340" w:hRule="atLeast"/>
          <w:jc w:val="center"/>
        </w:trPr>
        <w:tc>
          <w:tcPr>
            <w:tcW w:w="6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474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场地中处于建筑阴影区外的机动车道，路面太阳辐射反射系数不小于</w:t>
            </w:r>
            <w:r>
              <w:rPr>
                <w:rFonts w:ascii="Times New Roman" w:hAnsi="Times New Roman" w:cs="Times New Roman"/>
                <w:sz w:val="21"/>
                <w:szCs w:val="21"/>
              </w:rPr>
              <w:t>0.4</w:t>
            </w:r>
            <w:r>
              <w:rPr>
                <w:rFonts w:hint="eastAsia"/>
                <w:sz w:val="21"/>
                <w:szCs w:val="21"/>
              </w:rPr>
              <w:t>，或设有遮荫面积较大的行道树的路段长度超过</w:t>
            </w:r>
            <w:r>
              <w:rPr>
                <w:rFonts w:ascii="Times New Roman" w:hAnsi="Times New Roman" w:cs="Times New Roman"/>
                <w:sz w:val="21"/>
                <w:szCs w:val="21"/>
              </w:rPr>
              <w:t>70%</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3 </w:t>
            </w:r>
          </w:p>
        </w:tc>
      </w:tr>
      <w:tr>
        <w:tblPrEx>
          <w:tblCellMar>
            <w:top w:w="0" w:type="dxa"/>
            <w:left w:w="0" w:type="dxa"/>
            <w:bottom w:w="0" w:type="dxa"/>
            <w:right w:w="0" w:type="dxa"/>
          </w:tblCellMar>
        </w:tblPrEx>
        <w:trPr>
          <w:trHeight w:val="340" w:hRule="atLeast"/>
          <w:jc w:val="center"/>
        </w:trPr>
        <w:tc>
          <w:tcPr>
            <w:tcW w:w="6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4745" w:type="dxa"/>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both"/>
            </w:pPr>
            <w:r>
              <w:rPr>
                <w:rFonts w:hint="eastAsia"/>
                <w:sz w:val="21"/>
                <w:szCs w:val="21"/>
              </w:rPr>
              <w:t>屋顶的绿化面积、太阳能板水平投影面积以及太阳辐射反射系数不小于</w:t>
            </w:r>
            <w:r>
              <w:rPr>
                <w:rFonts w:ascii="Times New Roman" w:hAnsi="Times New Roman" w:cs="Times New Roman"/>
                <w:sz w:val="21"/>
                <w:szCs w:val="21"/>
              </w:rPr>
              <w:t>0.4</w:t>
            </w:r>
            <w:r>
              <w:rPr>
                <w:rFonts w:hint="eastAsia"/>
                <w:sz w:val="21"/>
                <w:szCs w:val="21"/>
              </w:rPr>
              <w:t>的屋面面积合计达到</w:t>
            </w:r>
            <w:r>
              <w:rPr>
                <w:rFonts w:ascii="Times New Roman" w:hAnsi="Times New Roman" w:cs="Times New Roman"/>
                <w:sz w:val="21"/>
                <w:szCs w:val="21"/>
              </w:rPr>
              <w:t>75%</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4</w:t>
            </w:r>
          </w:p>
        </w:tc>
      </w:tr>
      <w:tr>
        <w:tblPrEx>
          <w:tblCellMar>
            <w:top w:w="0" w:type="dxa"/>
            <w:left w:w="0" w:type="dxa"/>
            <w:bottom w:w="0" w:type="dxa"/>
            <w:right w:w="0" w:type="dxa"/>
          </w:tblCellMar>
        </w:tblPrEx>
        <w:trPr>
          <w:trHeight w:val="340" w:hRule="atLeast"/>
          <w:jc w:val="center"/>
        </w:trPr>
        <w:tc>
          <w:tcPr>
            <w:tcW w:w="5617" w:type="dxa"/>
            <w:gridSpan w:val="3"/>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合计</w:t>
            </w:r>
          </w:p>
        </w:tc>
        <w:tc>
          <w:tcPr>
            <w:tcW w:w="1485"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14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default" w:eastAsia="宋体"/>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10</w:t>
            </w:r>
          </w:p>
        </w:tc>
      </w:tr>
      <w:tr>
        <w:tblPrEx>
          <w:tblCellMar>
            <w:top w:w="0" w:type="dxa"/>
            <w:left w:w="0" w:type="dxa"/>
            <w:bottom w:w="0" w:type="dxa"/>
            <w:right w:w="0" w:type="dxa"/>
          </w:tblCellMar>
        </w:tblPrEx>
        <w:trPr>
          <w:jc w:val="center"/>
        </w:trPr>
        <w:tc>
          <w:tcPr>
            <w:tcW w:w="872" w:type="dxa"/>
            <w:tcBorders>
              <w:top w:val="nil"/>
              <w:left w:val="nil"/>
              <w:bottom w:val="nil"/>
              <w:right w:val="nil"/>
            </w:tcBorders>
            <w:noWrap w:val="0"/>
            <w:vAlign w:val="center"/>
          </w:tcPr>
          <w:p>
            <w:pPr>
              <w:rPr>
                <w:sz w:val="1"/>
              </w:rPr>
            </w:pPr>
          </w:p>
        </w:tc>
        <w:tc>
          <w:tcPr>
            <w:tcW w:w="2976" w:type="dxa"/>
            <w:tcBorders>
              <w:top w:val="nil"/>
              <w:left w:val="nil"/>
              <w:bottom w:val="nil"/>
              <w:right w:val="nil"/>
            </w:tcBorders>
            <w:noWrap w:val="0"/>
            <w:vAlign w:val="center"/>
          </w:tcPr>
          <w:p>
            <w:pPr>
              <w:rPr>
                <w:sz w:val="1"/>
              </w:rPr>
            </w:pPr>
          </w:p>
        </w:tc>
        <w:tc>
          <w:tcPr>
            <w:tcW w:w="1985" w:type="dxa"/>
            <w:tcBorders>
              <w:top w:val="nil"/>
              <w:left w:val="nil"/>
              <w:bottom w:val="nil"/>
              <w:right w:val="nil"/>
            </w:tcBorders>
            <w:noWrap w:val="0"/>
            <w:vAlign w:val="center"/>
          </w:tcPr>
          <w:p>
            <w:pPr>
              <w:rPr>
                <w:sz w:val="1"/>
              </w:rPr>
            </w:pPr>
          </w:p>
        </w:tc>
        <w:tc>
          <w:tcPr>
            <w:tcW w:w="1701" w:type="dxa"/>
            <w:tcBorders>
              <w:top w:val="nil"/>
              <w:left w:val="nil"/>
              <w:bottom w:val="nil"/>
              <w:right w:val="nil"/>
            </w:tcBorders>
            <w:noWrap w:val="0"/>
            <w:vAlign w:val="center"/>
          </w:tcPr>
          <w:p>
            <w:pPr>
              <w:rPr>
                <w:sz w:val="1"/>
              </w:rPr>
            </w:pPr>
          </w:p>
        </w:tc>
        <w:tc>
          <w:tcPr>
            <w:tcW w:w="1663"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室外活动场地内的遮荫措施有：</w:t>
      </w:r>
      <w:r>
        <w:rPr>
          <w:rStyle w:val="25"/>
          <w:rFonts w:hint="eastAsia" w:ascii="MS Mincho" w:hAnsi="MS Mincho" w:eastAsia="MS Mincho" w:cs="MS Mincho"/>
          <w:sz w:val="28"/>
          <w:szCs w:val="28"/>
        </w:rPr>
        <w:t>☑</w:t>
      </w:r>
      <w:r>
        <w:rPr>
          <w:rFonts w:hint="eastAsia"/>
          <w:sz w:val="21"/>
          <w:szCs w:val="21"/>
        </w:rPr>
        <w:t xml:space="preserve">乔木 </w:t>
      </w:r>
      <w:r>
        <w:rPr>
          <w:rStyle w:val="25"/>
          <w:rFonts w:hint="eastAsia" w:ascii="MS Mincho" w:hAnsi="MS Mincho" w:eastAsia="MS Mincho" w:cs="MS Mincho"/>
          <w:sz w:val="28"/>
          <w:szCs w:val="28"/>
        </w:rPr>
        <w:t>☐</w:t>
      </w:r>
      <w:r>
        <w:rPr>
          <w:rFonts w:hint="eastAsia"/>
          <w:sz w:val="21"/>
          <w:szCs w:val="21"/>
        </w:rPr>
        <w:t>构筑物（类型</w:t>
      </w:r>
      <w:r>
        <w:rPr>
          <w:rFonts w:hint="eastAsia"/>
          <w:sz w:val="21"/>
          <w:szCs w:val="21"/>
          <w:u w:val="single"/>
        </w:rPr>
        <w:t xml:space="preserve">      </w:t>
      </w:r>
      <w:r>
        <w:rPr>
          <w:rFonts w:hint="eastAsia"/>
          <w:sz w:val="21"/>
          <w:szCs w:val="21"/>
        </w:rPr>
        <w:t>）</w:t>
      </w:r>
      <w:r>
        <w:rPr>
          <w:rStyle w:val="25"/>
          <w:rFonts w:hint="eastAsia" w:ascii="MS Mincho" w:hAnsi="MS Mincho" w:eastAsia="MS Mincho" w:cs="MS Mincho"/>
          <w:sz w:val="28"/>
          <w:szCs w:val="28"/>
        </w:rPr>
        <w:t>☐</w:t>
      </w:r>
      <w:r>
        <w:rPr>
          <w:rFonts w:hint="eastAsia"/>
          <w:sz w:val="21"/>
          <w:szCs w:val="21"/>
        </w:rPr>
        <w:t>以上皆无。</w:t>
      </w:r>
    </w:p>
    <w:tbl>
      <w:tblPr>
        <w:tblStyle w:val="13"/>
        <w:tblW w:w="9228" w:type="dxa"/>
        <w:jc w:val="center"/>
        <w:tblLayout w:type="autofit"/>
        <w:tblCellMar>
          <w:top w:w="0" w:type="dxa"/>
          <w:left w:w="0" w:type="dxa"/>
          <w:bottom w:w="0" w:type="dxa"/>
          <w:right w:w="0" w:type="dxa"/>
        </w:tblCellMar>
      </w:tblPr>
      <w:tblGrid>
        <w:gridCol w:w="1020"/>
        <w:gridCol w:w="6487"/>
        <w:gridCol w:w="1721"/>
      </w:tblGrid>
      <w:tr>
        <w:tblPrEx>
          <w:tblCellMar>
            <w:top w:w="0" w:type="dxa"/>
            <w:left w:w="0" w:type="dxa"/>
            <w:bottom w:w="0" w:type="dxa"/>
            <w:right w:w="0" w:type="dxa"/>
          </w:tblCellMar>
        </w:tblPrEx>
        <w:trPr>
          <w:jc w:val="center"/>
        </w:trPr>
        <w:tc>
          <w:tcPr>
            <w:tcW w:w="94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类型</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项目</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数值</w:t>
            </w:r>
          </w:p>
        </w:tc>
      </w:tr>
      <w:tr>
        <w:tblPrEx>
          <w:tblCellMar>
            <w:top w:w="0" w:type="dxa"/>
            <w:left w:w="0" w:type="dxa"/>
            <w:bottom w:w="0" w:type="dxa"/>
            <w:right w:w="0" w:type="dxa"/>
          </w:tblCellMar>
        </w:tblPrEx>
        <w:trPr>
          <w:jc w:val="center"/>
        </w:trPr>
        <w:tc>
          <w:tcPr>
            <w:tcW w:w="947"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场地内遮荫措施</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户外活动场地面积（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户外活动场地内乔木遮荫措施的面积（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户外活动场地构筑物遮荫措施的面积（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户外活动场地内有乔木、构筑物遮荫措施的面积比例（</w:t>
            </w:r>
            <w:r>
              <w:rPr>
                <w:rFonts w:ascii="Calibri" w:hAnsi="Calibri"/>
                <w:sz w:val="21"/>
                <w:szCs w:val="21"/>
              </w:rPr>
              <w:t>%</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947"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路面太阳辐射反射系数</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处于建筑阴影区外的机动车道、路面面积（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太阳辐射反射系数不低于</w:t>
            </w:r>
            <w:r>
              <w:rPr>
                <w:rFonts w:ascii="Calibri" w:hAnsi="Calibri"/>
                <w:sz w:val="21"/>
                <w:szCs w:val="21"/>
              </w:rPr>
              <w:t>0.4</w:t>
            </w:r>
            <w:r>
              <w:rPr>
                <w:rFonts w:hint="eastAsia"/>
                <w:sz w:val="21"/>
                <w:szCs w:val="21"/>
              </w:rPr>
              <w:t>的机动车道、路面面积（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太阳辐射反射系数不低于</w:t>
            </w:r>
            <w:r>
              <w:rPr>
                <w:rFonts w:ascii="Calibri" w:hAnsi="Calibri"/>
                <w:sz w:val="21"/>
                <w:szCs w:val="21"/>
              </w:rPr>
              <w:t>0.4</w:t>
            </w:r>
            <w:r>
              <w:rPr>
                <w:rFonts w:hint="eastAsia"/>
                <w:sz w:val="21"/>
                <w:szCs w:val="21"/>
              </w:rPr>
              <w:t>的机动车道、路面所占比例（</w:t>
            </w:r>
            <w:r>
              <w:rPr>
                <w:rFonts w:ascii="Calibri" w:hAnsi="Calibri"/>
                <w:sz w:val="21"/>
                <w:szCs w:val="21"/>
              </w:rPr>
              <w:t>%</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行道树的路段总长度（</w:t>
            </w:r>
            <w:r>
              <w:rPr>
                <w:rFonts w:ascii="Calibri" w:hAnsi="Calibri"/>
                <w:sz w:val="21"/>
                <w:szCs w:val="21"/>
              </w:rPr>
              <w:t>m</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设有遮阴面积较大的行道树的路段长度（</w:t>
            </w:r>
            <w:r>
              <w:rPr>
                <w:rFonts w:ascii="Calibri" w:hAnsi="Calibri"/>
                <w:sz w:val="21"/>
                <w:szCs w:val="21"/>
              </w:rPr>
              <w:t>m</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设有遮阴面积较大的行道树的路段长度所占比例（</w:t>
            </w:r>
            <w:r>
              <w:rPr>
                <w:rFonts w:ascii="Calibri" w:hAnsi="Calibri"/>
                <w:sz w:val="21"/>
                <w:szCs w:val="21"/>
              </w:rPr>
              <w:t>%</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947" w:type="dxa"/>
            <w:vMerge w:val="restar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屋面太阳辐射反射系数</w:t>
            </w: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建筑屋面面积（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屋顶的绿化面积、太阳能板水平投影面积以及太阳辐射反射系数不小于</w:t>
            </w:r>
            <w:r>
              <w:rPr>
                <w:rFonts w:ascii="Calibri" w:hAnsi="Calibri"/>
                <w:sz w:val="21"/>
                <w:szCs w:val="21"/>
              </w:rPr>
              <w:t>0.4</w:t>
            </w:r>
            <w:r>
              <w:rPr>
                <w:rFonts w:hint="eastAsia"/>
                <w:sz w:val="21"/>
                <w:szCs w:val="21"/>
              </w:rPr>
              <w:t>的屋面面积（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tc>
        <w:tc>
          <w:tcPr>
            <w:tcW w:w="6021"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both"/>
            </w:pPr>
            <w:r>
              <w:rPr>
                <w:rFonts w:hint="eastAsia"/>
                <w:sz w:val="21"/>
                <w:szCs w:val="21"/>
              </w:rPr>
              <w:t>屋顶的绿化面积、太阳能板水平投影面积以及太阳辐射反射系数不小于</w:t>
            </w:r>
            <w:r>
              <w:rPr>
                <w:rFonts w:ascii="Calibri" w:hAnsi="Calibri"/>
                <w:sz w:val="21"/>
                <w:szCs w:val="21"/>
              </w:rPr>
              <w:t>0.4</w:t>
            </w:r>
            <w:r>
              <w:rPr>
                <w:rFonts w:hint="eastAsia"/>
                <w:sz w:val="21"/>
                <w:szCs w:val="21"/>
              </w:rPr>
              <w:t>的屋面面积所占比例（</w:t>
            </w:r>
            <w:r>
              <w:rPr>
                <w:rFonts w:ascii="Calibri" w:hAnsi="Calibri"/>
                <w:sz w:val="21"/>
                <w:szCs w:val="21"/>
              </w:rPr>
              <w:t>%</w:t>
            </w:r>
            <w:r>
              <w:rPr>
                <w:rFonts w:hint="eastAsia"/>
                <w:sz w:val="21"/>
                <w:szCs w:val="21"/>
              </w:rPr>
              <w:t>）</w:t>
            </w:r>
          </w:p>
        </w:tc>
        <w:tc>
          <w:tcPr>
            <w:tcW w:w="1597"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ind w:left="10" w:hanging="200"/>
      </w:pPr>
      <w:r>
        <w:rPr>
          <w:rFonts w:ascii="Calibri" w:hAnsi="Calibri"/>
          <w:sz w:val="21"/>
          <w:szCs w:val="21"/>
        </w:rPr>
        <w:t>1</w:t>
      </w:r>
      <w:r>
        <w:rPr>
          <w:rFonts w:hint="eastAsia"/>
          <w:sz w:val="21"/>
          <w:szCs w:val="21"/>
        </w:rPr>
        <w:t>）室外活动场地遮阴设计，应包括规划总平面图、乔木种植平面图、乔木苗木表、日照分析报告、户外活动场地遮阴面积比例计算书；</w:t>
      </w:r>
    </w:p>
    <w:p>
      <w:pPr>
        <w:pStyle w:val="11"/>
        <w:spacing w:before="0" w:beforeAutospacing="0" w:after="0" w:afterAutospacing="0"/>
        <w:ind w:left="10" w:hanging="200"/>
      </w:pPr>
      <w:r>
        <w:rPr>
          <w:rFonts w:ascii="Calibri" w:hAnsi="Calibri"/>
          <w:sz w:val="21"/>
          <w:szCs w:val="21"/>
        </w:rPr>
        <w:t>2</w:t>
      </w:r>
      <w:r>
        <w:rPr>
          <w:rFonts w:hint="eastAsia"/>
          <w:sz w:val="21"/>
          <w:szCs w:val="21"/>
        </w:rPr>
        <w:t>）地面遮阴设计，应包括道路交通组织、路面构造做法大样、道路用热反射涂料性能检测报告、机动车道遮阴及高反射面积比例计算书；</w:t>
      </w:r>
    </w:p>
    <w:p>
      <w:pPr>
        <w:pStyle w:val="11"/>
        <w:spacing w:before="0" w:beforeAutospacing="0" w:after="0" w:afterAutospacing="0"/>
        <w:jc w:val="both"/>
      </w:pPr>
      <w:r>
        <w:rPr>
          <w:rFonts w:ascii="Calibri" w:hAnsi="Calibri"/>
          <w:sz w:val="21"/>
          <w:szCs w:val="21"/>
        </w:rPr>
        <w:t>3</w:t>
      </w:r>
      <w:r>
        <w:rPr>
          <w:rFonts w:hint="eastAsia"/>
          <w:sz w:val="21"/>
          <w:szCs w:val="21"/>
        </w:rPr>
        <w:t>）屋顶遮阴设计，应包括屋面施工图、屋面做法大样、屋面涂料性能检测报告、屋面太阳辐射反射性能现场检测报告；屋面遮阴及高反射面积比例计算书。</w:t>
      </w:r>
    </w:p>
    <w:p>
      <w:pPr>
        <w:pStyle w:val="11"/>
        <w:spacing w:before="0" w:beforeAutospacing="0" w:after="0" w:afterAutospacing="0"/>
        <w:jc w:val="both"/>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日照分析报告：3建筑设计/ 日照.png</w:t>
            </w:r>
            <w:r>
              <w:rPr>
                <w:rFonts w:ascii="Times New Roman" w:hAnsi="Times New Roman" w:cs="Times New Roman"/>
                <w:sz w:val="20"/>
                <w:szCs w:val="20"/>
              </w:rPr>
              <w:br w:type="textWrapping"/>
            </w:r>
            <w:r>
              <w:rPr>
                <w:rStyle w:val="26"/>
                <w:rFonts w:ascii="Times New Roman" w:hAnsi="Times New Roman" w:cs="Times New Roman"/>
                <w:sz w:val="20"/>
                <w:szCs w:val="20"/>
              </w:rPr>
              <w:t>规划设计平面图：2规划设计/ 总平面.jpg</w:t>
            </w:r>
            <w:r>
              <w:rPr>
                <w:rFonts w:ascii="Times New Roman" w:hAnsi="Times New Roman" w:cs="Times New Roman"/>
                <w:sz w:val="20"/>
                <w:szCs w:val="20"/>
              </w:rPr>
              <w:br w:type="textWrapping"/>
            </w:r>
            <w:r>
              <w:rPr>
                <w:rStyle w:val="26"/>
                <w:rFonts w:ascii="Times New Roman" w:hAnsi="Times New Roman" w:cs="Times New Roman"/>
                <w:sz w:val="20"/>
                <w:szCs w:val="20"/>
              </w:rPr>
              <w:t>路面构造做法大样：3建筑设计/ 路面构造大样做法.DWG</w:t>
            </w:r>
          </w:p>
        </w:tc>
      </w:tr>
    </w:tbl>
    <w:p>
      <w:pPr>
        <w:pStyle w:val="11"/>
        <w:spacing w:before="0" w:beforeAutospacing="0" w:after="0" w:afterAutospacing="0"/>
        <w:jc w:val="both"/>
      </w:pPr>
      <w:r>
        <w:rPr>
          <w:rFonts w:ascii="Calibri" w:hAnsi="Calibri"/>
          <w:sz w:val="21"/>
          <w:szCs w:val="21"/>
        </w:rPr>
        <w:t> </w:t>
      </w:r>
    </w:p>
    <w:p>
      <w:pPr>
        <w:jc w:val="center"/>
      </w:pPr>
      <w:r>
        <w:rPr>
          <w:b/>
          <w:bCs/>
          <w:color w:val="000000"/>
        </w:rPr>
        <w:br w:type="page"/>
      </w:r>
      <w:r>
        <w:rPr>
          <w:rFonts w:hint="eastAsia"/>
          <w:b/>
          <w:bCs/>
          <w:color w:val="000000"/>
        </w:rPr>
        <w:t>9 提高与创新</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00"/>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shd w:val="clear" w:color="auto" w:fill="DCDCDC"/>
            <w:noWrap w:val="0"/>
            <w:vAlign w:val="center"/>
          </w:tcPr>
          <w:p>
            <w:pPr>
              <w:spacing w:after="3"/>
              <w:jc w:val="center"/>
            </w:pPr>
            <w:r>
              <w:rPr>
                <w:rFonts w:hint="eastAsia"/>
                <w:b/>
                <w:bCs/>
                <w:color w:val="000000"/>
                <w:sz w:val="20"/>
                <w:szCs w:val="20"/>
              </w:rPr>
              <w:t>子项</w:t>
            </w:r>
          </w:p>
        </w:tc>
        <w:tc>
          <w:tcPr>
            <w:tcW w:w="800" w:type="dxa"/>
            <w:shd w:val="clear" w:color="auto" w:fill="DCDCDC"/>
            <w:noWrap w:val="0"/>
            <w:vAlign w:val="center"/>
          </w:tcPr>
          <w:p>
            <w:pPr>
              <w:spacing w:after="3"/>
              <w:jc w:val="center"/>
            </w:pPr>
            <w:r>
              <w:rPr>
                <w:rFonts w:hint="eastAsia"/>
                <w:b/>
                <w:bCs/>
                <w:color w:val="000000"/>
                <w:sz w:val="22"/>
                <w:szCs w:val="22"/>
              </w:rPr>
              <w:t>条文编号</w:t>
            </w:r>
          </w:p>
        </w:tc>
        <w:tc>
          <w:tcPr>
            <w:tcW w:w="5000" w:type="dxa"/>
            <w:shd w:val="clear" w:color="auto" w:fill="DCDCDC"/>
            <w:noWrap w:val="0"/>
            <w:vAlign w:val="center"/>
          </w:tcPr>
          <w:p>
            <w:pPr>
              <w:spacing w:after="3"/>
              <w:jc w:val="center"/>
            </w:pPr>
            <w:r>
              <w:rPr>
                <w:rFonts w:hint="eastAsia"/>
                <w:b/>
                <w:bCs/>
                <w:color w:val="000000"/>
                <w:sz w:val="20"/>
                <w:szCs w:val="20"/>
              </w:rPr>
              <w:t>条文</w:t>
            </w:r>
          </w:p>
        </w:tc>
        <w:tc>
          <w:tcPr>
            <w:tcW w:w="800" w:type="dxa"/>
            <w:shd w:val="clear" w:color="auto" w:fill="DCDCDC"/>
            <w:noWrap w:val="0"/>
            <w:vAlign w:val="center"/>
          </w:tcPr>
          <w:p>
            <w:pPr>
              <w:spacing w:after="3"/>
              <w:jc w:val="center"/>
            </w:pPr>
            <w:r>
              <w:rPr>
                <w:rFonts w:hint="eastAsia"/>
                <w:b/>
                <w:bCs/>
                <w:color w:val="000000"/>
                <w:sz w:val="20"/>
                <w:szCs w:val="20"/>
              </w:rPr>
              <w:t>满分</w:t>
            </w:r>
          </w:p>
        </w:tc>
        <w:tc>
          <w:tcPr>
            <w:tcW w:w="800" w:type="dxa"/>
            <w:shd w:val="clear" w:color="auto" w:fill="DCDCDC"/>
            <w:noWrap w:val="0"/>
            <w:vAlign w:val="center"/>
          </w:tcPr>
          <w:p>
            <w:pPr>
              <w:spacing w:after="3"/>
              <w:jc w:val="center"/>
            </w:pPr>
            <w:r>
              <w:rPr>
                <w:rFonts w:hint="eastAsia"/>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restart"/>
            <w:shd w:val="clear" w:color="auto" w:fill="DCDCDC"/>
            <w:noWrap w:val="0"/>
            <w:vAlign w:val="center"/>
          </w:tcPr>
          <w:p>
            <w:pPr>
              <w:spacing w:after="3"/>
              <w:jc w:val="center"/>
            </w:pPr>
            <w:r>
              <w:rPr>
                <w:rFonts w:hint="eastAsia"/>
                <w:b/>
                <w:bCs/>
                <w:color w:val="000000"/>
                <w:sz w:val="20"/>
                <w:szCs w:val="20"/>
              </w:rPr>
              <w:t>评分项</w:t>
            </w:r>
          </w:p>
        </w:tc>
        <w:tc>
          <w:tcPr>
            <w:tcW w:w="800" w:type="dxa"/>
            <w:noWrap w:val="0"/>
            <w:vAlign w:val="center"/>
          </w:tcPr>
          <w:p>
            <w:pPr>
              <w:spacing w:after="3"/>
            </w:pPr>
            <w:r>
              <w:rPr>
                <w:rFonts w:hint="eastAsia"/>
                <w:bCs/>
                <w:color w:val="000000"/>
                <w:sz w:val="22"/>
                <w:szCs w:val="22"/>
              </w:rPr>
              <w:t>9.2.1</w:t>
            </w:r>
          </w:p>
        </w:tc>
        <w:tc>
          <w:tcPr>
            <w:tcW w:w="5000" w:type="dxa"/>
            <w:noWrap w:val="0"/>
            <w:vAlign w:val="center"/>
          </w:tcPr>
          <w:p>
            <w:pPr>
              <w:spacing w:after="3"/>
            </w:pPr>
            <w:r>
              <w:rPr>
                <w:rFonts w:hint="eastAsia"/>
                <w:bCs/>
                <w:color w:val="000000"/>
                <w:sz w:val="22"/>
                <w:szCs w:val="22"/>
              </w:rPr>
              <w:t>能耗高要求</w:t>
            </w:r>
          </w:p>
        </w:tc>
        <w:tc>
          <w:tcPr>
            <w:tcW w:w="800" w:type="dxa"/>
            <w:noWrap w:val="0"/>
            <w:vAlign w:val="center"/>
          </w:tcPr>
          <w:p>
            <w:pPr>
              <w:spacing w:after="3"/>
              <w:jc w:val="center"/>
            </w:pPr>
            <w:r>
              <w:rPr>
                <w:rFonts w:hint="eastAsia"/>
                <w:bCs/>
                <w:color w:val="000000"/>
                <w:sz w:val="22"/>
                <w:szCs w:val="22"/>
              </w:rPr>
              <w:t>30</w:t>
            </w:r>
          </w:p>
        </w:tc>
        <w:tc>
          <w:tcPr>
            <w:tcW w:w="800" w:type="dxa"/>
            <w:noWrap w:val="0"/>
            <w:vAlign w:val="center"/>
          </w:tcPr>
          <w:p>
            <w:pPr>
              <w:spacing w:after="3"/>
              <w:jc w:val="center"/>
              <w:rPr>
                <w:rFonts w:hint="default" w:eastAsia="宋体"/>
                <w:lang w:val="en-US" w:eastAsia="zh-CN"/>
              </w:rPr>
            </w:pPr>
            <w:r>
              <w:rPr>
                <w:rFonts w:hint="eastAsia" w:eastAsia="宋体"/>
                <w:lang w:val="en-US" w:eastAsia="zh-CN"/>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9.2.2</w:t>
            </w:r>
          </w:p>
        </w:tc>
        <w:tc>
          <w:tcPr>
            <w:tcW w:w="5000" w:type="dxa"/>
            <w:noWrap w:val="0"/>
            <w:vAlign w:val="center"/>
          </w:tcPr>
          <w:p>
            <w:pPr>
              <w:spacing w:after="3"/>
            </w:pPr>
            <w:r>
              <w:rPr>
                <w:rFonts w:hint="eastAsia"/>
                <w:bCs/>
                <w:color w:val="000000"/>
                <w:sz w:val="22"/>
                <w:szCs w:val="22"/>
              </w:rPr>
              <w:t>建筑风貌适宜</w:t>
            </w:r>
          </w:p>
        </w:tc>
        <w:tc>
          <w:tcPr>
            <w:tcW w:w="800" w:type="dxa"/>
            <w:noWrap w:val="0"/>
            <w:vAlign w:val="center"/>
          </w:tcPr>
          <w:p>
            <w:pPr>
              <w:spacing w:after="3"/>
              <w:jc w:val="center"/>
            </w:pPr>
            <w:r>
              <w:rPr>
                <w:rFonts w:hint="eastAsia"/>
                <w:bCs/>
                <w:color w:val="000000"/>
                <w:sz w:val="22"/>
                <w:szCs w:val="22"/>
              </w:rPr>
              <w:t>20</w:t>
            </w:r>
          </w:p>
        </w:tc>
        <w:tc>
          <w:tcPr>
            <w:tcW w:w="800" w:type="dxa"/>
            <w:noWrap w:val="0"/>
            <w:vAlign w:val="center"/>
          </w:tcPr>
          <w:p>
            <w:pPr>
              <w:spacing w:after="3"/>
              <w:jc w:val="center"/>
            </w:pPr>
            <w:r>
              <w:rPr>
                <w:rFonts w:hint="eastAsia"/>
                <w:bCs/>
                <w:color w:val="000000"/>
                <w:sz w:val="22"/>
                <w:szCs w:val="22"/>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9.2.3</w:t>
            </w:r>
          </w:p>
        </w:tc>
        <w:tc>
          <w:tcPr>
            <w:tcW w:w="5000" w:type="dxa"/>
            <w:noWrap w:val="0"/>
            <w:vAlign w:val="center"/>
          </w:tcPr>
          <w:p>
            <w:pPr>
              <w:spacing w:after="3"/>
            </w:pPr>
            <w:r>
              <w:rPr>
                <w:rFonts w:hint="eastAsia"/>
                <w:bCs/>
                <w:color w:val="000000"/>
                <w:sz w:val="22"/>
                <w:szCs w:val="22"/>
              </w:rPr>
              <w:t>废旧场地利用</w:t>
            </w:r>
          </w:p>
        </w:tc>
        <w:tc>
          <w:tcPr>
            <w:tcW w:w="800" w:type="dxa"/>
            <w:noWrap w:val="0"/>
            <w:vAlign w:val="center"/>
          </w:tcPr>
          <w:p>
            <w:pPr>
              <w:spacing w:after="3"/>
              <w:jc w:val="center"/>
            </w:pPr>
            <w:r>
              <w:rPr>
                <w:rFonts w:hint="eastAsia"/>
                <w:bCs/>
                <w:color w:val="000000"/>
                <w:sz w:val="22"/>
                <w:szCs w:val="22"/>
              </w:rPr>
              <w:t>8</w:t>
            </w:r>
          </w:p>
        </w:tc>
        <w:tc>
          <w:tcPr>
            <w:tcW w:w="800" w:type="dxa"/>
            <w:noWrap w:val="0"/>
            <w:vAlign w:val="center"/>
          </w:tcPr>
          <w:p>
            <w:pPr>
              <w:spacing w:after="3"/>
              <w:jc w:val="center"/>
            </w:pPr>
            <w:r>
              <w:rPr>
                <w:rFonts w:hint="eastAsia"/>
                <w:bCs/>
                <w:color w:val="000000"/>
                <w:sz w:val="22"/>
                <w:szCs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9.2.4</w:t>
            </w:r>
          </w:p>
        </w:tc>
        <w:tc>
          <w:tcPr>
            <w:tcW w:w="5000" w:type="dxa"/>
            <w:noWrap w:val="0"/>
            <w:vAlign w:val="center"/>
          </w:tcPr>
          <w:p>
            <w:pPr>
              <w:spacing w:after="3"/>
            </w:pPr>
            <w:r>
              <w:rPr>
                <w:rFonts w:hint="eastAsia"/>
                <w:bCs/>
                <w:color w:val="000000"/>
                <w:sz w:val="22"/>
                <w:szCs w:val="22"/>
              </w:rPr>
              <w:t>绿容率</w:t>
            </w:r>
          </w:p>
        </w:tc>
        <w:tc>
          <w:tcPr>
            <w:tcW w:w="800" w:type="dxa"/>
            <w:noWrap w:val="0"/>
            <w:vAlign w:val="center"/>
          </w:tcPr>
          <w:p>
            <w:pPr>
              <w:spacing w:after="3"/>
              <w:jc w:val="center"/>
            </w:pPr>
            <w:r>
              <w:rPr>
                <w:rFonts w:hint="eastAsia"/>
                <w:bCs/>
                <w:color w:val="000000"/>
                <w:sz w:val="22"/>
                <w:szCs w:val="22"/>
              </w:rPr>
              <w:t>5</w:t>
            </w:r>
          </w:p>
        </w:tc>
        <w:tc>
          <w:tcPr>
            <w:tcW w:w="800" w:type="dxa"/>
            <w:noWrap w:val="0"/>
            <w:vAlign w:val="center"/>
          </w:tcPr>
          <w:p>
            <w:pPr>
              <w:spacing w:after="3"/>
              <w:jc w:val="center"/>
              <w:rPr>
                <w:rFonts w:hint="eastAsia" w:eastAsia="宋体"/>
                <w:lang w:val="en-US" w:eastAsia="zh-CN"/>
              </w:rPr>
            </w:pPr>
            <w:r>
              <w:rPr>
                <w:rFonts w:hint="eastAsia" w:eastAsia="宋体"/>
                <w:lang w:val="en-US" w:eastAsia="zh-CN"/>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9.2.5</w:t>
            </w:r>
          </w:p>
        </w:tc>
        <w:tc>
          <w:tcPr>
            <w:tcW w:w="5000" w:type="dxa"/>
            <w:noWrap w:val="0"/>
            <w:vAlign w:val="center"/>
          </w:tcPr>
          <w:p>
            <w:pPr>
              <w:spacing w:after="3"/>
            </w:pPr>
            <w:r>
              <w:rPr>
                <w:rFonts w:hint="eastAsia"/>
                <w:bCs/>
                <w:color w:val="000000"/>
                <w:sz w:val="22"/>
                <w:szCs w:val="22"/>
              </w:rPr>
              <w:t>工业化建造要求</w:t>
            </w:r>
          </w:p>
        </w:tc>
        <w:tc>
          <w:tcPr>
            <w:tcW w:w="800" w:type="dxa"/>
            <w:noWrap w:val="0"/>
            <w:vAlign w:val="center"/>
          </w:tcPr>
          <w:p>
            <w:pPr>
              <w:spacing w:after="3"/>
              <w:jc w:val="center"/>
            </w:pPr>
            <w:r>
              <w:rPr>
                <w:rFonts w:hint="eastAsia"/>
                <w:bCs/>
                <w:color w:val="000000"/>
                <w:sz w:val="22"/>
                <w:szCs w:val="22"/>
              </w:rPr>
              <w:t>10</w:t>
            </w:r>
          </w:p>
        </w:tc>
        <w:tc>
          <w:tcPr>
            <w:tcW w:w="800" w:type="dxa"/>
            <w:noWrap w:val="0"/>
            <w:vAlign w:val="center"/>
          </w:tcPr>
          <w:p>
            <w:pPr>
              <w:spacing w:after="3"/>
              <w:jc w:val="center"/>
            </w:pPr>
            <w:r>
              <w:rPr>
                <w:rFonts w:hint="eastAsia"/>
                <w:bCs/>
                <w:color w:val="000000"/>
                <w:sz w:val="22"/>
                <w:szCs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9.2.6</w:t>
            </w:r>
          </w:p>
        </w:tc>
        <w:tc>
          <w:tcPr>
            <w:tcW w:w="5000" w:type="dxa"/>
            <w:noWrap w:val="0"/>
            <w:vAlign w:val="center"/>
          </w:tcPr>
          <w:p>
            <w:pPr>
              <w:spacing w:after="3"/>
            </w:pPr>
            <w:r>
              <w:rPr>
                <w:rFonts w:hint="eastAsia"/>
                <w:bCs/>
                <w:color w:val="000000"/>
                <w:sz w:val="22"/>
                <w:szCs w:val="22"/>
              </w:rPr>
              <w:t>BIM技术</w:t>
            </w:r>
          </w:p>
        </w:tc>
        <w:tc>
          <w:tcPr>
            <w:tcW w:w="800" w:type="dxa"/>
            <w:noWrap w:val="0"/>
            <w:vAlign w:val="center"/>
          </w:tcPr>
          <w:p>
            <w:pPr>
              <w:spacing w:after="3"/>
              <w:jc w:val="center"/>
            </w:pPr>
            <w:r>
              <w:rPr>
                <w:rFonts w:hint="eastAsia"/>
                <w:bCs/>
                <w:color w:val="000000"/>
                <w:sz w:val="22"/>
                <w:szCs w:val="22"/>
              </w:rPr>
              <w:t>15</w:t>
            </w:r>
          </w:p>
        </w:tc>
        <w:tc>
          <w:tcPr>
            <w:tcW w:w="800" w:type="dxa"/>
            <w:noWrap w:val="0"/>
            <w:vAlign w:val="center"/>
          </w:tcPr>
          <w:p>
            <w:pPr>
              <w:spacing w:after="3"/>
              <w:jc w:val="center"/>
            </w:pPr>
            <w:r>
              <w:rPr>
                <w:rFonts w:hint="eastAsia"/>
                <w:bCs/>
                <w:color w:val="000000"/>
                <w:sz w:val="22"/>
                <w:szCs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9.2.7</w:t>
            </w:r>
          </w:p>
        </w:tc>
        <w:tc>
          <w:tcPr>
            <w:tcW w:w="5000" w:type="dxa"/>
            <w:noWrap w:val="0"/>
            <w:vAlign w:val="center"/>
          </w:tcPr>
          <w:p>
            <w:pPr>
              <w:spacing w:after="3"/>
            </w:pPr>
            <w:r>
              <w:rPr>
                <w:rFonts w:hint="eastAsia"/>
                <w:bCs/>
                <w:color w:val="000000"/>
                <w:sz w:val="22"/>
                <w:szCs w:val="22"/>
              </w:rPr>
              <w:t>建筑碳排放量</w:t>
            </w:r>
          </w:p>
        </w:tc>
        <w:tc>
          <w:tcPr>
            <w:tcW w:w="800" w:type="dxa"/>
            <w:noWrap w:val="0"/>
            <w:vAlign w:val="center"/>
          </w:tcPr>
          <w:p>
            <w:pPr>
              <w:spacing w:after="3"/>
              <w:jc w:val="center"/>
            </w:pPr>
            <w:r>
              <w:rPr>
                <w:rFonts w:hint="eastAsia"/>
                <w:bCs/>
                <w:color w:val="000000"/>
                <w:sz w:val="22"/>
                <w:szCs w:val="22"/>
              </w:rPr>
              <w:t>12</w:t>
            </w:r>
          </w:p>
        </w:tc>
        <w:tc>
          <w:tcPr>
            <w:tcW w:w="800" w:type="dxa"/>
            <w:noWrap w:val="0"/>
            <w:vAlign w:val="center"/>
          </w:tcPr>
          <w:p>
            <w:pPr>
              <w:spacing w:after="3"/>
              <w:jc w:val="center"/>
            </w:pPr>
            <w:r>
              <w:rPr>
                <w:rFonts w:hint="eastAsia"/>
                <w:bCs/>
                <w:color w:val="000000"/>
                <w:sz w:val="22"/>
                <w:szCs w:val="22"/>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9.2.9</w:t>
            </w:r>
          </w:p>
        </w:tc>
        <w:tc>
          <w:tcPr>
            <w:tcW w:w="5000" w:type="dxa"/>
            <w:noWrap w:val="0"/>
            <w:vAlign w:val="center"/>
          </w:tcPr>
          <w:p>
            <w:pPr>
              <w:spacing w:after="3"/>
            </w:pPr>
            <w:r>
              <w:rPr>
                <w:rFonts w:hint="eastAsia"/>
                <w:bCs/>
                <w:color w:val="000000"/>
                <w:sz w:val="22"/>
                <w:szCs w:val="22"/>
              </w:rPr>
              <w:t>工程质量保险</w:t>
            </w:r>
          </w:p>
        </w:tc>
        <w:tc>
          <w:tcPr>
            <w:tcW w:w="800" w:type="dxa"/>
            <w:noWrap w:val="0"/>
            <w:vAlign w:val="center"/>
          </w:tcPr>
          <w:p>
            <w:pPr>
              <w:spacing w:after="3"/>
              <w:jc w:val="center"/>
            </w:pPr>
            <w:r>
              <w:rPr>
                <w:rFonts w:hint="eastAsia"/>
                <w:bCs/>
                <w:color w:val="000000"/>
                <w:sz w:val="22"/>
                <w:szCs w:val="22"/>
              </w:rPr>
              <w:t>20</w:t>
            </w:r>
          </w:p>
        </w:tc>
        <w:tc>
          <w:tcPr>
            <w:tcW w:w="800" w:type="dxa"/>
            <w:noWrap w:val="0"/>
            <w:vAlign w:val="center"/>
          </w:tcPr>
          <w:p>
            <w:pPr>
              <w:spacing w:after="3"/>
              <w:jc w:val="center"/>
              <w:rPr>
                <w:rFonts w:hint="default" w:eastAsia="宋体"/>
                <w:lang w:val="en-US" w:eastAsia="zh-CN"/>
              </w:rPr>
            </w:pPr>
            <w:r>
              <w:rPr>
                <w:rFonts w:hint="eastAsia" w:eastAsia="宋体"/>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0" w:type="dxa"/>
            <w:vMerge w:val="continue"/>
            <w:shd w:val="clear" w:color="auto" w:fill="DCDCDC"/>
            <w:noWrap w:val="0"/>
            <w:vAlign w:val="center"/>
          </w:tcPr>
          <w:p>
            <w:pPr>
              <w:spacing w:after="3"/>
              <w:jc w:val="center"/>
            </w:pPr>
          </w:p>
        </w:tc>
        <w:tc>
          <w:tcPr>
            <w:tcW w:w="800" w:type="dxa"/>
            <w:noWrap w:val="0"/>
            <w:vAlign w:val="center"/>
          </w:tcPr>
          <w:p>
            <w:pPr>
              <w:spacing w:after="3"/>
            </w:pPr>
            <w:r>
              <w:rPr>
                <w:rFonts w:hint="eastAsia"/>
                <w:bCs/>
                <w:color w:val="000000"/>
                <w:sz w:val="22"/>
                <w:szCs w:val="22"/>
              </w:rPr>
              <w:t>9.2.10</w:t>
            </w:r>
          </w:p>
        </w:tc>
        <w:tc>
          <w:tcPr>
            <w:tcW w:w="5000" w:type="dxa"/>
            <w:noWrap w:val="0"/>
            <w:vAlign w:val="center"/>
          </w:tcPr>
          <w:p>
            <w:pPr>
              <w:spacing w:after="3"/>
            </w:pPr>
            <w:r>
              <w:rPr>
                <w:rFonts w:hint="eastAsia"/>
                <w:bCs/>
                <w:color w:val="000000"/>
                <w:sz w:val="22"/>
                <w:szCs w:val="22"/>
              </w:rPr>
              <w:t>其他创新</w:t>
            </w:r>
          </w:p>
        </w:tc>
        <w:tc>
          <w:tcPr>
            <w:tcW w:w="800" w:type="dxa"/>
            <w:noWrap w:val="0"/>
            <w:vAlign w:val="center"/>
          </w:tcPr>
          <w:p>
            <w:pPr>
              <w:spacing w:after="3"/>
              <w:jc w:val="center"/>
            </w:pPr>
            <w:r>
              <w:rPr>
                <w:rFonts w:hint="eastAsia"/>
                <w:bCs/>
                <w:color w:val="000000"/>
                <w:sz w:val="22"/>
                <w:szCs w:val="22"/>
              </w:rPr>
              <w:t>40</w:t>
            </w:r>
          </w:p>
        </w:tc>
        <w:tc>
          <w:tcPr>
            <w:tcW w:w="800" w:type="dxa"/>
            <w:noWrap w:val="0"/>
            <w:vAlign w:val="center"/>
          </w:tcPr>
          <w:p>
            <w:pPr>
              <w:spacing w:after="3"/>
              <w:jc w:val="center"/>
            </w:pPr>
            <w:r>
              <w:rPr>
                <w:rFonts w:hint="eastAsia"/>
                <w:bCs/>
                <w:color w:val="000000"/>
                <w:sz w:val="22"/>
                <w:szCs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00" w:type="dxa"/>
            <w:gridSpan w:val="3"/>
            <w:shd w:val="clear" w:color="auto" w:fill="DCDCDC"/>
            <w:noWrap w:val="0"/>
            <w:vAlign w:val="center"/>
          </w:tcPr>
          <w:p>
            <w:pPr>
              <w:spacing w:after="3"/>
              <w:jc w:val="center"/>
            </w:pPr>
            <w:r>
              <w:rPr>
                <w:rFonts w:hint="eastAsia"/>
                <w:b/>
                <w:bCs/>
                <w:color w:val="000000"/>
                <w:sz w:val="20"/>
                <w:szCs w:val="20"/>
              </w:rPr>
              <w:t>合计</w:t>
            </w:r>
          </w:p>
        </w:tc>
        <w:tc>
          <w:tcPr>
            <w:tcW w:w="800" w:type="dxa"/>
            <w:noWrap w:val="0"/>
            <w:vAlign w:val="center"/>
          </w:tcPr>
          <w:p>
            <w:pPr>
              <w:spacing w:after="3"/>
              <w:jc w:val="center"/>
            </w:pPr>
            <w:r>
              <w:rPr>
                <w:rFonts w:hint="eastAsia"/>
                <w:bCs/>
                <w:color w:val="000000"/>
                <w:sz w:val="22"/>
                <w:szCs w:val="22"/>
              </w:rPr>
              <w:t>180.0</w:t>
            </w:r>
          </w:p>
        </w:tc>
        <w:tc>
          <w:tcPr>
            <w:tcW w:w="800" w:type="dxa"/>
            <w:noWrap w:val="0"/>
            <w:vAlign w:val="center"/>
          </w:tcPr>
          <w:p>
            <w:pPr>
              <w:spacing w:after="3"/>
              <w:jc w:val="center"/>
            </w:pPr>
            <w:r>
              <w:rPr>
                <w:rFonts w:hint="eastAsia" w:eastAsia="宋体"/>
                <w:bCs/>
                <w:color w:val="000000"/>
                <w:sz w:val="22"/>
                <w:szCs w:val="22"/>
                <w:lang w:val="en-US" w:eastAsia="zh-CN"/>
              </w:rPr>
              <w:t>87</w:t>
            </w:r>
            <w:r>
              <w:rPr>
                <w:rFonts w:hint="eastAsia"/>
                <w:bCs/>
                <w:color w:val="000000"/>
                <w:sz w:val="22"/>
                <w:szCs w:val="22"/>
              </w:rPr>
              <w:t>.0</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bookmarkStart w:id="102" w:name="OLE_LINK125"/>
      <w:r>
        <w:rPr>
          <w:rFonts w:hint="eastAsia" w:ascii="Times New Roman" w:hAnsi="Times New Roman" w:eastAsia="宋体" w:cs="Times New Roman"/>
          <w:i w:val="0"/>
          <w:iCs w:val="0"/>
          <w:color w:val="auto"/>
          <w:sz w:val="24"/>
          <w:szCs w:val="24"/>
          <w:lang w:eastAsia="zh-CN"/>
        </w:rPr>
        <w:t>9.2.1 采取措施进一步降低建筑供暖空调系统的能耗。（30分）</w:t>
      </w:r>
    </w:p>
    <w:bookmarkEnd w:id="102"/>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p>
      <w:pPr>
        <w:pStyle w:val="29"/>
        <w:ind w:firstLine="0" w:firstLineChars="0"/>
        <w:jc w:val="left"/>
      </w:pPr>
      <w:r>
        <w:rPr>
          <w:rFonts w:hint="eastAsia"/>
        </w:rPr>
        <w:t>建筑供暖空调</w:t>
      </w:r>
      <w:r>
        <w:t>系统能耗相比国家现行有关建筑节能标准降低</w:t>
      </w:r>
      <w:r>
        <w:rPr>
          <w:rFonts w:hint="eastAsia"/>
        </w:rPr>
        <w:t>幅度及对应得分情况：</w:t>
      </w:r>
    </w:p>
    <w:tbl>
      <w:tblPr>
        <w:tblStyle w:val="13"/>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394"/>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pPr>
              <w:pStyle w:val="29"/>
              <w:ind w:firstLine="0" w:firstLineChars="0"/>
              <w:jc w:val="center"/>
              <w:rPr>
                <w:b/>
                <w:szCs w:val="21"/>
              </w:rPr>
            </w:pPr>
            <w:r>
              <w:rPr>
                <w:szCs w:val="21"/>
                <w:lang w:val="zh-CN"/>
              </w:rPr>
              <w:t>序号</w:t>
            </w:r>
          </w:p>
        </w:tc>
        <w:tc>
          <w:tcPr>
            <w:tcW w:w="4394" w:type="dxa"/>
            <w:noWrap w:val="0"/>
            <w:vAlign w:val="top"/>
          </w:tcPr>
          <w:p>
            <w:pPr>
              <w:pStyle w:val="29"/>
              <w:ind w:firstLine="0" w:firstLineChars="0"/>
              <w:jc w:val="center"/>
              <w:rPr>
                <w:b/>
                <w:szCs w:val="21"/>
              </w:rPr>
            </w:pPr>
            <w:r>
              <w:rPr>
                <w:szCs w:val="21"/>
                <w:lang w:val="zh-CN"/>
              </w:rPr>
              <w:t>评价内容</w:t>
            </w:r>
          </w:p>
        </w:tc>
        <w:tc>
          <w:tcPr>
            <w:tcW w:w="1559" w:type="dxa"/>
            <w:noWrap w:val="0"/>
            <w:vAlign w:val="top"/>
          </w:tcPr>
          <w:p>
            <w:pPr>
              <w:pStyle w:val="29"/>
              <w:ind w:firstLine="0" w:firstLineChars="0"/>
              <w:jc w:val="center"/>
              <w:rPr>
                <w:b/>
                <w:szCs w:val="21"/>
              </w:rPr>
            </w:pPr>
            <w:r>
              <w:rPr>
                <w:szCs w:val="21"/>
                <w:lang w:val="zh-CN"/>
              </w:rPr>
              <w:t>评价分值</w:t>
            </w:r>
          </w:p>
        </w:tc>
        <w:tc>
          <w:tcPr>
            <w:tcW w:w="1276" w:type="dxa"/>
            <w:noWrap w:val="0"/>
            <w:vAlign w:val="top"/>
          </w:tcPr>
          <w:p>
            <w:pPr>
              <w:pStyle w:val="29"/>
              <w:ind w:firstLine="0" w:firstLineChars="0"/>
              <w:jc w:val="center"/>
              <w:rPr>
                <w:b/>
                <w:szCs w:val="21"/>
              </w:rPr>
            </w:pPr>
            <w:r>
              <w:rPr>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pPr>
              <w:pStyle w:val="29"/>
              <w:ind w:firstLine="0" w:firstLineChars="0"/>
              <w:jc w:val="center"/>
              <w:rPr>
                <w:szCs w:val="21"/>
              </w:rPr>
            </w:pPr>
            <w:r>
              <w:rPr>
                <w:szCs w:val="21"/>
              </w:rPr>
              <w:t>1</w:t>
            </w:r>
          </w:p>
        </w:tc>
        <w:tc>
          <w:tcPr>
            <w:tcW w:w="4394" w:type="dxa"/>
            <w:noWrap w:val="0"/>
            <w:vAlign w:val="top"/>
          </w:tcPr>
          <w:p>
            <w:pPr>
              <w:pStyle w:val="29"/>
              <w:ind w:firstLine="0" w:firstLineChars="0"/>
              <w:jc w:val="center"/>
              <w:rPr>
                <w:szCs w:val="21"/>
              </w:rPr>
            </w:pPr>
            <w:r>
              <w:rPr>
                <w:szCs w:val="21"/>
              </w:rPr>
              <w:t>降低40%</w:t>
            </w:r>
          </w:p>
        </w:tc>
        <w:tc>
          <w:tcPr>
            <w:tcW w:w="1559" w:type="dxa"/>
            <w:noWrap w:val="0"/>
            <w:vAlign w:val="top"/>
          </w:tcPr>
          <w:p>
            <w:pPr>
              <w:pStyle w:val="29"/>
              <w:ind w:firstLine="0" w:firstLineChars="0"/>
              <w:jc w:val="center"/>
              <w:rPr>
                <w:szCs w:val="21"/>
              </w:rPr>
            </w:pPr>
            <w:r>
              <w:rPr>
                <w:szCs w:val="21"/>
              </w:rPr>
              <w:t>10</w:t>
            </w:r>
          </w:p>
        </w:tc>
        <w:tc>
          <w:tcPr>
            <w:tcW w:w="1276" w:type="dxa"/>
            <w:noWrap w:val="0"/>
            <w:vAlign w:val="top"/>
          </w:tcPr>
          <w:p>
            <w:pPr>
              <w:pStyle w:val="29"/>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pPr>
              <w:pStyle w:val="29"/>
              <w:ind w:firstLine="0" w:firstLineChars="0"/>
              <w:jc w:val="center"/>
              <w:rPr>
                <w:szCs w:val="21"/>
              </w:rPr>
            </w:pPr>
            <w:r>
              <w:rPr>
                <w:szCs w:val="21"/>
              </w:rPr>
              <w:t>2</w:t>
            </w:r>
          </w:p>
        </w:tc>
        <w:tc>
          <w:tcPr>
            <w:tcW w:w="4394" w:type="dxa"/>
            <w:noWrap w:val="0"/>
            <w:vAlign w:val="top"/>
          </w:tcPr>
          <w:p>
            <w:pPr>
              <w:pStyle w:val="29"/>
              <w:ind w:firstLine="0" w:firstLineChars="0"/>
              <w:jc w:val="center"/>
              <w:rPr>
                <w:szCs w:val="21"/>
              </w:rPr>
            </w:pPr>
            <w:r>
              <w:rPr>
                <w:szCs w:val="21"/>
              </w:rPr>
              <w:t>降低50%</w:t>
            </w:r>
          </w:p>
        </w:tc>
        <w:tc>
          <w:tcPr>
            <w:tcW w:w="1559" w:type="dxa"/>
            <w:noWrap w:val="0"/>
            <w:vAlign w:val="top"/>
          </w:tcPr>
          <w:p>
            <w:pPr>
              <w:pStyle w:val="29"/>
              <w:ind w:firstLine="0" w:firstLineChars="0"/>
              <w:jc w:val="center"/>
              <w:rPr>
                <w:szCs w:val="21"/>
              </w:rPr>
            </w:pPr>
            <w:r>
              <w:rPr>
                <w:szCs w:val="21"/>
              </w:rPr>
              <w:t>15</w:t>
            </w:r>
          </w:p>
        </w:tc>
        <w:tc>
          <w:tcPr>
            <w:tcW w:w="1276" w:type="dxa"/>
            <w:noWrap w:val="0"/>
            <w:vAlign w:val="top"/>
          </w:tcPr>
          <w:p>
            <w:pPr>
              <w:pStyle w:val="29"/>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pPr>
              <w:pStyle w:val="29"/>
              <w:ind w:firstLine="0" w:firstLineChars="0"/>
              <w:jc w:val="center"/>
              <w:rPr>
                <w:szCs w:val="21"/>
              </w:rPr>
            </w:pPr>
            <w:r>
              <w:rPr>
                <w:szCs w:val="21"/>
              </w:rPr>
              <w:t>3</w:t>
            </w:r>
          </w:p>
        </w:tc>
        <w:tc>
          <w:tcPr>
            <w:tcW w:w="4394" w:type="dxa"/>
            <w:noWrap w:val="0"/>
            <w:vAlign w:val="top"/>
          </w:tcPr>
          <w:p>
            <w:pPr>
              <w:pStyle w:val="29"/>
              <w:ind w:firstLine="0" w:firstLineChars="0"/>
              <w:jc w:val="center"/>
              <w:rPr>
                <w:szCs w:val="21"/>
              </w:rPr>
            </w:pPr>
            <w:r>
              <w:rPr>
                <w:szCs w:val="21"/>
              </w:rPr>
              <w:t>降低60%</w:t>
            </w:r>
          </w:p>
        </w:tc>
        <w:tc>
          <w:tcPr>
            <w:tcW w:w="1559" w:type="dxa"/>
            <w:noWrap w:val="0"/>
            <w:vAlign w:val="top"/>
          </w:tcPr>
          <w:p>
            <w:pPr>
              <w:pStyle w:val="29"/>
              <w:ind w:firstLine="0" w:firstLineChars="0"/>
              <w:jc w:val="center"/>
              <w:rPr>
                <w:szCs w:val="21"/>
              </w:rPr>
            </w:pPr>
            <w:r>
              <w:rPr>
                <w:szCs w:val="21"/>
              </w:rPr>
              <w:t>20</w:t>
            </w:r>
          </w:p>
        </w:tc>
        <w:tc>
          <w:tcPr>
            <w:tcW w:w="1276" w:type="dxa"/>
            <w:noWrap w:val="0"/>
            <w:vAlign w:val="top"/>
          </w:tcPr>
          <w:p>
            <w:pPr>
              <w:pStyle w:val="29"/>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pPr>
              <w:pStyle w:val="29"/>
              <w:ind w:firstLine="0" w:firstLineChars="0"/>
              <w:jc w:val="center"/>
              <w:rPr>
                <w:szCs w:val="21"/>
              </w:rPr>
            </w:pPr>
            <w:r>
              <w:rPr>
                <w:szCs w:val="21"/>
              </w:rPr>
              <w:t>4</w:t>
            </w:r>
          </w:p>
        </w:tc>
        <w:tc>
          <w:tcPr>
            <w:tcW w:w="4394" w:type="dxa"/>
            <w:noWrap w:val="0"/>
            <w:vAlign w:val="top"/>
          </w:tcPr>
          <w:p>
            <w:pPr>
              <w:pStyle w:val="29"/>
              <w:ind w:firstLine="0" w:firstLineChars="0"/>
              <w:jc w:val="center"/>
              <w:rPr>
                <w:szCs w:val="21"/>
              </w:rPr>
            </w:pPr>
            <w:r>
              <w:rPr>
                <w:szCs w:val="21"/>
              </w:rPr>
              <w:t>降低70%</w:t>
            </w:r>
          </w:p>
        </w:tc>
        <w:tc>
          <w:tcPr>
            <w:tcW w:w="1559" w:type="dxa"/>
            <w:noWrap w:val="0"/>
            <w:vAlign w:val="top"/>
          </w:tcPr>
          <w:p>
            <w:pPr>
              <w:pStyle w:val="29"/>
              <w:ind w:firstLine="0" w:firstLineChars="0"/>
              <w:jc w:val="center"/>
              <w:rPr>
                <w:szCs w:val="21"/>
              </w:rPr>
            </w:pPr>
            <w:r>
              <w:rPr>
                <w:szCs w:val="21"/>
              </w:rPr>
              <w:t>25</w:t>
            </w:r>
          </w:p>
        </w:tc>
        <w:tc>
          <w:tcPr>
            <w:tcW w:w="1276" w:type="dxa"/>
            <w:noWrap w:val="0"/>
            <w:vAlign w:val="top"/>
          </w:tcPr>
          <w:p>
            <w:pPr>
              <w:pStyle w:val="29"/>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pPr>
              <w:pStyle w:val="29"/>
              <w:ind w:firstLine="0" w:firstLineChars="0"/>
              <w:jc w:val="center"/>
              <w:rPr>
                <w:szCs w:val="21"/>
              </w:rPr>
            </w:pPr>
            <w:r>
              <w:rPr>
                <w:szCs w:val="21"/>
              </w:rPr>
              <w:t>5</w:t>
            </w:r>
          </w:p>
        </w:tc>
        <w:tc>
          <w:tcPr>
            <w:tcW w:w="4394" w:type="dxa"/>
            <w:noWrap w:val="0"/>
            <w:vAlign w:val="top"/>
          </w:tcPr>
          <w:p>
            <w:pPr>
              <w:pStyle w:val="29"/>
              <w:ind w:firstLine="0" w:firstLineChars="0"/>
              <w:jc w:val="center"/>
              <w:rPr>
                <w:szCs w:val="21"/>
              </w:rPr>
            </w:pPr>
            <w:r>
              <w:rPr>
                <w:szCs w:val="21"/>
              </w:rPr>
              <w:t>降低80%</w:t>
            </w:r>
          </w:p>
        </w:tc>
        <w:tc>
          <w:tcPr>
            <w:tcW w:w="1559" w:type="dxa"/>
            <w:noWrap w:val="0"/>
            <w:vAlign w:val="top"/>
          </w:tcPr>
          <w:p>
            <w:pPr>
              <w:pStyle w:val="29"/>
              <w:ind w:firstLine="0" w:firstLineChars="0"/>
              <w:jc w:val="center"/>
              <w:rPr>
                <w:szCs w:val="21"/>
              </w:rPr>
            </w:pPr>
            <w:r>
              <w:rPr>
                <w:szCs w:val="21"/>
              </w:rPr>
              <w:t>30</w:t>
            </w:r>
          </w:p>
        </w:tc>
        <w:tc>
          <w:tcPr>
            <w:tcW w:w="1276" w:type="dxa"/>
            <w:noWrap w:val="0"/>
            <w:vAlign w:val="top"/>
          </w:tcPr>
          <w:p>
            <w:pPr>
              <w:pStyle w:val="29"/>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gridSpan w:val="2"/>
            <w:noWrap w:val="0"/>
            <w:vAlign w:val="top"/>
          </w:tcPr>
          <w:p>
            <w:pPr>
              <w:pStyle w:val="29"/>
              <w:ind w:firstLine="0" w:firstLineChars="0"/>
              <w:jc w:val="center"/>
              <w:rPr>
                <w:szCs w:val="21"/>
              </w:rPr>
            </w:pPr>
            <w:r>
              <w:rPr>
                <w:szCs w:val="21"/>
              </w:rPr>
              <w:t>合计</w:t>
            </w:r>
          </w:p>
        </w:tc>
        <w:tc>
          <w:tcPr>
            <w:tcW w:w="1559" w:type="dxa"/>
            <w:noWrap w:val="0"/>
            <w:vAlign w:val="top"/>
          </w:tcPr>
          <w:p>
            <w:pPr>
              <w:pStyle w:val="29"/>
              <w:ind w:firstLine="0" w:firstLineChars="0"/>
              <w:jc w:val="center"/>
              <w:rPr>
                <w:szCs w:val="21"/>
              </w:rPr>
            </w:pPr>
            <w:r>
              <w:rPr>
                <w:szCs w:val="21"/>
              </w:rPr>
              <w:t>30</w:t>
            </w:r>
          </w:p>
        </w:tc>
        <w:tc>
          <w:tcPr>
            <w:tcW w:w="1276" w:type="dxa"/>
            <w:noWrap w:val="0"/>
            <w:vAlign w:val="top"/>
          </w:tcPr>
          <w:p>
            <w:pPr>
              <w:pStyle w:val="29"/>
              <w:ind w:firstLine="0" w:firstLineChars="0"/>
              <w:jc w:val="center"/>
              <w:rPr>
                <w:szCs w:val="21"/>
              </w:rPr>
            </w:pPr>
            <w:r>
              <w:rPr>
                <w:rFonts w:hint="eastAsia"/>
                <w:kern w:val="0"/>
                <w:szCs w:val="21"/>
              </w:rPr>
              <w:t xml:space="preserve">  </w:t>
            </w:r>
          </w:p>
        </w:tc>
      </w:tr>
    </w:tbl>
    <w:p>
      <w:pPr>
        <w:spacing w:before="120" w:beforeLines="50" w:after="120" w:afterLines="50"/>
        <w:rPr>
          <w:rFonts w:ascii="Times New Roman" w:hAnsi="Times New Roman" w:cs="Times New Roman"/>
          <w:b/>
          <w:szCs w:val="21"/>
        </w:rPr>
      </w:pPr>
      <w:bookmarkStart w:id="103" w:name="_Toc9944816"/>
      <w:bookmarkStart w:id="104" w:name="_Toc9945096"/>
      <w:bookmarkStart w:id="105" w:name="_Toc9945523"/>
      <w:bookmarkStart w:id="106" w:name="_Toc9945240"/>
      <w:bookmarkStart w:id="107" w:name="_Toc9945382"/>
      <w:r>
        <w:rPr>
          <w:rFonts w:ascii="Times New Roman" w:hAnsi="Times New Roman" w:cs="Times New Roman"/>
          <w:b/>
          <w:szCs w:val="21"/>
        </w:rPr>
        <w:t>2 评价要点</w:t>
      </w:r>
    </w:p>
    <w:p>
      <w:r>
        <w:rPr>
          <w:rFonts w:hint="eastAsia"/>
        </w:rPr>
        <w:t>建筑所处城市</w:t>
      </w:r>
      <w:r>
        <w:rPr>
          <w:rFonts w:hint="eastAsia"/>
          <w:u w:val="single"/>
        </w:rPr>
        <w:t xml:space="preserve"> </w:t>
      </w:r>
      <w:r>
        <w:rPr>
          <w:u w:val="single"/>
        </w:rPr>
        <w:t xml:space="preserve">    </w:t>
      </w:r>
      <w:r>
        <w:rPr>
          <w:rFonts w:hint="eastAsia"/>
        </w:rPr>
        <w:t>；建筑热工气候分区：</w:t>
      </w:r>
      <w:r>
        <w:rPr>
          <w:rFonts w:hint="eastAsia"/>
          <w:u w:val="single"/>
        </w:rPr>
        <w:t xml:space="preserve">   </w:t>
      </w:r>
      <w:r>
        <w:rPr>
          <w:rFonts w:hint="eastAsia"/>
        </w:rPr>
        <w:t>；</w:t>
      </w:r>
    </w:p>
    <w:p>
      <w:pPr>
        <w:rPr>
          <w:u w:val="single"/>
        </w:rPr>
      </w:pPr>
      <w:r>
        <w:rPr>
          <w:rFonts w:hint="eastAsia"/>
        </w:rPr>
        <w:t>执行的建筑节能标准：</w:t>
      </w:r>
      <w:r>
        <w:rPr>
          <w:rFonts w:hint="eastAsia"/>
          <w:u w:val="single"/>
        </w:rPr>
        <w:t xml:space="preserve">   </w:t>
      </w:r>
      <w:r>
        <w:rPr>
          <w:u w:val="single"/>
        </w:rPr>
        <w:t xml:space="preserve">  </w:t>
      </w:r>
    </w:p>
    <w:bookmarkEnd w:id="103"/>
    <w:bookmarkEnd w:id="104"/>
    <w:bookmarkEnd w:id="105"/>
    <w:bookmarkEnd w:id="106"/>
    <w:bookmarkEnd w:id="107"/>
    <w:p>
      <w:pPr>
        <w:rPr>
          <w:color w:val="FF0000"/>
        </w:rPr>
      </w:pPr>
      <w:r>
        <w:rPr>
          <w:rFonts w:hint="eastAsia"/>
        </w:rPr>
        <w:t>供暖空调全年能耗分析：</w:t>
      </w:r>
    </w:p>
    <w:tbl>
      <w:tblPr>
        <w:tblStyle w:val="13"/>
        <w:tblW w:w="8042" w:type="dxa"/>
        <w:jc w:val="center"/>
        <w:tblLayout w:type="fixed"/>
        <w:tblCellMar>
          <w:top w:w="0" w:type="dxa"/>
          <w:left w:w="108" w:type="dxa"/>
          <w:bottom w:w="0" w:type="dxa"/>
          <w:right w:w="108" w:type="dxa"/>
        </w:tblCellMar>
      </w:tblPr>
      <w:tblGrid>
        <w:gridCol w:w="2320"/>
        <w:gridCol w:w="1569"/>
        <w:gridCol w:w="2358"/>
        <w:gridCol w:w="1795"/>
      </w:tblGrid>
      <w:tr>
        <w:tblPrEx>
          <w:tblCellMar>
            <w:top w:w="0" w:type="dxa"/>
            <w:left w:w="108" w:type="dxa"/>
            <w:bottom w:w="0" w:type="dxa"/>
            <w:right w:w="108" w:type="dxa"/>
          </w:tblCellMar>
        </w:tblPrEx>
        <w:trPr>
          <w:cantSplit/>
          <w:trHeight w:val="285" w:hRule="atLeast"/>
          <w:jc w:val="center"/>
        </w:trPr>
        <w:tc>
          <w:tcPr>
            <w:tcW w:w="2320" w:type="dxa"/>
            <w:tcBorders>
              <w:top w:val="single" w:color="auto" w:sz="8" w:space="0"/>
              <w:left w:val="single" w:color="auto" w:sz="8" w:space="0"/>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用能类别</w:t>
            </w:r>
          </w:p>
        </w:tc>
        <w:tc>
          <w:tcPr>
            <w:tcW w:w="1569" w:type="dxa"/>
            <w:tcBorders>
              <w:top w:val="single" w:color="auto" w:sz="8" w:space="0"/>
              <w:left w:val="nil"/>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单位</w:t>
            </w:r>
          </w:p>
        </w:tc>
        <w:tc>
          <w:tcPr>
            <w:tcW w:w="2358" w:type="dxa"/>
            <w:tcBorders>
              <w:top w:val="single" w:color="auto" w:sz="8" w:space="0"/>
              <w:left w:val="nil"/>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参照建筑（限值）</w:t>
            </w:r>
          </w:p>
        </w:tc>
        <w:tc>
          <w:tcPr>
            <w:tcW w:w="1795" w:type="dxa"/>
            <w:tcBorders>
              <w:top w:val="single" w:color="auto" w:sz="8" w:space="0"/>
              <w:left w:val="nil"/>
              <w:bottom w:val="single" w:color="auto" w:sz="4" w:space="0"/>
              <w:right w:val="single" w:color="auto" w:sz="8"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实际建筑</w:t>
            </w:r>
          </w:p>
        </w:tc>
      </w:tr>
      <w:tr>
        <w:tblPrEx>
          <w:tblCellMar>
            <w:top w:w="0" w:type="dxa"/>
            <w:left w:w="108" w:type="dxa"/>
            <w:bottom w:w="0" w:type="dxa"/>
            <w:right w:w="108" w:type="dxa"/>
          </w:tblCellMar>
        </w:tblPrEx>
        <w:trPr>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供暖</w:t>
            </w:r>
          </w:p>
        </w:tc>
        <w:tc>
          <w:tcPr>
            <w:tcW w:w="1569"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cs="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cs="Times New Roman"/>
                <w:szCs w:val="21"/>
              </w:rPr>
            </w:pPr>
            <w:r>
              <w:rPr>
                <w:rFonts w:hint="eastAsia"/>
                <w:szCs w:val="21"/>
              </w:rPr>
              <w:t xml:space="preserve">  </w:t>
            </w:r>
          </w:p>
        </w:tc>
      </w:tr>
      <w:tr>
        <w:tblPrEx>
          <w:tblCellMar>
            <w:top w:w="0" w:type="dxa"/>
            <w:left w:w="108" w:type="dxa"/>
            <w:bottom w:w="0" w:type="dxa"/>
            <w:right w:w="108" w:type="dxa"/>
          </w:tblCellMar>
        </w:tblPrEx>
        <w:trPr>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供冷</w:t>
            </w:r>
          </w:p>
        </w:tc>
        <w:tc>
          <w:tcPr>
            <w:tcW w:w="1569"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cs="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cs="Times New Roman"/>
                <w:szCs w:val="21"/>
              </w:rPr>
            </w:pPr>
            <w:r>
              <w:rPr>
                <w:rFonts w:hint="eastAsia"/>
                <w:szCs w:val="21"/>
              </w:rPr>
              <w:t xml:space="preserve">  </w:t>
            </w:r>
          </w:p>
        </w:tc>
      </w:tr>
      <w:tr>
        <w:tblPrEx>
          <w:tblCellMar>
            <w:top w:w="0" w:type="dxa"/>
            <w:left w:w="108" w:type="dxa"/>
            <w:bottom w:w="0" w:type="dxa"/>
            <w:right w:w="108" w:type="dxa"/>
          </w:tblCellMar>
        </w:tblPrEx>
        <w:trPr>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风机</w:t>
            </w:r>
          </w:p>
        </w:tc>
        <w:tc>
          <w:tcPr>
            <w:tcW w:w="1569"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cs="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cs="Times New Roman"/>
                <w:szCs w:val="21"/>
              </w:rPr>
            </w:pPr>
            <w:r>
              <w:rPr>
                <w:rFonts w:hint="eastAsia"/>
                <w:szCs w:val="21"/>
              </w:rPr>
              <w:t xml:space="preserve">  </w:t>
            </w:r>
          </w:p>
        </w:tc>
      </w:tr>
      <w:tr>
        <w:tblPrEx>
          <w:tblCellMar>
            <w:top w:w="0" w:type="dxa"/>
            <w:left w:w="108" w:type="dxa"/>
            <w:bottom w:w="0" w:type="dxa"/>
            <w:right w:w="108" w:type="dxa"/>
          </w:tblCellMar>
        </w:tblPrEx>
        <w:trPr>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总能耗</w:t>
            </w:r>
          </w:p>
        </w:tc>
        <w:tc>
          <w:tcPr>
            <w:tcW w:w="1569"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cs="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cs="Times New Roman"/>
                <w:szCs w:val="21"/>
              </w:rPr>
            </w:pPr>
            <w:r>
              <w:rPr>
                <w:rFonts w:hint="eastAsia"/>
                <w:szCs w:val="21"/>
              </w:rPr>
              <w:t xml:space="preserve">  </w:t>
            </w:r>
          </w:p>
        </w:tc>
      </w:tr>
      <w:tr>
        <w:tblPrEx>
          <w:tblCellMar>
            <w:top w:w="0" w:type="dxa"/>
            <w:left w:w="108" w:type="dxa"/>
            <w:bottom w:w="0" w:type="dxa"/>
            <w:right w:w="108" w:type="dxa"/>
          </w:tblCellMar>
        </w:tblPrEx>
        <w:trPr>
          <w:cantSplit/>
          <w:trHeight w:val="300" w:hRule="atLeast"/>
          <w:jc w:val="center"/>
        </w:trPr>
        <w:tc>
          <w:tcPr>
            <w:tcW w:w="2320" w:type="dxa"/>
            <w:tcBorders>
              <w:top w:val="nil"/>
              <w:left w:val="single" w:color="auto" w:sz="8" w:space="0"/>
              <w:bottom w:val="single" w:color="auto" w:sz="8" w:space="0"/>
              <w:right w:val="single" w:color="auto" w:sz="4" w:space="0"/>
            </w:tcBorders>
            <w:noWrap w:val="0"/>
            <w:vAlign w:val="center"/>
          </w:tcPr>
          <w:p>
            <w:pPr>
              <w:jc w:val="center"/>
              <w:rPr>
                <w:rFonts w:ascii="Times New Roman" w:hAnsi="Times New Roman" w:cs="Times New Roman"/>
                <w:szCs w:val="21"/>
              </w:rPr>
            </w:pPr>
            <w:r>
              <w:rPr>
                <w:rFonts w:ascii="Times New Roman" w:hAnsi="Times New Roman" w:cs="Times New Roman"/>
                <w:szCs w:val="21"/>
              </w:rPr>
              <w:t>能耗降低幅度</w:t>
            </w:r>
          </w:p>
        </w:tc>
        <w:tc>
          <w:tcPr>
            <w:tcW w:w="1569" w:type="dxa"/>
            <w:tcBorders>
              <w:top w:val="nil"/>
              <w:left w:val="nil"/>
              <w:bottom w:val="single" w:color="auto" w:sz="8" w:space="0"/>
              <w:right w:val="single" w:color="auto" w:sz="4" w:space="0"/>
            </w:tcBorders>
            <w:noWrap w:val="0"/>
            <w:vAlign w:val="center"/>
          </w:tcPr>
          <w:p>
            <w:pPr>
              <w:jc w:val="center"/>
              <w:rPr>
                <w:rFonts w:ascii="Times New Roman" w:hAnsi="Times New Roman" w:cs="Times New Roman"/>
                <w:szCs w:val="21"/>
              </w:rPr>
            </w:pPr>
            <w:r>
              <w:rPr>
                <w:rFonts w:hint="eastAsia" w:ascii="Times New Roman" w:hAnsi="Times New Roman" w:cs="Times New Roman"/>
                <w:szCs w:val="21"/>
              </w:rPr>
              <w:t>%</w:t>
            </w:r>
          </w:p>
        </w:tc>
        <w:tc>
          <w:tcPr>
            <w:tcW w:w="4153" w:type="dxa"/>
            <w:gridSpan w:val="2"/>
            <w:tcBorders>
              <w:top w:val="nil"/>
              <w:left w:val="nil"/>
              <w:bottom w:val="single" w:color="auto" w:sz="8" w:space="0"/>
              <w:right w:val="single" w:color="auto" w:sz="8" w:space="0"/>
            </w:tcBorders>
            <w:noWrap w:val="0"/>
            <w:vAlign w:val="center"/>
          </w:tcPr>
          <w:p>
            <w:pPr>
              <w:pStyle w:val="27"/>
              <w:spacing w:line="288" w:lineRule="auto"/>
              <w:ind w:firstLine="360"/>
              <w:jc w:val="center"/>
              <w:outlineLvl w:val="9"/>
              <w:rPr>
                <w:sz w:val="21"/>
                <w:szCs w:val="21"/>
              </w:rPr>
            </w:pPr>
            <w:r>
              <w:rPr>
                <w:rFonts w:hint="eastAsia"/>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pPr>
        <w:pStyle w:val="29"/>
        <w:spacing w:line="240" w:lineRule="auto"/>
        <w:ind w:firstLine="0" w:firstLineChars="0"/>
      </w:pPr>
      <w:r>
        <w:rPr>
          <w:rFonts w:hint="eastAsia"/>
          <w:szCs w:val="21"/>
        </w:rPr>
        <w:t>1）暖通竣工图及设计说明、应</w:t>
      </w:r>
      <w:r>
        <w:rPr>
          <w:szCs w:val="21"/>
        </w:rPr>
        <w:t>包含设备材料表</w:t>
      </w:r>
      <w:r>
        <w:rPr>
          <w:rFonts w:hint="eastAsia" w:cs="宋体"/>
          <w:szCs w:val="21"/>
        </w:rPr>
        <w:t>；</w:t>
      </w:r>
    </w:p>
    <w:p>
      <w:pPr>
        <w:pStyle w:val="29"/>
        <w:spacing w:line="240" w:lineRule="auto"/>
        <w:ind w:firstLine="0" w:firstLineChars="0"/>
        <w:rPr>
          <w:rFonts w:cs="宋体"/>
        </w:rPr>
      </w:pPr>
      <w:r>
        <w:rPr>
          <w:rFonts w:hint="eastAsia"/>
          <w:szCs w:val="21"/>
        </w:rPr>
        <w:t>2）供暖空调系统能耗节能率分析报告</w:t>
      </w:r>
      <w:r>
        <w:rPr>
          <w:rFonts w:hint="eastAsia" w:cs="宋体"/>
          <w:szCs w:val="21"/>
        </w:rPr>
        <w:t>；</w:t>
      </w:r>
    </w:p>
    <w:p>
      <w:pPr>
        <w:pStyle w:val="29"/>
        <w:ind w:firstLine="0" w:firstLineChars="0"/>
        <w:rPr>
          <w:szCs w:val="21"/>
        </w:rPr>
      </w:pPr>
      <w:r>
        <w:rPr>
          <w:rFonts w:hint="eastAsia"/>
          <w:szCs w:val="21"/>
        </w:rPr>
        <w:t>3）节能计算书。</w:t>
      </w:r>
    </w:p>
    <w:p>
      <w:pPr>
        <w:pStyle w:val="29"/>
        <w:ind w:firstLine="0" w:firstLineChars="0"/>
      </w:pPr>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9.2.2 采用适宜地区特色的建筑风貌设计，因地制宜传承地域建筑文化。（20分）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因地制宜传承地域建筑文化</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1"/>
          <w:szCs w:val="21"/>
        </w:rPr>
      </w:pPr>
      <w:r>
        <w:rPr>
          <w:rFonts w:hint="eastAsia"/>
          <w:sz w:val="21"/>
          <w:szCs w:val="21"/>
        </w:rPr>
        <w:t>项目所在城市</w:t>
      </w:r>
      <w:r>
        <w:rPr>
          <w:rFonts w:hint="eastAsia"/>
          <w:sz w:val="21"/>
          <w:szCs w:val="21"/>
          <w:u w:val="single"/>
        </w:rPr>
        <w:t xml:space="preserve">       江苏省常州市        </w:t>
      </w:r>
      <w:r>
        <w:rPr>
          <w:rFonts w:hint="eastAsia"/>
          <w:sz w:val="21"/>
          <w:szCs w:val="21"/>
        </w:rPr>
        <w:t>，该地区建筑风貌特色为</w:t>
      </w:r>
      <w:r>
        <w:rPr>
          <w:rFonts w:hint="eastAsia"/>
          <w:sz w:val="21"/>
          <w:szCs w:val="21"/>
          <w:u w:val="single"/>
        </w:rPr>
        <w:t xml:space="preserve">   名城古都  </w:t>
      </w:r>
      <w:r>
        <w:rPr>
          <w:rFonts w:hint="eastAsia"/>
          <w:sz w:val="21"/>
          <w:szCs w:val="21"/>
        </w:rPr>
        <w:t>。</w:t>
      </w:r>
    </w:p>
    <w:p>
      <w:pPr>
        <w:pStyle w:val="11"/>
        <w:spacing w:before="0" w:beforeAutospacing="0" w:after="0" w:afterAutospacing="0"/>
        <w:jc w:val="both"/>
      </w:pPr>
      <w:r>
        <w:rPr>
          <w:rFonts w:hint="eastAsia"/>
          <w:sz w:val="21"/>
          <w:szCs w:val="21"/>
        </w:rPr>
        <w:t>请简要说明项目设计如何适宜地区特色的建筑风貌以及传承建筑文化。</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spacing w:before="100" w:beforeAutospacing="1" w:after="100" w:afterAutospacing="1"/>
              <w:rPr>
                <w:rFonts w:hint="eastAsia"/>
              </w:rPr>
            </w:pPr>
            <w:r>
              <w:rPr>
                <w:rFonts w:hint="eastAsia"/>
                <w:b/>
                <w:bCs/>
              </w:rPr>
              <w:t>常州，素有“中吴要辅八邑名都”的美誉。古老的大运河穿城而过，汤汤河水孕育着千年的文明，让常州这座旅游明星城熠熠生辉。</w:t>
            </w:r>
          </w:p>
          <w:p>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1</w:t>
      </w:r>
      <w:r>
        <w:rPr>
          <w:rFonts w:hint="eastAsia"/>
          <w:sz w:val="21"/>
          <w:szCs w:val="21"/>
        </w:rPr>
        <w:t>）建筑专业竣工图及设计说明；</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2</w:t>
      </w:r>
      <w:r>
        <w:rPr>
          <w:rFonts w:hint="eastAsia"/>
          <w:sz w:val="21"/>
          <w:szCs w:val="21"/>
        </w:rPr>
        <w:t>）方案设计及传承建筑文化的专项论证报告；</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3</w:t>
      </w:r>
      <w:r>
        <w:rPr>
          <w:rFonts w:hint="eastAsia"/>
          <w:sz w:val="21"/>
          <w:szCs w:val="21"/>
        </w:rPr>
        <w:t>）项目实际影像资料。</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建筑专业图纸及设计说明：3建筑设计/ 建筑专业图纸及设计说明/</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9.2.3 合理选用废弃场地进行建设，或充分利尚可使用的旧建筑。（8分）</w:t>
      </w:r>
    </w:p>
    <w:p>
      <w:pPr>
        <w:spacing w:before="120" w:beforeLines="50" w:after="120" w:afterLines="50"/>
        <w:rPr>
          <w:rFonts w:ascii="Times New Roman" w:hAnsi="Times New Roman" w:cs="Times New Roman"/>
          <w:b/>
          <w:szCs w:val="21"/>
        </w:rPr>
      </w:pPr>
      <w:r>
        <w:rPr>
          <w:rFonts w:ascii="Times New Roman" w:hAnsi="Times New Roman" w:cs="Times New Roman"/>
          <w:b/>
          <w:szCs w:val="21"/>
        </w:rPr>
        <w:t>1 得分自评</w:t>
      </w:r>
    </w:p>
    <w:tbl>
      <w:tblPr>
        <w:tblStyle w:val="13"/>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noWrap w:val="0"/>
            <w:vAlign w:val="top"/>
          </w:tcPr>
          <w:p>
            <w:pPr>
              <w:jc w:val="center"/>
              <w:rPr>
                <w:rFonts w:ascii="Times New Roman" w:hAnsi="Times New Roman" w:cs="Times New Roman"/>
                <w:szCs w:val="21"/>
              </w:rPr>
            </w:pPr>
            <w:r>
              <w:rPr>
                <w:rFonts w:ascii="Times New Roman" w:hAnsi="Times New Roman" w:cs="Times New Roman"/>
                <w:szCs w:val="21"/>
              </w:rPr>
              <w:t>序号</w:t>
            </w:r>
          </w:p>
        </w:tc>
        <w:tc>
          <w:tcPr>
            <w:tcW w:w="2727" w:type="pct"/>
            <w:noWrap w:val="0"/>
            <w:vAlign w:val="top"/>
          </w:tcPr>
          <w:p>
            <w:pPr>
              <w:jc w:val="center"/>
              <w:rPr>
                <w:rFonts w:ascii="Times New Roman" w:hAnsi="Times New Roman" w:cs="Times New Roman"/>
                <w:szCs w:val="21"/>
              </w:rPr>
            </w:pPr>
            <w:r>
              <w:rPr>
                <w:rFonts w:ascii="Times New Roman" w:hAnsi="Times New Roman" w:cs="Times New Roman"/>
                <w:szCs w:val="21"/>
              </w:rPr>
              <w:t>评价内容</w:t>
            </w:r>
          </w:p>
        </w:tc>
        <w:tc>
          <w:tcPr>
            <w:tcW w:w="984" w:type="pct"/>
            <w:noWrap w:val="0"/>
            <w:vAlign w:val="top"/>
          </w:tcPr>
          <w:p>
            <w:pPr>
              <w:jc w:val="center"/>
              <w:rPr>
                <w:rFonts w:ascii="Times New Roman" w:hAnsi="Times New Roman" w:cs="Times New Roman"/>
                <w:szCs w:val="21"/>
              </w:rPr>
            </w:pPr>
            <w:r>
              <w:rPr>
                <w:rFonts w:ascii="Times New Roman" w:hAnsi="Times New Roman" w:cs="Times New Roman"/>
                <w:szCs w:val="21"/>
              </w:rPr>
              <w:t>评价分值</w:t>
            </w:r>
          </w:p>
        </w:tc>
        <w:tc>
          <w:tcPr>
            <w:tcW w:w="834" w:type="pct"/>
            <w:noWrap w:val="0"/>
            <w:vAlign w:val="top"/>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noWrap w:val="0"/>
            <w:vAlign w:val="center"/>
          </w:tcPr>
          <w:p>
            <w:pPr>
              <w:jc w:val="center"/>
              <w:rPr>
                <w:rFonts w:ascii="Times New Roman" w:hAnsi="Times New Roman" w:cs="Times New Roman"/>
                <w:szCs w:val="21"/>
              </w:rPr>
            </w:pPr>
            <w:r>
              <w:rPr>
                <w:rFonts w:ascii="Times New Roman" w:hAnsi="Times New Roman" w:cs="Times New Roman"/>
                <w:szCs w:val="21"/>
              </w:rPr>
              <w:t>1</w:t>
            </w:r>
          </w:p>
        </w:tc>
        <w:tc>
          <w:tcPr>
            <w:tcW w:w="2727" w:type="pct"/>
            <w:noWrap w:val="0"/>
            <w:vAlign w:val="center"/>
          </w:tcPr>
          <w:p>
            <w:pPr>
              <w:rPr>
                <w:rFonts w:ascii="Times New Roman" w:hAnsi="Times New Roman" w:cs="Times New Roman"/>
                <w:szCs w:val="21"/>
              </w:rPr>
            </w:pPr>
            <w:r>
              <w:rPr>
                <w:rFonts w:ascii="Times New Roman" w:hAnsi="Times New Roman" w:cs="Times New Roman"/>
                <w:szCs w:val="21"/>
              </w:rPr>
              <w:t>合理选用废弃场地进行建设，或充分利尚可使用的旧建筑</w:t>
            </w:r>
          </w:p>
        </w:tc>
        <w:tc>
          <w:tcPr>
            <w:tcW w:w="984" w:type="pct"/>
            <w:noWrap w:val="0"/>
            <w:vAlign w:val="center"/>
          </w:tcPr>
          <w:p>
            <w:pPr>
              <w:jc w:val="center"/>
              <w:rPr>
                <w:rFonts w:ascii="Times New Roman" w:hAnsi="Times New Roman" w:cs="Times New Roman"/>
                <w:szCs w:val="21"/>
              </w:rPr>
            </w:pPr>
            <w:r>
              <w:rPr>
                <w:rFonts w:ascii="Times New Roman" w:hAnsi="Times New Roman" w:cs="Times New Roman"/>
                <w:szCs w:val="21"/>
              </w:rPr>
              <w:t>8</w:t>
            </w:r>
          </w:p>
        </w:tc>
        <w:tc>
          <w:tcPr>
            <w:tcW w:w="834" w:type="pct"/>
            <w:noWrap w:val="0"/>
            <w:vAlign w:val="center"/>
          </w:tcPr>
          <w:p>
            <w:pPr>
              <w:jc w:val="center"/>
              <w:rPr>
                <w:rFonts w:ascii="Times New Roman" w:hAnsi="Times New Roman" w:cs="Times New Roman"/>
                <w:szCs w:val="21"/>
              </w:rPr>
            </w:pPr>
            <w:r>
              <w:rPr>
                <w:rFonts w:hint="eastAsia" w:ascii="Times New Roman" w:hAnsi="Times New Roman" w:cs="Times New Roman"/>
                <w:szCs w:val="21"/>
              </w:rPr>
              <w:t xml:space="preserve">  </w:t>
            </w: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2 评价要点</w:t>
      </w:r>
    </w:p>
    <w:p>
      <w:pPr>
        <w:rPr>
          <w:lang w:val="zh-CN"/>
        </w:rPr>
      </w:pPr>
      <w:r>
        <w:rPr>
          <w:rFonts w:hint="eastAsia"/>
          <w:lang w:val="zh-CN"/>
        </w:rPr>
        <w:t>1）项目建设是否利用了废弃场地：</w:t>
      </w:r>
      <w:r>
        <w:rPr>
          <w:rFonts w:hint="eastAsia"/>
          <w:sz w:val="28"/>
        </w:rPr>
        <w:sym w:font="Wingdings 2" w:char="F0A3"/>
      </w:r>
      <w:r>
        <w:rPr>
          <w:rFonts w:hint="eastAsia"/>
          <w:lang w:val="zh-CN"/>
        </w:rPr>
        <w:t>是、</w:t>
      </w:r>
      <w:r>
        <w:rPr>
          <w:rFonts w:hint="eastAsia"/>
          <w:sz w:val="28"/>
        </w:rPr>
        <w:sym w:font="Wingdings 2" w:char="F0A3"/>
      </w:r>
      <w:r>
        <w:rPr>
          <w:rFonts w:hint="eastAsia"/>
          <w:lang w:val="zh-CN"/>
        </w:rPr>
        <w:t>否，如是，废弃场地属于：</w:t>
      </w:r>
      <w:r>
        <w:rPr>
          <w:rFonts w:hint="eastAsia"/>
          <w:sz w:val="28"/>
        </w:rPr>
        <w:sym w:font="Wingdings 2" w:char="F0A3"/>
      </w:r>
      <w:r>
        <w:rPr>
          <w:rFonts w:hint="eastAsia"/>
          <w:lang w:val="zh-CN"/>
        </w:rPr>
        <w:t>不可建设用地、</w:t>
      </w:r>
      <w:r>
        <w:rPr>
          <w:rFonts w:hint="eastAsia"/>
          <w:sz w:val="28"/>
        </w:rPr>
        <w:sym w:font="Wingdings 2" w:char="F0A3"/>
      </w:r>
      <w:r>
        <w:rPr>
          <w:rFonts w:hint="eastAsia"/>
          <w:lang w:val="zh-CN"/>
        </w:rPr>
        <w:t>工厂弃置地、</w:t>
      </w:r>
      <w:r>
        <w:rPr>
          <w:rFonts w:hint="eastAsia"/>
          <w:sz w:val="28"/>
        </w:rPr>
        <w:sym w:font="Wingdings 2" w:char="F0A3"/>
      </w:r>
      <w:r>
        <w:rPr>
          <w:rFonts w:hint="eastAsia"/>
          <w:lang w:val="zh-CN"/>
        </w:rPr>
        <w:t>其他</w:t>
      </w:r>
      <w:r>
        <w:rPr>
          <w:rFonts w:hint="eastAsia"/>
          <w:u w:val="single"/>
          <w:lang w:val="zh-CN"/>
        </w:rPr>
        <w:t xml:space="preserve"> </w:t>
      </w:r>
      <w:r>
        <w:rPr>
          <w:u w:val="single"/>
          <w:lang w:val="zh-CN"/>
        </w:rPr>
        <w:t xml:space="preserve">                 </w:t>
      </w:r>
      <w:r>
        <w:rPr>
          <w:rFonts w:hint="eastAsia"/>
          <w:lang w:val="zh-CN"/>
        </w:rPr>
        <w:t>。对原有场地是否进行检测或处理：</w:t>
      </w:r>
      <w:r>
        <w:rPr>
          <w:rFonts w:hint="eastAsia"/>
          <w:sz w:val="28"/>
        </w:rPr>
        <w:sym w:font="Wingdings 2" w:char="F0A3"/>
      </w:r>
      <w:r>
        <w:rPr>
          <w:rFonts w:hint="eastAsia"/>
          <w:lang w:val="zh-CN"/>
        </w:rPr>
        <w:t>是、</w:t>
      </w:r>
      <w:r>
        <w:rPr>
          <w:rFonts w:hint="eastAsia"/>
          <w:sz w:val="28"/>
        </w:rPr>
        <w:sym w:font="Wingdings 2" w:char="F0A3"/>
      </w:r>
      <w:r>
        <w:rPr>
          <w:rFonts w:hint="eastAsia"/>
          <w:lang w:val="zh-CN"/>
        </w:rPr>
        <w:t>否。</w:t>
      </w:r>
    </w:p>
    <w:p>
      <w:pPr>
        <w:rPr>
          <w:lang w:val="zh-CN"/>
        </w:rPr>
      </w:pPr>
      <w:r>
        <w:rPr>
          <w:rFonts w:hint="eastAsia"/>
          <w:lang w:val="zh-CN"/>
        </w:rPr>
        <w:t>2）项目建设是否利用了旧建筑：</w:t>
      </w:r>
      <w:r>
        <w:rPr>
          <w:rFonts w:hint="eastAsia"/>
          <w:sz w:val="28"/>
        </w:rPr>
        <w:sym w:font="Wingdings 2" w:char="F0A3"/>
      </w:r>
      <w:r>
        <w:rPr>
          <w:rFonts w:hint="eastAsia"/>
          <w:lang w:val="zh-CN"/>
        </w:rPr>
        <w:t>是、</w:t>
      </w:r>
      <w:r>
        <w:rPr>
          <w:rFonts w:hint="eastAsia"/>
          <w:sz w:val="28"/>
        </w:rPr>
        <w:sym w:font="Wingdings 2" w:char="F0A3"/>
      </w:r>
      <w:r>
        <w:rPr>
          <w:rFonts w:hint="eastAsia"/>
          <w:lang w:val="zh-CN"/>
        </w:rPr>
        <w:t>否，如是，旧建筑利用属于：</w:t>
      </w:r>
      <w:r>
        <w:rPr>
          <w:rFonts w:hint="eastAsia"/>
          <w:sz w:val="28"/>
        </w:rPr>
        <w:sym w:font="Wingdings 2" w:char="F0A3"/>
      </w:r>
      <w:r>
        <w:rPr>
          <w:rFonts w:hint="eastAsia"/>
          <w:lang w:val="zh-CN"/>
        </w:rPr>
        <w:t>翻建、</w:t>
      </w:r>
      <w:r>
        <w:rPr>
          <w:rFonts w:hint="eastAsia"/>
          <w:sz w:val="28"/>
        </w:rPr>
        <w:sym w:font="Wingdings 2" w:char="F0A3"/>
      </w:r>
      <w:r>
        <w:rPr>
          <w:rFonts w:hint="eastAsia"/>
          <w:lang w:val="zh-CN"/>
        </w:rPr>
        <w:t>改建、</w:t>
      </w:r>
      <w:r>
        <w:rPr>
          <w:rFonts w:hint="eastAsia"/>
          <w:sz w:val="28"/>
        </w:rPr>
        <w:sym w:font="Wingdings 2" w:char="F0A3"/>
      </w:r>
      <w:r>
        <w:rPr>
          <w:rFonts w:hint="eastAsia"/>
          <w:lang w:val="zh-CN"/>
        </w:rPr>
        <w:t>扩建。</w:t>
      </w:r>
    </w:p>
    <w:p>
      <w:pPr>
        <w:rPr>
          <w:rFonts w:ascii="Times New Roman" w:hAnsi="Times New Roman" w:cs="Times New Roman"/>
          <w:szCs w:val="21"/>
        </w:rPr>
      </w:pPr>
      <w:r>
        <w:rPr>
          <w:rFonts w:hint="eastAsia"/>
          <w:lang w:val="zh-CN"/>
        </w:rPr>
        <w:t>请简要说明</w:t>
      </w:r>
      <w:r>
        <w:rPr>
          <w:rFonts w:hint="eastAsia"/>
        </w:rPr>
        <w:t>项目建设选用废弃场地或尚可使用的旧建筑的实施情况。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shd w:val="clear" w:color="auto" w:fill="auto"/>
            <w:noWrap w:val="0"/>
            <w:vAlign w:val="top"/>
          </w:tcPr>
          <w:p>
            <w:pPr>
              <w:rPr>
                <w:szCs w:val="21"/>
              </w:rPr>
            </w:pPr>
          </w:p>
        </w:tc>
      </w:tr>
    </w:tbl>
    <w:p>
      <w:pPr>
        <w:spacing w:before="120" w:beforeLines="50" w:after="120" w:afterLines="50"/>
        <w:rPr>
          <w:rFonts w:ascii="Times New Roman" w:hAnsi="Times New Roman" w:cs="Times New Roman"/>
          <w:b/>
          <w:szCs w:val="21"/>
        </w:rPr>
      </w:pPr>
      <w:r>
        <w:rPr>
          <w:rFonts w:ascii="Times New Roman" w:hAnsi="Times New Roman" w:cs="Times New Roman"/>
          <w:b/>
          <w:szCs w:val="21"/>
        </w:rPr>
        <w:t>3 证明材料</w:t>
      </w:r>
    </w:p>
    <w:p>
      <w:pPr>
        <w:rPr>
          <w:rFonts w:ascii="Times New Roman" w:hAnsi="Times New Roman" w:cs="Times New Roman"/>
          <w:szCs w:val="21"/>
        </w:rPr>
      </w:pPr>
      <w:r>
        <w:rPr>
          <w:rFonts w:ascii="Times New Roman" w:hAnsi="Times New Roman" w:cs="Times New Roman"/>
          <w:szCs w:val="21"/>
        </w:rPr>
        <w:t>提交材料及要求：</w:t>
      </w:r>
    </w:p>
    <w:p>
      <w:pPr>
        <w:spacing w:line="288" w:lineRule="auto"/>
      </w:pPr>
      <w:r>
        <w:rPr>
          <w:rFonts w:hint="eastAsia"/>
        </w:rPr>
        <w:t>1）项目</w:t>
      </w:r>
      <w:r>
        <w:t>规划设计总平面图、</w:t>
      </w:r>
      <w:r>
        <w:rPr>
          <w:rFonts w:hint="eastAsia"/>
        </w:rPr>
        <w:t>场地地形图、环评报告表或环境影响自评估报告；</w:t>
      </w:r>
    </w:p>
    <w:p>
      <w:pPr>
        <w:spacing w:line="288" w:lineRule="auto"/>
      </w:pPr>
      <w:r>
        <w:rPr>
          <w:rFonts w:hint="eastAsia"/>
        </w:rPr>
        <w:t>2）旧建筑利用专项报告、结构检测报告；</w:t>
      </w:r>
    </w:p>
    <w:p>
      <w:pPr>
        <w:spacing w:line="288" w:lineRule="auto"/>
      </w:pPr>
      <w:r>
        <w:rPr>
          <w:rFonts w:hint="eastAsia"/>
        </w:rPr>
        <w:t>3）建筑、</w:t>
      </w:r>
      <w:r>
        <w:t>地基、结构专业</w:t>
      </w:r>
      <w:r>
        <w:rPr>
          <w:rFonts w:hint="eastAsia"/>
        </w:rPr>
        <w:t>竣工图及设计说明。</w:t>
      </w:r>
    </w:p>
    <w:p>
      <w:pPr>
        <w:spacing w:line="288" w:lineRule="auto"/>
      </w:pPr>
    </w:p>
    <w:p>
      <w:pPr>
        <w:rPr>
          <w:rFonts w:ascii="Times New Roman" w:hAnsi="Times New Roman" w:cs="Times New Roman"/>
          <w:szCs w:val="21"/>
        </w:rPr>
      </w:pPr>
      <w:r>
        <w:rPr>
          <w:rFonts w:ascii="Times New Roman" w:hAnsi="Times New Roman"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shd w:val="clear" w:color="auto" w:fill="auto"/>
            <w:noWrap w:val="0"/>
            <w:vAlign w:val="top"/>
          </w:tcPr>
          <w:p>
            <w:pPr>
              <w:rPr>
                <w:szCs w:val="21"/>
              </w:rPr>
            </w:pP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9.2.4 场地绿容率不低于3.0。（5分）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场地绿容率计算值不低于</w:t>
            </w:r>
            <w:r>
              <w:rPr>
                <w:rFonts w:ascii="Times New Roman" w:hAnsi="Times New Roman" w:cs="Times New Roman"/>
                <w:sz w:val="21"/>
                <w:szCs w:val="21"/>
              </w:rPr>
              <w:t>3.0</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场地绿容率实测值不低于</w:t>
            </w:r>
            <w:r>
              <w:rPr>
                <w:rFonts w:ascii="Times New Roman" w:hAnsi="Times New Roman" w:cs="Times New Roman"/>
                <w:sz w:val="21"/>
                <w:szCs w:val="21"/>
              </w:rPr>
              <w:t>3.0</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rPr>
                <w:rFonts w:hint="eastAsia" w:eastAsia="宋体"/>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5</w:t>
            </w:r>
          </w:p>
        </w:tc>
      </w:tr>
      <w:tr>
        <w:tblPrEx>
          <w:tblCellMar>
            <w:top w:w="0" w:type="dxa"/>
            <w:left w:w="0" w:type="dxa"/>
            <w:bottom w:w="0" w:type="dxa"/>
            <w:right w:w="0" w:type="dxa"/>
          </w:tblCellMar>
        </w:tblPrEx>
        <w:trPr>
          <w:trHeight w:val="237" w:hRule="atLeast"/>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rPr>
                <w:rFonts w:hint="eastAsia" w:eastAsia="宋体"/>
                <w:lang w:val="en-US" w:eastAsia="zh-CN"/>
              </w:rPr>
            </w:pPr>
            <w:r>
              <w:rPr>
                <w:rFonts w:ascii="Times New Roman" w:hAnsi="Times New Roman" w:cs="Times New Roman"/>
                <w:sz w:val="21"/>
                <w:szCs w:val="21"/>
              </w:rPr>
              <w:t> </w:t>
            </w:r>
            <w:r>
              <w:rPr>
                <w:rFonts w:hint="eastAsia" w:ascii="Times New Roman" w:hAnsi="Times New Roman" w:eastAsia="宋体" w:cs="Times New Roman"/>
                <w:sz w:val="21"/>
                <w:szCs w:val="21"/>
                <w:lang w:val="en-US" w:eastAsia="zh-CN"/>
              </w:rPr>
              <w:t>5</w:t>
            </w:r>
          </w:p>
        </w:tc>
      </w:tr>
      <w:tr>
        <w:tblPrEx>
          <w:tblCellMar>
            <w:top w:w="0" w:type="dxa"/>
            <w:left w:w="0" w:type="dxa"/>
            <w:bottom w:w="0" w:type="dxa"/>
            <w:right w:w="0" w:type="dxa"/>
          </w:tblCellMar>
        </w:tblPrEx>
        <w:trPr>
          <w:jc w:val="center"/>
        </w:trPr>
        <w:tc>
          <w:tcPr>
            <w:tcW w:w="709" w:type="dxa"/>
            <w:tcBorders>
              <w:top w:val="nil"/>
              <w:left w:val="nil"/>
              <w:bottom w:val="nil"/>
              <w:right w:val="nil"/>
            </w:tcBorders>
            <w:noWrap w:val="0"/>
            <w:vAlign w:val="center"/>
          </w:tcPr>
          <w:p>
            <w:pPr>
              <w:rPr>
                <w:sz w:val="1"/>
              </w:rPr>
            </w:pPr>
          </w:p>
        </w:tc>
        <w:tc>
          <w:tcPr>
            <w:tcW w:w="4250"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1"/>
          <w:szCs w:val="21"/>
        </w:rPr>
      </w:pPr>
      <w:r>
        <w:rPr>
          <w:rFonts w:hint="eastAsia"/>
          <w:sz w:val="21"/>
          <w:szCs w:val="21"/>
        </w:rPr>
        <w:t>场地乔木叶面积指数：</w:t>
      </w:r>
      <w:r>
        <w:rPr>
          <w:rFonts w:hint="eastAsia"/>
          <w:sz w:val="21"/>
          <w:szCs w:val="21"/>
          <w:u w:val="single"/>
        </w:rPr>
        <w:t xml:space="preserve">             </w:t>
      </w:r>
      <w:r>
        <w:rPr>
          <w:rFonts w:hint="eastAsia"/>
          <w:sz w:val="21"/>
          <w:szCs w:val="21"/>
        </w:rPr>
        <w:t>    场地乔木投影面积：</w:t>
      </w:r>
      <w:r>
        <w:rPr>
          <w:rFonts w:hint="eastAsia"/>
          <w:sz w:val="21"/>
          <w:szCs w:val="21"/>
          <w:u w:val="single"/>
        </w:rPr>
        <w:t xml:space="preserve">            </w:t>
      </w:r>
      <w:r>
        <w:rPr>
          <w:rFonts w:ascii="Calibri" w:hAnsi="Calibri"/>
          <w:sz w:val="21"/>
          <w:szCs w:val="21"/>
        </w:rPr>
        <w:t>m</w:t>
      </w:r>
      <w:r>
        <w:rPr>
          <w:rFonts w:ascii="Calibri" w:hAnsi="Calibri"/>
          <w:sz w:val="14"/>
          <w:szCs w:val="14"/>
          <w:vertAlign w:val="superscript"/>
        </w:rPr>
        <w:t>2</w:t>
      </w:r>
    </w:p>
    <w:p>
      <w:pPr>
        <w:pStyle w:val="11"/>
        <w:spacing w:before="0" w:beforeAutospacing="0" w:after="0" w:afterAutospacing="0" w:line="288" w:lineRule="auto"/>
        <w:jc w:val="both"/>
        <w:rPr>
          <w:sz w:val="21"/>
          <w:szCs w:val="21"/>
        </w:rPr>
      </w:pPr>
      <w:r>
        <w:rPr>
          <w:rFonts w:hint="eastAsia"/>
          <w:sz w:val="21"/>
          <w:szCs w:val="21"/>
        </w:rPr>
        <w:t>场地乔木株数：</w:t>
      </w:r>
      <w:r>
        <w:rPr>
          <w:rFonts w:hint="eastAsia"/>
          <w:sz w:val="21"/>
          <w:szCs w:val="21"/>
          <w:u w:val="single"/>
        </w:rPr>
        <w:t xml:space="preserve">           </w:t>
      </w:r>
      <w:r>
        <w:rPr>
          <w:rFonts w:hint="eastAsia"/>
          <w:sz w:val="14"/>
          <w:szCs w:val="14"/>
          <w:vertAlign w:val="superscript"/>
        </w:rPr>
        <w:t>         </w:t>
      </w:r>
      <w:r>
        <w:rPr>
          <w:rFonts w:hint="eastAsia"/>
          <w:sz w:val="21"/>
          <w:szCs w:val="21"/>
        </w:rPr>
        <w:t>场地灌木占地面积：</w:t>
      </w:r>
      <w:r>
        <w:rPr>
          <w:rFonts w:hint="eastAsia"/>
          <w:sz w:val="21"/>
          <w:szCs w:val="21"/>
          <w:u w:val="single"/>
        </w:rPr>
        <w:t xml:space="preserve">            </w:t>
      </w:r>
      <w:r>
        <w:rPr>
          <w:rFonts w:ascii="Calibri" w:hAnsi="Calibri"/>
          <w:sz w:val="21"/>
          <w:szCs w:val="21"/>
        </w:rPr>
        <w:t>m</w:t>
      </w:r>
      <w:r>
        <w:rPr>
          <w:rFonts w:ascii="Calibri" w:hAnsi="Calibri"/>
          <w:sz w:val="14"/>
          <w:szCs w:val="14"/>
          <w:vertAlign w:val="superscript"/>
        </w:rPr>
        <w:t>2</w:t>
      </w:r>
    </w:p>
    <w:p>
      <w:pPr>
        <w:pStyle w:val="11"/>
        <w:spacing w:before="0" w:beforeAutospacing="0" w:after="0" w:afterAutospacing="0" w:line="288" w:lineRule="auto"/>
        <w:jc w:val="both"/>
        <w:rPr>
          <w:sz w:val="21"/>
          <w:szCs w:val="21"/>
        </w:rPr>
      </w:pPr>
      <w:r>
        <w:rPr>
          <w:rFonts w:hint="eastAsia"/>
          <w:sz w:val="21"/>
          <w:szCs w:val="21"/>
        </w:rPr>
        <w:t>草地面积：</w:t>
      </w:r>
      <w:r>
        <w:rPr>
          <w:rFonts w:hint="eastAsia"/>
          <w:sz w:val="21"/>
          <w:szCs w:val="21"/>
          <w:u w:val="single"/>
        </w:rPr>
        <w:t xml:space="preserve">      3200       </w:t>
      </w:r>
      <w:r>
        <w:rPr>
          <w:rFonts w:ascii="Calibri" w:hAnsi="Calibri"/>
          <w:sz w:val="21"/>
          <w:szCs w:val="21"/>
        </w:rPr>
        <w:t>m</w:t>
      </w:r>
      <w:r>
        <w:rPr>
          <w:rFonts w:ascii="Calibri" w:hAnsi="Calibri"/>
          <w:sz w:val="14"/>
          <w:szCs w:val="14"/>
          <w:vertAlign w:val="superscript"/>
        </w:rPr>
        <w:t xml:space="preserve">2                  </w:t>
      </w:r>
      <w:r>
        <w:rPr>
          <w:rFonts w:hint="eastAsia"/>
          <w:sz w:val="14"/>
          <w:szCs w:val="14"/>
          <w:vertAlign w:val="superscript"/>
        </w:rPr>
        <w:t xml:space="preserve">      </w:t>
      </w:r>
      <w:r>
        <w:rPr>
          <w:rFonts w:hint="eastAsia"/>
          <w:sz w:val="21"/>
          <w:szCs w:val="21"/>
        </w:rPr>
        <w:t>场地面积：</w:t>
      </w:r>
      <w:r>
        <w:rPr>
          <w:rFonts w:hint="eastAsia"/>
          <w:sz w:val="21"/>
          <w:szCs w:val="21"/>
          <w:u w:val="single"/>
        </w:rPr>
        <w:t xml:space="preserve">     9253        </w:t>
      </w:r>
      <w:r>
        <w:rPr>
          <w:rFonts w:ascii="Calibri" w:hAnsi="Calibri"/>
          <w:sz w:val="21"/>
          <w:szCs w:val="21"/>
        </w:rPr>
        <w:t>m</w:t>
      </w:r>
      <w:r>
        <w:rPr>
          <w:rFonts w:ascii="Calibri" w:hAnsi="Calibri"/>
          <w:sz w:val="14"/>
          <w:szCs w:val="14"/>
          <w:vertAlign w:val="superscript"/>
        </w:rPr>
        <w:t>2</w:t>
      </w:r>
    </w:p>
    <w:p>
      <w:pPr>
        <w:pStyle w:val="11"/>
        <w:spacing w:before="0" w:beforeAutospacing="0" w:after="0" w:afterAutospacing="0" w:line="288" w:lineRule="auto"/>
        <w:jc w:val="both"/>
        <w:rPr>
          <w:sz w:val="21"/>
          <w:szCs w:val="21"/>
        </w:rPr>
      </w:pPr>
      <w:r>
        <w:rPr>
          <w:rFonts w:hint="eastAsia"/>
          <w:sz w:val="21"/>
          <w:szCs w:val="21"/>
        </w:rPr>
        <w:t>场地绿容率：</w:t>
      </w:r>
      <w:r>
        <w:rPr>
          <w:rFonts w:hint="eastAsia"/>
          <w:sz w:val="21"/>
          <w:szCs w:val="21"/>
          <w:u w:val="single"/>
        </w:rPr>
        <w:t xml:space="preserve">     0.</w:t>
      </w:r>
      <w:r>
        <w:rPr>
          <w:rFonts w:hint="eastAsia" w:eastAsia="宋体"/>
          <w:sz w:val="21"/>
          <w:szCs w:val="21"/>
          <w:u w:val="single"/>
          <w:lang w:val="en-US" w:eastAsia="zh-CN"/>
        </w:rPr>
        <w:t>3</w:t>
      </w:r>
      <w:r>
        <w:rPr>
          <w:rFonts w:hint="eastAsia"/>
          <w:sz w:val="21"/>
          <w:szCs w:val="21"/>
          <w:u w:val="single"/>
        </w:rPr>
        <w:t xml:space="preserve">4        </w:t>
      </w:r>
      <w:r>
        <w:rPr>
          <w:rFonts w:hint="eastAsia"/>
          <w:sz w:val="21"/>
          <w:szCs w:val="21"/>
        </w:rPr>
        <w:t> </w:t>
      </w:r>
    </w:p>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line="288" w:lineRule="auto"/>
        <w:jc w:val="both"/>
        <w:rPr>
          <w:sz w:val="21"/>
          <w:szCs w:val="21"/>
        </w:rPr>
      </w:pPr>
      <w:r>
        <w:rPr>
          <w:rFonts w:ascii="Calibri" w:hAnsi="Calibri"/>
          <w:sz w:val="21"/>
          <w:szCs w:val="21"/>
        </w:rPr>
        <w:t>1</w:t>
      </w:r>
      <w:r>
        <w:rPr>
          <w:rFonts w:hint="eastAsia"/>
          <w:sz w:val="21"/>
          <w:szCs w:val="21"/>
        </w:rPr>
        <w:t>）景观专业竣工图及设计说明，应包含绿化种植平面图、苗木表等；</w:t>
      </w:r>
    </w:p>
    <w:p>
      <w:pPr>
        <w:pStyle w:val="11"/>
        <w:spacing w:before="0" w:beforeAutospacing="0" w:after="0" w:afterAutospacing="0" w:line="288" w:lineRule="auto"/>
        <w:jc w:val="both"/>
        <w:rPr>
          <w:sz w:val="21"/>
          <w:szCs w:val="21"/>
        </w:rPr>
      </w:pPr>
      <w:r>
        <w:rPr>
          <w:rFonts w:ascii="Calibri" w:hAnsi="Calibri"/>
          <w:sz w:val="21"/>
          <w:szCs w:val="21"/>
        </w:rPr>
        <w:t>2</w:t>
      </w:r>
      <w:r>
        <w:rPr>
          <w:rFonts w:hint="eastAsia"/>
          <w:sz w:val="21"/>
          <w:szCs w:val="21"/>
        </w:rPr>
        <w:t>）绿容率计算书或植被叶面积测量报告、当地叶面积调研数据相关证明材料等。</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9.2.5 采用符合工业化建造要求的结构体系与建筑构件。（10分）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主体结构采用钢结构、木结构</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主体结构采用装配式混凝土结构，地上部分预制构件应用混凝土体积占混凝土总体积的比例达到</w:t>
            </w:r>
            <w:r>
              <w:rPr>
                <w:rFonts w:ascii="Times New Roman" w:hAnsi="Times New Roman" w:cs="Times New Roman"/>
                <w:sz w:val="21"/>
                <w:szCs w:val="21"/>
              </w:rPr>
              <w:t>35%</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主体结构采用装配式混凝土结构，地上部分预制构件应用混凝土体积占混凝土总体积的比例达到</w:t>
            </w:r>
            <w:r>
              <w:rPr>
                <w:rFonts w:ascii="Times New Roman" w:hAnsi="Times New Roman" w:cs="Times New Roman"/>
                <w:sz w:val="21"/>
                <w:szCs w:val="21"/>
              </w:rPr>
              <w:t>50%</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10 </w:t>
            </w:r>
          </w:p>
        </w:tc>
      </w:tr>
      <w:tr>
        <w:tblPrEx>
          <w:tblCellMar>
            <w:top w:w="0" w:type="dxa"/>
            <w:left w:w="0" w:type="dxa"/>
            <w:bottom w:w="0" w:type="dxa"/>
            <w:right w:w="0" w:type="dxa"/>
          </w:tblCellMar>
        </w:tblPrEx>
        <w:trPr>
          <w:trHeight w:val="237" w:hRule="atLeast"/>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jc w:val="center"/>
        </w:trPr>
        <w:tc>
          <w:tcPr>
            <w:tcW w:w="709" w:type="dxa"/>
            <w:tcBorders>
              <w:top w:val="nil"/>
              <w:left w:val="nil"/>
              <w:bottom w:val="nil"/>
              <w:right w:val="nil"/>
            </w:tcBorders>
            <w:noWrap w:val="0"/>
            <w:vAlign w:val="center"/>
          </w:tcPr>
          <w:p>
            <w:pPr>
              <w:rPr>
                <w:sz w:val="1"/>
              </w:rPr>
            </w:pPr>
          </w:p>
        </w:tc>
        <w:tc>
          <w:tcPr>
            <w:tcW w:w="4250"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8"/>
          <w:szCs w:val="28"/>
        </w:rPr>
      </w:pPr>
      <w:r>
        <w:rPr>
          <w:rFonts w:hint="eastAsia"/>
          <w:sz w:val="21"/>
          <w:szCs w:val="21"/>
        </w:rPr>
        <w:t>建筑主体结构采用：</w:t>
      </w:r>
      <w:r>
        <w:rPr>
          <w:rStyle w:val="25"/>
          <w:rFonts w:hint="eastAsia" w:ascii="MS Mincho" w:hAnsi="MS Mincho" w:eastAsia="MS Mincho" w:cs="MS Mincho"/>
          <w:sz w:val="28"/>
          <w:szCs w:val="28"/>
        </w:rPr>
        <w:t>☐</w:t>
      </w:r>
      <w:r>
        <w:rPr>
          <w:rFonts w:hint="eastAsia"/>
          <w:sz w:val="21"/>
          <w:szCs w:val="21"/>
        </w:rPr>
        <w:t>钢结构、</w:t>
      </w:r>
      <w:r>
        <w:rPr>
          <w:rFonts w:hint="eastAsia"/>
          <w:b/>
          <w:bCs/>
          <w:sz w:val="21"/>
          <w:szCs w:val="21"/>
        </w:rPr>
        <w:t xml:space="preserve"> </w:t>
      </w:r>
      <w:r>
        <w:rPr>
          <w:rStyle w:val="25"/>
          <w:rFonts w:hint="eastAsia" w:ascii="MS Mincho" w:hAnsi="MS Mincho" w:eastAsia="MS Mincho" w:cs="MS Mincho"/>
          <w:sz w:val="28"/>
          <w:szCs w:val="28"/>
        </w:rPr>
        <w:t>☐</w:t>
      </w:r>
      <w:r>
        <w:rPr>
          <w:rFonts w:hint="eastAsia"/>
          <w:sz w:val="21"/>
          <w:szCs w:val="21"/>
        </w:rPr>
        <w:t xml:space="preserve">木结构、 </w:t>
      </w:r>
      <w:r>
        <w:rPr>
          <w:rStyle w:val="25"/>
          <w:rFonts w:hint="eastAsia" w:ascii="MS Mincho" w:hAnsi="MS Mincho" w:eastAsia="MS Mincho" w:cs="MS Mincho"/>
          <w:sz w:val="28"/>
          <w:szCs w:val="28"/>
        </w:rPr>
        <w:t>☑</w:t>
      </w:r>
      <w:r>
        <w:rPr>
          <w:rFonts w:hint="eastAsia"/>
          <w:sz w:val="21"/>
          <w:szCs w:val="21"/>
        </w:rPr>
        <w:t>装配式混凝土结构，其中地上部分预制构件应用混凝土体积占混凝土总体积的比例达到</w:t>
      </w:r>
      <w:r>
        <w:rPr>
          <w:rFonts w:hint="eastAsia"/>
          <w:sz w:val="21"/>
          <w:szCs w:val="21"/>
          <w:u w:val="single"/>
        </w:rPr>
        <w:t> 50 </w:t>
      </w:r>
      <w:r>
        <w:rPr>
          <w:rFonts w:ascii="Calibri" w:hAnsi="Calibri"/>
          <w:sz w:val="21"/>
          <w:szCs w:val="21"/>
        </w:rPr>
        <w:t>%</w:t>
      </w:r>
      <w:r>
        <w:rPr>
          <w:rFonts w:hint="eastAsia"/>
          <w:sz w:val="21"/>
          <w:szCs w:val="21"/>
        </w:rPr>
        <w:t>。</w:t>
      </w:r>
    </w:p>
    <w:p>
      <w:pPr>
        <w:pStyle w:val="11"/>
        <w:spacing w:before="0" w:beforeAutospacing="0" w:after="0" w:afterAutospacing="0"/>
        <w:jc w:val="both"/>
      </w:pPr>
      <w:r>
        <w:rPr>
          <w:rFonts w:hint="eastAsia"/>
          <w:sz w:val="21"/>
          <w:szCs w:val="21"/>
        </w:rPr>
        <w:t>请简要说明本项目选用的结构体系及实施情况。</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sz w:val="21"/>
                <w:szCs w:val="21"/>
              </w:rPr>
              <w:t>主体结构采用装配式混凝土结构，地上部分预制构件应用混凝土体积占混凝土总体积的比例达到</w:t>
            </w:r>
            <w:r>
              <w:rPr>
                <w:rFonts w:hint="eastAsia"/>
                <w:sz w:val="20"/>
                <w:szCs w:val="20"/>
              </w:rPr>
              <w:t> </w:t>
            </w:r>
            <w:r>
              <w:rPr>
                <w:rFonts w:ascii="Times New Roman" w:hAnsi="Times New Roman" w:cs="Times New Roman"/>
                <w:sz w:val="21"/>
                <w:szCs w:val="21"/>
              </w:rPr>
              <w:t>50%</w:t>
            </w:r>
            <w:r>
              <w:rPr>
                <w:rFonts w:hint="eastAsia" w:ascii="MS Mincho" w:hAnsi="MS Mincho" w:eastAsia="MS Mincho" w:cs="MS Mincho"/>
                <w:sz w:val="20"/>
                <w:szCs w:val="20"/>
              </w:rPr>
              <w:t>​</w:t>
            </w:r>
          </w:p>
        </w:tc>
      </w:tr>
    </w:tbl>
    <w:p>
      <w:pPr>
        <w:pStyle w:val="11"/>
        <w:spacing w:before="156" w:beforeAutospacing="0" w:after="156" w:afterAutospacing="0" w:line="300" w:lineRule="atLeast"/>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line="300" w:lineRule="atLeast"/>
        <w:jc w:val="both"/>
      </w:pPr>
      <w:r>
        <w:rPr>
          <w:rFonts w:hint="eastAsia"/>
          <w:sz w:val="21"/>
          <w:szCs w:val="21"/>
        </w:rPr>
        <w:t>提交材料及要求：</w:t>
      </w:r>
    </w:p>
    <w:p>
      <w:pPr>
        <w:pStyle w:val="11"/>
        <w:spacing w:before="0" w:beforeAutospacing="0" w:after="0" w:afterAutospacing="0" w:line="300" w:lineRule="atLeast"/>
        <w:jc w:val="both"/>
      </w:pPr>
      <w:r>
        <w:rPr>
          <w:rFonts w:ascii="Calibri" w:hAnsi="Calibri"/>
          <w:sz w:val="21"/>
          <w:szCs w:val="21"/>
        </w:rPr>
        <w:t>1</w:t>
      </w:r>
      <w:r>
        <w:rPr>
          <w:rFonts w:hint="eastAsia"/>
          <w:sz w:val="21"/>
          <w:szCs w:val="21"/>
        </w:rPr>
        <w:t>）结构专业竣工图及设计说明，应包含平立剖图、构件详图、节点详图、大样图、楼梯详图等；</w:t>
      </w:r>
    </w:p>
    <w:p>
      <w:pPr>
        <w:pStyle w:val="11"/>
        <w:spacing w:before="0" w:beforeAutospacing="0" w:after="0" w:afterAutospacing="0" w:line="300" w:lineRule="atLeast"/>
        <w:jc w:val="both"/>
      </w:pPr>
      <w:r>
        <w:rPr>
          <w:rFonts w:ascii="Calibri" w:hAnsi="Calibri"/>
          <w:sz w:val="21"/>
          <w:szCs w:val="21"/>
        </w:rPr>
        <w:t>2</w:t>
      </w:r>
      <w:r>
        <w:rPr>
          <w:rFonts w:hint="eastAsia"/>
          <w:sz w:val="21"/>
          <w:szCs w:val="21"/>
        </w:rPr>
        <w:t>）预制构件应用比例计算书、工程竣工质量报告、工程概况表、设计变更文件。</w:t>
      </w:r>
    </w:p>
    <w:p>
      <w:pPr>
        <w:pStyle w:val="11"/>
        <w:spacing w:before="0" w:beforeAutospacing="0" w:after="0" w:afterAutospacing="0" w:line="288" w:lineRule="auto"/>
        <w:jc w:val="both"/>
        <w:rPr>
          <w:sz w:val="21"/>
          <w:szCs w:val="21"/>
        </w:rPr>
      </w:pPr>
      <w:r>
        <w:rPr>
          <w:rFonts w:ascii="Calibri" w:hAnsi="Calibri"/>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结构专业图纸及设计说明：7结构建材/ 结构专业图纸及设计说明/</w:t>
            </w:r>
            <w:r>
              <w:rPr>
                <w:rFonts w:ascii="Times New Roman" w:hAnsi="Times New Roman" w:cs="Times New Roman"/>
                <w:sz w:val="20"/>
                <w:szCs w:val="20"/>
              </w:rPr>
              <w:br w:type="textWrapping"/>
            </w:r>
            <w:r>
              <w:rPr>
                <w:rStyle w:val="26"/>
                <w:rFonts w:ascii="Times New Roman" w:hAnsi="Times New Roman" w:cs="Times New Roman"/>
                <w:sz w:val="20"/>
                <w:szCs w:val="20"/>
              </w:rPr>
              <w:t>工程概况表：7结构建材/ 工程说明.docx</w:t>
            </w:r>
          </w:p>
        </w:tc>
      </w:tr>
    </w:tbl>
    <w:p>
      <w:pPr>
        <w:pStyle w:val="11"/>
        <w:spacing w:before="0" w:beforeAutospacing="0" w:after="0" w:afterAutospacing="0"/>
        <w:jc w:val="both"/>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8"/>
          <w:szCs w:val="28"/>
          <w:lang w:eastAsia="zh-CN"/>
        </w:rPr>
      </w:pPr>
      <w:r>
        <w:rPr>
          <w:rFonts w:hint="eastAsia" w:ascii="Times New Roman" w:hAnsi="Times New Roman" w:eastAsia="宋体" w:cs="Times New Roman"/>
          <w:i w:val="0"/>
          <w:iCs w:val="0"/>
          <w:color w:val="auto"/>
          <w:sz w:val="28"/>
          <w:szCs w:val="28"/>
          <w:lang w:eastAsia="zh-CN"/>
        </w:rPr>
        <w:t>9.2.6 应用建筑信息模型（BIM）技术。（15分）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p>
      <w:pPr>
        <w:pStyle w:val="11"/>
        <w:spacing w:before="0" w:beforeAutospacing="0" w:after="0" w:afterAutospacing="0" w:line="288" w:lineRule="auto"/>
        <w:jc w:val="both"/>
        <w:rPr>
          <w:sz w:val="21"/>
          <w:szCs w:val="21"/>
        </w:rPr>
      </w:pPr>
      <w:r>
        <w:rPr>
          <w:rFonts w:hint="eastAsia"/>
          <w:sz w:val="21"/>
          <w:szCs w:val="21"/>
        </w:rPr>
        <w:t>BIM技术在建筑的规划设计、施工建造和运行维护阶段中应用情况与得分：</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在其中一个阶段应用</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5 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在其中两个阶段应用</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在其中三个阶段应用</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总计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15</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jc w:val="center"/>
        </w:trPr>
        <w:tc>
          <w:tcPr>
            <w:tcW w:w="709" w:type="dxa"/>
            <w:tcBorders>
              <w:top w:val="nil"/>
              <w:left w:val="nil"/>
              <w:bottom w:val="nil"/>
              <w:right w:val="nil"/>
            </w:tcBorders>
            <w:noWrap w:val="0"/>
            <w:vAlign w:val="center"/>
          </w:tcPr>
          <w:p>
            <w:pPr>
              <w:rPr>
                <w:sz w:val="1"/>
              </w:rPr>
            </w:pPr>
          </w:p>
        </w:tc>
        <w:tc>
          <w:tcPr>
            <w:tcW w:w="4250"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8"/>
          <w:szCs w:val="28"/>
        </w:rPr>
      </w:pPr>
      <w:r>
        <w:rPr>
          <w:rFonts w:hint="eastAsia"/>
          <w:sz w:val="21"/>
          <w:szCs w:val="21"/>
        </w:rPr>
        <w:t>项目在建筑的</w:t>
      </w:r>
      <w:r>
        <w:rPr>
          <w:rStyle w:val="25"/>
          <w:rFonts w:hint="eastAsia" w:ascii="MS Mincho" w:hAnsi="MS Mincho" w:eastAsia="MS Mincho" w:cs="MS Mincho"/>
          <w:sz w:val="28"/>
          <w:szCs w:val="28"/>
        </w:rPr>
        <w:t>☑</w:t>
      </w:r>
      <w:r>
        <w:rPr>
          <w:rFonts w:hint="eastAsia"/>
          <w:sz w:val="21"/>
          <w:szCs w:val="21"/>
        </w:rPr>
        <w:t>规划设计、</w:t>
      </w:r>
      <w:r>
        <w:rPr>
          <w:rStyle w:val="25"/>
          <w:rFonts w:hint="eastAsia" w:ascii="MS Mincho" w:hAnsi="MS Mincho" w:eastAsia="MS Mincho" w:cs="MS Mincho"/>
          <w:sz w:val="28"/>
          <w:szCs w:val="28"/>
        </w:rPr>
        <w:t>☐</w:t>
      </w:r>
      <w:r>
        <w:rPr>
          <w:rFonts w:hint="eastAsia"/>
          <w:sz w:val="21"/>
          <w:szCs w:val="21"/>
        </w:rPr>
        <w:t>施工建造、</w:t>
      </w:r>
      <w:r>
        <w:rPr>
          <w:rStyle w:val="25"/>
          <w:rFonts w:hint="eastAsia" w:ascii="MS Mincho" w:hAnsi="MS Mincho" w:eastAsia="MS Mincho" w:cs="MS Mincho"/>
          <w:sz w:val="28"/>
          <w:szCs w:val="28"/>
        </w:rPr>
        <w:t>☐</w:t>
      </w:r>
      <w:r>
        <w:rPr>
          <w:rFonts w:hint="eastAsia"/>
          <w:sz w:val="21"/>
          <w:szCs w:val="21"/>
        </w:rPr>
        <w:t>运行维护阶段应用了BIM技术。</w:t>
      </w:r>
    </w:p>
    <w:p>
      <w:pPr>
        <w:pStyle w:val="11"/>
        <w:spacing w:before="0" w:beforeAutospacing="0" w:after="0" w:afterAutospacing="0" w:line="288" w:lineRule="auto"/>
        <w:jc w:val="both"/>
        <w:rPr>
          <w:sz w:val="21"/>
          <w:szCs w:val="21"/>
        </w:rPr>
      </w:pPr>
      <w:r>
        <w:rPr>
          <w:rFonts w:hint="eastAsia"/>
          <w:sz w:val="21"/>
          <w:szCs w:val="21"/>
        </w:rPr>
        <w:t>请简要说明BIM在各阶段的应用情况、取得的效果。</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ind w:firstLine="405"/>
            </w:pPr>
            <w:r>
              <w:rPr>
                <w:rFonts w:hint="eastAsia"/>
                <w:sz w:val="20"/>
                <w:szCs w:val="20"/>
              </w:rPr>
              <w:t>设计阶段利用斯维尔建筑软件绘制各楼层施工图，正确设定门窗、墙体高度信息，形成基础</w:t>
            </w:r>
            <w:r>
              <w:rPr>
                <w:rFonts w:ascii="Times New Roman" w:hAnsi="Times New Roman" w:cs="Times New Roman"/>
                <w:sz w:val="20"/>
                <w:szCs w:val="20"/>
              </w:rPr>
              <w:t>BIM</w:t>
            </w:r>
            <w:r>
              <w:rPr>
                <w:rFonts w:hint="eastAsia"/>
                <w:sz w:val="20"/>
                <w:szCs w:val="20"/>
              </w:rPr>
              <w:t>三维模型，一次建模，数据自动传递，协同分析，体现了</w:t>
            </w:r>
            <w:r>
              <w:rPr>
                <w:rFonts w:ascii="Times New Roman" w:hAnsi="Times New Roman" w:cs="Times New Roman"/>
                <w:sz w:val="20"/>
                <w:szCs w:val="20"/>
              </w:rPr>
              <w:t>BIM</w:t>
            </w:r>
            <w:r>
              <w:rPr>
                <w:rFonts w:hint="eastAsia"/>
                <w:sz w:val="20"/>
                <w:szCs w:val="20"/>
              </w:rPr>
              <w:t>设计的高效、数据一致的核心价值。</w:t>
            </w:r>
          </w:p>
          <w:p>
            <w:pPr>
              <w:pStyle w:val="11"/>
              <w:spacing w:before="0" w:beforeAutospacing="0" w:after="0" w:afterAutospacing="0"/>
              <w:ind w:firstLine="405"/>
            </w:pPr>
            <w:r>
              <w:rPr>
                <w:rFonts w:hint="eastAsia"/>
                <w:sz w:val="20"/>
                <w:szCs w:val="20"/>
              </w:rPr>
              <w:t>采用斯维尔系列软件进行节能设计、暖通冷热负荷计算、围护结构节能率计算、日照分析、室内外风环境分析、采光系数计算、窗地比计算、声环境模拟等一系列的模拟计算极大的提高了效率，节省了时间。</w:t>
            </w:r>
          </w:p>
        </w:tc>
      </w:tr>
    </w:tbl>
    <w:p>
      <w:pPr>
        <w:pStyle w:val="11"/>
        <w:spacing w:before="156" w:beforeAutospacing="0" w:after="156" w:afterAutospacing="0"/>
        <w:ind w:left="360" w:hanging="360"/>
        <w:jc w:val="both"/>
      </w:pPr>
      <w:r>
        <w:rPr>
          <w:rFonts w:ascii="Times New Roman" w:hAnsi="Times New Roman" w:cs="Times New Roman"/>
          <w:b/>
          <w:bCs/>
          <w:sz w:val="21"/>
          <w:szCs w:val="21"/>
        </w:rPr>
        <w:t>3</w:t>
      </w:r>
      <w:r>
        <w:rPr>
          <w:rFonts w:ascii="Times New Roman" w:hAnsi="Times New Roman" w:cs="Times New Roman"/>
          <w:sz w:val="14"/>
          <w:szCs w:val="14"/>
        </w:rPr>
        <w:t xml:space="preserve">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Times New Roman" w:hAnsi="Times New Roman" w:cs="Times New Roman"/>
          <w:sz w:val="21"/>
          <w:szCs w:val="21"/>
        </w:rPr>
        <w:t>1</w:t>
      </w:r>
      <w:r>
        <w:rPr>
          <w:rFonts w:hint="eastAsia"/>
          <w:sz w:val="21"/>
          <w:szCs w:val="21"/>
        </w:rPr>
        <w:t>）BIM设计的竣工文件；</w:t>
      </w:r>
    </w:p>
    <w:p>
      <w:pPr>
        <w:pStyle w:val="11"/>
        <w:spacing w:before="0" w:beforeAutospacing="0" w:after="0" w:afterAutospacing="0"/>
        <w:jc w:val="both"/>
      </w:pPr>
      <w:r>
        <w:rPr>
          <w:rFonts w:ascii="Times New Roman" w:hAnsi="Times New Roman" w:cs="Times New Roman"/>
          <w:sz w:val="21"/>
          <w:szCs w:val="21"/>
        </w:rPr>
        <w:t>2</w:t>
      </w:r>
      <w:r>
        <w:rPr>
          <w:rFonts w:hint="eastAsia"/>
          <w:sz w:val="21"/>
          <w:szCs w:val="21"/>
        </w:rPr>
        <w:t>）BIM技术应用报告，应包括使用的软件、模型的建立情况及截图，应用范围及效果。</w:t>
      </w:r>
    </w:p>
    <w:p>
      <w:pPr>
        <w:pStyle w:val="11"/>
        <w:spacing w:before="0" w:beforeAutospacing="0" w:after="0" w:afterAutospacing="0" w:line="288" w:lineRule="auto"/>
        <w:ind w:left="360"/>
        <w:jc w:val="both"/>
        <w:rPr>
          <w:sz w:val="21"/>
          <w:szCs w:val="21"/>
        </w:rPr>
      </w:pPr>
      <w:r>
        <w:rPr>
          <w:rFonts w:hint="eastAsia"/>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BIM技术应用报告：9其他材料/ 9.2.6BIM技术应用报告.docx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hint="eastAsia" w:ascii="Times New Roman" w:hAnsi="Times New Roman" w:eastAsia="宋体" w:cs="Times New Roman"/>
          <w:i w:val="0"/>
          <w:iCs w:val="0"/>
          <w:color w:val="auto"/>
          <w:sz w:val="24"/>
          <w:szCs w:val="24"/>
          <w:lang w:eastAsia="zh-CN"/>
        </w:rPr>
      </w:pPr>
      <w:r>
        <w:rPr>
          <w:rFonts w:hint="eastAsia" w:ascii="Times New Roman" w:hAnsi="Times New Roman" w:eastAsia="宋体" w:cs="Times New Roman"/>
          <w:i w:val="0"/>
          <w:iCs w:val="0"/>
          <w:color w:val="auto"/>
          <w:sz w:val="24"/>
          <w:szCs w:val="24"/>
          <w:lang w:eastAsia="zh-CN"/>
        </w:rPr>
        <w:t>9.2.7 进行建筑碳排放计算分析，采取措施降低单位建筑面积碳排放强度。（总分12分）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进行建筑碳排放计算分析，采取措施降低单位面积碳排放强度。</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12</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12 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jc w:val="both"/>
        <w:rPr>
          <w:sz w:val="22"/>
          <w:szCs w:val="22"/>
        </w:rPr>
      </w:pPr>
      <w:r>
        <w:rPr>
          <w:rFonts w:hint="eastAsia"/>
          <w:sz w:val="21"/>
          <w:szCs w:val="21"/>
        </w:rPr>
        <w:t>建筑固有的碳排放量（建材生产阶段）：</w:t>
      </w:r>
      <w:r>
        <w:rPr>
          <w:rFonts w:hint="eastAsia"/>
          <w:sz w:val="21"/>
          <w:szCs w:val="21"/>
          <w:u w:val="single"/>
        </w:rPr>
        <w:t>（</w:t>
      </w:r>
      <w:r>
        <w:rPr>
          <w:rFonts w:ascii="Calibri" w:hAnsi="Calibri"/>
          <w:sz w:val="22"/>
          <w:szCs w:val="22"/>
        </w:rPr>
        <w:t>kgCO</w:t>
      </w:r>
      <w:r>
        <w:rPr>
          <w:rFonts w:ascii="Calibri" w:hAnsi="Calibri"/>
          <w:sz w:val="15"/>
          <w:szCs w:val="15"/>
          <w:vertAlign w:val="subscript"/>
        </w:rPr>
        <w:t>2</w:t>
      </w:r>
      <w:r>
        <w:rPr>
          <w:rFonts w:ascii="Calibri" w:hAnsi="Calibri"/>
          <w:sz w:val="22"/>
          <w:szCs w:val="22"/>
        </w:rPr>
        <w:t>eq</w:t>
      </w:r>
      <w:r>
        <w:rPr>
          <w:rFonts w:hint="eastAsia"/>
          <w:sz w:val="22"/>
          <w:szCs w:val="22"/>
        </w:rPr>
        <w:t>）</w:t>
      </w:r>
    </w:p>
    <w:p>
      <w:pPr>
        <w:pStyle w:val="11"/>
        <w:spacing w:before="0" w:beforeAutospacing="0" w:after="0" w:afterAutospacing="0" w:line="288" w:lineRule="auto"/>
        <w:jc w:val="both"/>
        <w:rPr>
          <w:sz w:val="21"/>
          <w:szCs w:val="21"/>
        </w:rPr>
      </w:pPr>
      <w:r>
        <w:rPr>
          <w:rFonts w:hint="eastAsia"/>
          <w:sz w:val="21"/>
          <w:szCs w:val="21"/>
        </w:rPr>
        <w:t>建筑固有的碳排放量（建材运输）：</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/km</w:t>
      </w:r>
      <w:r>
        <w:rPr>
          <w:rFonts w:hint="eastAsia"/>
          <w:sz w:val="21"/>
          <w:szCs w:val="21"/>
        </w:rPr>
        <w:t>）</w:t>
      </w:r>
    </w:p>
    <w:p>
      <w:pPr>
        <w:pStyle w:val="11"/>
        <w:spacing w:before="0" w:beforeAutospacing="0" w:after="0" w:afterAutospacing="0" w:line="288" w:lineRule="auto"/>
        <w:jc w:val="both"/>
        <w:rPr>
          <w:sz w:val="21"/>
          <w:szCs w:val="21"/>
        </w:rPr>
      </w:pPr>
      <w:r>
        <w:rPr>
          <w:rFonts w:hint="eastAsia"/>
          <w:sz w:val="21"/>
          <w:szCs w:val="21"/>
        </w:rPr>
        <w:t>建筑施工阶段碳排放量：</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/m</w:t>
      </w:r>
      <w:r>
        <w:rPr>
          <w:rFonts w:ascii="Calibri" w:hAnsi="Calibri"/>
          <w:sz w:val="14"/>
          <w:szCs w:val="14"/>
          <w:vertAlign w:val="superscript"/>
        </w:rPr>
        <w:t>2</w:t>
      </w:r>
      <w:r>
        <w:rPr>
          <w:rFonts w:hint="eastAsia"/>
          <w:sz w:val="21"/>
          <w:szCs w:val="21"/>
        </w:rPr>
        <w:t>）</w:t>
      </w:r>
    </w:p>
    <w:p>
      <w:pPr>
        <w:pStyle w:val="11"/>
        <w:spacing w:before="0" w:beforeAutospacing="0" w:after="0" w:afterAutospacing="0" w:line="288" w:lineRule="auto"/>
        <w:jc w:val="both"/>
        <w:rPr>
          <w:sz w:val="21"/>
          <w:szCs w:val="21"/>
        </w:rPr>
      </w:pPr>
      <w:r>
        <w:rPr>
          <w:rFonts w:hint="eastAsia"/>
          <w:sz w:val="21"/>
          <w:szCs w:val="21"/>
        </w:rPr>
        <w:t>建筑运行阶段减排量：</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/m</w:t>
      </w:r>
      <w:r>
        <w:rPr>
          <w:rFonts w:ascii="Calibri" w:hAnsi="Calibri"/>
          <w:sz w:val="14"/>
          <w:szCs w:val="14"/>
          <w:vertAlign w:val="superscript"/>
        </w:rPr>
        <w:t>2</w:t>
      </w:r>
      <w:r>
        <w:rPr>
          <w:rFonts w:hint="eastAsia"/>
          <w:sz w:val="21"/>
          <w:szCs w:val="21"/>
        </w:rPr>
        <w:t>）</w:t>
      </w:r>
    </w:p>
    <w:p>
      <w:pPr>
        <w:pStyle w:val="11"/>
        <w:spacing w:before="0" w:beforeAutospacing="0" w:after="0" w:afterAutospacing="0" w:line="288" w:lineRule="auto"/>
        <w:jc w:val="both"/>
        <w:rPr>
          <w:sz w:val="21"/>
          <w:szCs w:val="21"/>
        </w:rPr>
      </w:pPr>
      <w:r>
        <w:rPr>
          <w:rFonts w:hint="eastAsia"/>
          <w:sz w:val="21"/>
          <w:szCs w:val="21"/>
        </w:rPr>
        <w:t>单位面积年碳排放量：</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/m</w:t>
      </w:r>
      <w:r>
        <w:rPr>
          <w:rFonts w:ascii="Calibri" w:hAnsi="Calibri"/>
          <w:sz w:val="14"/>
          <w:szCs w:val="14"/>
          <w:vertAlign w:val="superscript"/>
        </w:rPr>
        <w:t>2</w:t>
      </w:r>
      <w:r>
        <w:rPr>
          <w:rFonts w:ascii="Calibri" w:hAnsi="Calibri"/>
          <w:sz w:val="21"/>
          <w:szCs w:val="21"/>
        </w:rPr>
        <w:t>·a</w:t>
      </w:r>
      <w:r>
        <w:rPr>
          <w:rFonts w:hint="eastAsia"/>
          <w:sz w:val="21"/>
          <w:szCs w:val="21"/>
        </w:rPr>
        <w:t>）</w:t>
      </w:r>
    </w:p>
    <w:p>
      <w:pPr>
        <w:pStyle w:val="11"/>
        <w:spacing w:before="0" w:beforeAutospacing="0" w:after="0" w:afterAutospacing="0"/>
        <w:jc w:val="both"/>
      </w:pPr>
      <w:r>
        <w:rPr>
          <w:rFonts w:hint="eastAsia"/>
          <w:sz w:val="21"/>
          <w:szCs w:val="21"/>
        </w:rPr>
        <w:t>简要说明建筑固有的碳排放量计算过程及采取的降低碳排放量的措施。</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Fonts w:hint="eastAsia"/>
                <w:sz w:val="20"/>
                <w:szCs w:val="20"/>
              </w:rPr>
              <w:t> </w:t>
            </w:r>
            <w:r>
              <w:rPr>
                <w:rFonts w:hint="eastAsia" w:ascii="微软雅黑" w:hAnsi="微软雅黑" w:eastAsia="微软雅黑"/>
                <w:color w:val="121212"/>
                <w:sz w:val="27"/>
                <w:szCs w:val="27"/>
                <w:shd w:val="clear" w:color="auto" w:fill="FFFFFF"/>
              </w:rPr>
              <w:t>《通用规范》从</w:t>
            </w:r>
            <w:r>
              <w:rPr>
                <w:rFonts w:hint="eastAsia" w:ascii="微软雅黑" w:hAnsi="微软雅黑" w:eastAsia="微软雅黑"/>
                <w:b/>
                <w:bCs/>
                <w:color w:val="121212"/>
                <w:sz w:val="27"/>
                <w:szCs w:val="27"/>
                <w:shd w:val="clear" w:color="auto" w:fill="FFFFFF"/>
              </w:rPr>
              <w:t>新建建筑节能设计、既有建筑节能、可再生能源利用</w:t>
            </w:r>
            <w:r>
              <w:rPr>
                <w:rFonts w:hint="eastAsia" w:ascii="微软雅黑" w:hAnsi="微软雅黑" w:eastAsia="微软雅黑"/>
                <w:color w:val="121212"/>
                <w:sz w:val="27"/>
                <w:szCs w:val="27"/>
                <w:shd w:val="clear" w:color="auto" w:fill="FFFFFF"/>
              </w:rPr>
              <w:t>三个方面，明确了设计、施工、调试、验收、运行管理的强制性指标及基本要求。内容架构、要素构成、主要技术指标等与发达国家相关技术法规和标准接轨。</w:t>
            </w:r>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jc w:val="both"/>
      </w:pPr>
      <w:r>
        <w:rPr>
          <w:rFonts w:ascii="Calibri" w:hAnsi="Calibri"/>
          <w:sz w:val="21"/>
          <w:szCs w:val="21"/>
        </w:rPr>
        <w:t>1</w:t>
      </w:r>
      <w:r>
        <w:rPr>
          <w:rFonts w:hint="eastAsia"/>
          <w:sz w:val="21"/>
          <w:szCs w:val="21"/>
        </w:rPr>
        <w:t>）碳排放计算分析报告；</w:t>
      </w:r>
    </w:p>
    <w:p>
      <w:pPr>
        <w:pStyle w:val="11"/>
        <w:spacing w:before="0" w:beforeAutospacing="0" w:after="0" w:afterAutospacing="0"/>
        <w:jc w:val="both"/>
      </w:pPr>
      <w:r>
        <w:rPr>
          <w:rFonts w:ascii="Calibri" w:hAnsi="Calibri"/>
          <w:sz w:val="21"/>
          <w:szCs w:val="21"/>
        </w:rPr>
        <w:t>2</w:t>
      </w:r>
      <w:r>
        <w:rPr>
          <w:rFonts w:hint="eastAsia"/>
          <w:sz w:val="21"/>
          <w:szCs w:val="21"/>
        </w:rPr>
        <w:t>）对于投入使用不足</w:t>
      </w:r>
      <w:r>
        <w:rPr>
          <w:rFonts w:ascii="Calibri" w:hAnsi="Calibri"/>
          <w:sz w:val="21"/>
          <w:szCs w:val="21"/>
        </w:rPr>
        <w:t>1</w:t>
      </w:r>
      <w:r>
        <w:rPr>
          <w:rFonts w:hint="eastAsia"/>
          <w:sz w:val="21"/>
          <w:szCs w:val="21"/>
        </w:rPr>
        <w:t>年的项目，计算分析建筑固有碳排放量、投入使用满</w:t>
      </w:r>
      <w:r>
        <w:rPr>
          <w:rFonts w:ascii="Calibri" w:hAnsi="Calibri"/>
          <w:sz w:val="21"/>
          <w:szCs w:val="21"/>
        </w:rPr>
        <w:t>1</w:t>
      </w:r>
      <w:r>
        <w:rPr>
          <w:rFonts w:hint="eastAsia"/>
          <w:sz w:val="21"/>
          <w:szCs w:val="21"/>
        </w:rPr>
        <w:t>年的项目，计算分析标准运行工况下建筑运行产生的碳排放量。</w:t>
      </w:r>
    </w:p>
    <w:p>
      <w:pPr>
        <w:pStyle w:val="11"/>
        <w:spacing w:before="0" w:beforeAutospacing="0" w:after="0" w:afterAutospacing="0" w:line="288" w:lineRule="auto"/>
        <w:jc w:val="both"/>
        <w:rPr>
          <w:sz w:val="21"/>
          <w:szCs w:val="21"/>
        </w:rPr>
      </w:pPr>
      <w:r>
        <w:rPr>
          <w:rFonts w:ascii="Times New Roman" w:hAnsi="Times New Roman" w:cs="Times New Roman"/>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碳排放计算分析报告：9其他材料/ 9.2.7建筑碳排放计算报告.docx</w:t>
            </w:r>
          </w:p>
        </w:tc>
      </w:tr>
    </w:tbl>
    <w:p>
      <w:pPr>
        <w:pStyle w:val="11"/>
        <w:spacing w:before="0" w:beforeAutospacing="0" w:after="0" w:afterAutospacing="0"/>
        <w:jc w:val="both"/>
      </w:pPr>
      <w:r>
        <w:rPr>
          <w:rFonts w:ascii="Calibri" w:hAnsi="Calibri"/>
          <w:sz w:val="21"/>
          <w:szCs w:val="21"/>
        </w:rPr>
        <w:t> </w:t>
      </w:r>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ascii="Times New Roman" w:hAnsi="Times New Roman" w:eastAsia="宋体" w:cs="Times New Roman"/>
          <w:i w:val="0"/>
          <w:iCs w:val="0"/>
          <w:color w:val="auto"/>
          <w:sz w:val="24"/>
          <w:szCs w:val="24"/>
          <w:lang w:eastAsia="zh-CN"/>
        </w:rPr>
      </w:pPr>
      <w:r>
        <w:rPr>
          <w:rFonts w:ascii="Times New Roman" w:hAnsi="Times New Roman" w:eastAsia="宋体" w:cs="Times New Roman"/>
          <w:i w:val="0"/>
          <w:iCs w:val="0"/>
          <w:color w:val="auto"/>
          <w:sz w:val="24"/>
          <w:szCs w:val="24"/>
          <w:lang w:eastAsia="zh-CN"/>
        </w:rPr>
        <w:t xml:space="preserve">9.2.9 </w:t>
      </w:r>
      <w:r>
        <w:rPr>
          <w:rFonts w:hint="eastAsia" w:ascii="Times New Roman" w:hAnsi="Times New Roman" w:eastAsia="宋体" w:cs="Times New Roman"/>
          <w:i w:val="0"/>
          <w:iCs w:val="0"/>
          <w:color w:val="auto"/>
          <w:sz w:val="24"/>
          <w:szCs w:val="24"/>
          <w:lang w:eastAsia="zh-CN"/>
        </w:rPr>
        <w:t>采用建设工程质量潜在缺陷保险产品。（</w:t>
      </w:r>
      <w:r>
        <w:rPr>
          <w:rFonts w:ascii="Times New Roman" w:hAnsi="Times New Roman" w:eastAsia="宋体" w:cs="Times New Roman"/>
          <w:i w:val="0"/>
          <w:iCs w:val="0"/>
          <w:color w:val="auto"/>
          <w:sz w:val="24"/>
          <w:szCs w:val="24"/>
          <w:lang w:eastAsia="zh-CN"/>
        </w:rPr>
        <w:t>20</w:t>
      </w:r>
      <w:r>
        <w:rPr>
          <w:rFonts w:hint="eastAsia" w:ascii="Times New Roman" w:hAnsi="Times New Roman" w:eastAsia="宋体" w:cs="Times New Roman"/>
          <w:i w:val="0"/>
          <w:iCs w:val="0"/>
          <w:color w:val="auto"/>
          <w:sz w:val="24"/>
          <w:szCs w:val="24"/>
          <w:lang w:eastAsia="zh-CN"/>
        </w:rPr>
        <w:t>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保险承保范围包括地基基础工程、主体结构工程、屋面防水工程和其他土建工程的质量问题</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 10</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保险承保范围包括装修工程、电气管线、上下水管线的安装工程</w:t>
            </w:r>
            <w:r>
              <w:rPr>
                <w:rFonts w:ascii="Times New Roman" w:hAnsi="Times New Roman" w:cs="Times New Roman"/>
                <w:sz w:val="21"/>
                <w:szCs w:val="21"/>
              </w:rPr>
              <w:t>,</w:t>
            </w:r>
            <w:r>
              <w:rPr>
                <w:rFonts w:hint="eastAsia"/>
                <w:sz w:val="21"/>
                <w:szCs w:val="21"/>
              </w:rPr>
              <w:t>供热、供冷系统工程的质量问题</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p>
        </w:tc>
      </w:tr>
      <w:tr>
        <w:tblPrEx>
          <w:tblCellMar>
            <w:top w:w="0" w:type="dxa"/>
            <w:left w:w="0" w:type="dxa"/>
            <w:bottom w:w="0" w:type="dxa"/>
            <w:right w:w="0" w:type="dxa"/>
          </w:tblCellMar>
        </w:tblPrEx>
        <w:trPr>
          <w:trHeight w:val="237" w:hRule="atLeast"/>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合计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ascii="Times New Roman" w:hAnsi="Times New Roman" w:eastAsia="宋体" w:cs="Times New Roman"/>
                <w:sz w:val="21"/>
                <w:szCs w:val="21"/>
                <w:lang w:val="en-US" w:eastAsia="zh-CN"/>
              </w:rPr>
              <w:t>1</w:t>
            </w:r>
            <w:r>
              <w:rPr>
                <w:rFonts w:ascii="Times New Roman" w:hAnsi="Times New Roman" w:cs="Times New Roman"/>
                <w:sz w:val="21"/>
                <w:szCs w:val="21"/>
              </w:rPr>
              <w:t>0 </w:t>
            </w: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line="288" w:lineRule="auto"/>
        <w:ind w:firstLine="100"/>
        <w:rPr>
          <w:sz w:val="21"/>
          <w:szCs w:val="21"/>
        </w:rPr>
      </w:pPr>
      <w:r>
        <w:rPr>
          <w:rFonts w:hint="eastAsia"/>
          <w:sz w:val="21"/>
          <w:szCs w:val="21"/>
        </w:rPr>
        <w:t>建设工程质量潜在缺陷保险（IDI）的承保范围包括：</w:t>
      </w:r>
    </w:p>
    <w:p>
      <w:pPr>
        <w:pStyle w:val="11"/>
        <w:spacing w:before="0" w:beforeAutospacing="0" w:after="0" w:afterAutospacing="0" w:line="288" w:lineRule="auto"/>
        <w:ind w:firstLine="100"/>
        <w:rPr>
          <w:sz w:val="28"/>
          <w:szCs w:val="28"/>
        </w:rPr>
      </w:pPr>
      <w:r>
        <w:rPr>
          <w:rStyle w:val="25"/>
          <w:rFonts w:hint="eastAsia" w:ascii="MS Mincho" w:hAnsi="MS Mincho" w:eastAsia="MS Mincho" w:cs="MS Mincho"/>
          <w:sz w:val="28"/>
          <w:szCs w:val="28"/>
        </w:rPr>
        <w:t>☑</w:t>
      </w:r>
      <w:r>
        <w:rPr>
          <w:rFonts w:hint="eastAsia"/>
          <w:sz w:val="21"/>
          <w:szCs w:val="21"/>
        </w:rPr>
        <w:t>地基基础工程、</w:t>
      </w:r>
      <w:r>
        <w:rPr>
          <w:rStyle w:val="25"/>
          <w:rFonts w:hint="eastAsia" w:ascii="MS Mincho" w:hAnsi="MS Mincho" w:eastAsia="MS Mincho" w:cs="MS Mincho"/>
          <w:sz w:val="28"/>
          <w:szCs w:val="28"/>
        </w:rPr>
        <w:t>☑</w:t>
      </w:r>
      <w:r>
        <w:rPr>
          <w:rFonts w:hint="eastAsia"/>
          <w:sz w:val="21"/>
          <w:szCs w:val="21"/>
        </w:rPr>
        <w:t>主体结构工程、</w:t>
      </w:r>
      <w:r>
        <w:rPr>
          <w:rStyle w:val="25"/>
          <w:rFonts w:hint="eastAsia" w:ascii="MS Mincho" w:hAnsi="MS Mincho" w:eastAsia="MS Mincho" w:cs="MS Mincho"/>
          <w:sz w:val="28"/>
          <w:szCs w:val="28"/>
        </w:rPr>
        <w:t>☑</w:t>
      </w:r>
      <w:r>
        <w:rPr>
          <w:rFonts w:hint="eastAsia"/>
          <w:sz w:val="21"/>
          <w:szCs w:val="21"/>
        </w:rPr>
        <w:t>屋面防水工程、</w:t>
      </w:r>
      <w:r>
        <w:rPr>
          <w:rStyle w:val="25"/>
          <w:rFonts w:hint="eastAsia" w:ascii="MS Mincho" w:hAnsi="MS Mincho" w:eastAsia="MS Mincho" w:cs="MS Mincho"/>
          <w:sz w:val="28"/>
          <w:szCs w:val="28"/>
        </w:rPr>
        <w:t>☐</w:t>
      </w:r>
      <w:r>
        <w:rPr>
          <w:rFonts w:hint="eastAsia"/>
          <w:sz w:val="21"/>
          <w:szCs w:val="21"/>
        </w:rPr>
        <w:t>其他土建工程</w:t>
      </w:r>
      <w:r>
        <w:rPr>
          <w:rFonts w:hint="eastAsia"/>
          <w:sz w:val="21"/>
          <w:szCs w:val="21"/>
          <w:u w:val="single"/>
        </w:rPr>
        <w:t xml:space="preserve">            </w:t>
      </w:r>
    </w:p>
    <w:p>
      <w:pPr>
        <w:pStyle w:val="11"/>
        <w:spacing w:before="0" w:beforeAutospacing="0" w:after="0" w:afterAutospacing="0" w:line="288" w:lineRule="auto"/>
        <w:ind w:firstLine="100"/>
        <w:rPr>
          <w:sz w:val="28"/>
          <w:szCs w:val="28"/>
        </w:rPr>
      </w:pPr>
      <w:r>
        <w:rPr>
          <w:rStyle w:val="25"/>
          <w:rFonts w:hint="eastAsia" w:ascii="MS Mincho" w:hAnsi="MS Mincho" w:eastAsia="MS Mincho" w:cs="MS Mincho"/>
          <w:sz w:val="28"/>
          <w:szCs w:val="28"/>
        </w:rPr>
        <w:t>☑</w:t>
      </w:r>
      <w:r>
        <w:rPr>
          <w:rFonts w:hint="eastAsia"/>
          <w:sz w:val="21"/>
          <w:szCs w:val="21"/>
        </w:rPr>
        <w:t>装修工程、</w:t>
      </w:r>
      <w:r>
        <w:rPr>
          <w:rStyle w:val="25"/>
          <w:rFonts w:hint="eastAsia" w:ascii="MS Mincho" w:hAnsi="MS Mincho" w:eastAsia="MS Mincho" w:cs="MS Mincho"/>
          <w:sz w:val="28"/>
          <w:szCs w:val="28"/>
        </w:rPr>
        <w:t>☑</w:t>
      </w:r>
      <w:r>
        <w:rPr>
          <w:rFonts w:hint="eastAsia"/>
          <w:sz w:val="21"/>
          <w:szCs w:val="21"/>
        </w:rPr>
        <w:t>电气管线、</w:t>
      </w:r>
      <w:r>
        <w:rPr>
          <w:rStyle w:val="25"/>
          <w:rFonts w:hint="eastAsia" w:ascii="MS Mincho" w:hAnsi="MS Mincho" w:eastAsia="MS Mincho" w:cs="MS Mincho"/>
          <w:sz w:val="28"/>
          <w:szCs w:val="28"/>
        </w:rPr>
        <w:t>☑</w:t>
      </w:r>
      <w:r>
        <w:rPr>
          <w:rFonts w:hint="eastAsia"/>
          <w:sz w:val="21"/>
          <w:szCs w:val="21"/>
        </w:rPr>
        <w:t>上下水管线的安装工程、</w:t>
      </w:r>
      <w:r>
        <w:rPr>
          <w:rStyle w:val="25"/>
          <w:rFonts w:hint="eastAsia" w:ascii="MS Mincho" w:hAnsi="MS Mincho" w:eastAsia="MS Mincho" w:cs="MS Mincho"/>
          <w:sz w:val="28"/>
          <w:szCs w:val="28"/>
        </w:rPr>
        <w:t>☑</w:t>
      </w:r>
      <w:r>
        <w:rPr>
          <w:rFonts w:hint="eastAsia"/>
          <w:sz w:val="21"/>
          <w:szCs w:val="21"/>
        </w:rPr>
        <w:t>供热、供冷系统工程的质量问题</w:t>
      </w:r>
    </w:p>
    <w:p>
      <w:pPr>
        <w:pStyle w:val="11"/>
        <w:spacing w:before="0" w:beforeAutospacing="0" w:after="0" w:afterAutospacing="0"/>
        <w:jc w:val="both"/>
      </w:pPr>
      <w:r>
        <w:rPr>
          <w:rFonts w:hint="eastAsia"/>
          <w:sz w:val="21"/>
          <w:szCs w:val="21"/>
        </w:rPr>
        <w:t>请简要说明建设工程质量潜在缺陷保险（IDI）的主要条款、保费、保额。</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numPr>
                <w:ilvl w:val="0"/>
                <w:numId w:val="4"/>
              </w:numPr>
              <w:shd w:val="clear" w:color="auto" w:fill="FFFFFF"/>
              <w:spacing w:line="300" w:lineRule="atLeast"/>
              <w:ind w:left="0"/>
              <w:rPr>
                <w:rFonts w:hint="eastAsia" w:ascii="Arial" w:hAnsi="Arial" w:cs="Arial"/>
                <w:color w:val="71777D"/>
                <w:sz w:val="21"/>
                <w:szCs w:val="21"/>
              </w:rPr>
            </w:pPr>
            <w:r>
              <w:rPr>
                <w:rFonts w:ascii="Arial" w:hAnsi="Arial" w:cs="Arial"/>
                <w:b/>
                <w:bCs/>
                <w:color w:val="71777D"/>
                <w:sz w:val="21"/>
                <w:szCs w:val="21"/>
              </w:rPr>
              <w:t>工程质量潜在缺陷，是指建设工程在竣工验收时未能发现的，因勘察、设计、施工、监理及建筑材料、建筑构配件和设备等质量原因造成的不符合施工图设计文件、工程建设标准和合同要求，并在正常使用过程中暴露出的工程质量缺陷。</w:t>
            </w:r>
          </w:p>
          <w:p>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line="288" w:lineRule="auto"/>
        <w:jc w:val="both"/>
        <w:rPr>
          <w:sz w:val="21"/>
          <w:szCs w:val="21"/>
        </w:rPr>
      </w:pPr>
      <w:r>
        <w:rPr>
          <w:rFonts w:hint="eastAsia"/>
          <w:sz w:val="21"/>
          <w:szCs w:val="21"/>
        </w:rPr>
        <w:t>1）建设工程质量保险产品保单。</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r>
              <w:rPr>
                <w:rStyle w:val="26"/>
                <w:rFonts w:ascii="Times New Roman" w:hAnsi="Times New Roman" w:cs="Times New Roman"/>
                <w:sz w:val="20"/>
                <w:szCs w:val="20"/>
              </w:rPr>
              <w:t> </w:t>
            </w:r>
          </w:p>
        </w:tc>
      </w:tr>
    </w:tbl>
    <w:p/>
    <w:p>
      <w:pPr>
        <w:rPr>
          <w:rFonts w:ascii="Times New Roman" w:hAnsi="Times New Roman" w:cs="Times New Roman"/>
          <w:b/>
          <w:bCs/>
        </w:rPr>
      </w:pPr>
      <w:r>
        <w:rPr>
          <w:rFonts w:ascii="Times New Roman" w:hAnsi="Times New Roman" w:cs="Times New Roman"/>
        </w:rPr>
        <w:br w:type="page"/>
      </w:r>
    </w:p>
    <w:p>
      <w:pPr>
        <w:pStyle w:val="5"/>
        <w:keepNext/>
        <w:keepLines w:val="0"/>
        <w:spacing w:before="260" w:beforeAutospacing="0" w:after="260" w:afterAutospacing="0" w:line="240" w:lineRule="auto"/>
        <w:rPr>
          <w:rFonts w:ascii="Times New Roman" w:hAnsi="Times New Roman" w:eastAsia="宋体" w:cs="Times New Roman"/>
          <w:i w:val="0"/>
          <w:iCs w:val="0"/>
          <w:sz w:val="24"/>
          <w:szCs w:val="24"/>
          <w:lang w:eastAsia="zh-CN"/>
        </w:rPr>
      </w:pPr>
      <w:r>
        <w:rPr>
          <w:rFonts w:ascii="Times New Roman" w:hAnsi="Times New Roman" w:eastAsia="宋体" w:cs="Times New Roman"/>
          <w:i w:val="0"/>
          <w:iCs w:val="0"/>
          <w:sz w:val="24"/>
          <w:szCs w:val="24"/>
          <w:lang w:eastAsia="zh-CN"/>
        </w:rPr>
        <w:t xml:space="preserve">9.2.10 </w:t>
      </w:r>
      <w:r>
        <w:rPr>
          <w:rFonts w:hint="eastAsia" w:ascii="Times New Roman" w:hAnsi="Times New Roman" w:eastAsia="宋体" w:cs="Times New Roman"/>
          <w:i w:val="0"/>
          <w:iCs w:val="0"/>
          <w:sz w:val="24"/>
          <w:szCs w:val="24"/>
          <w:lang w:eastAsia="zh-CN"/>
        </w:rPr>
        <w:t>采取节约资源、保护生态环境、保障安全健康、智慧友好运行、传承历史文化等其他创新，并有明显效益。（</w:t>
      </w:r>
      <w:r>
        <w:rPr>
          <w:rFonts w:ascii="Times New Roman" w:hAnsi="Times New Roman" w:eastAsia="宋体" w:cs="Times New Roman"/>
          <w:i w:val="0"/>
          <w:iCs w:val="0"/>
          <w:sz w:val="24"/>
          <w:szCs w:val="24"/>
          <w:lang w:eastAsia="zh-CN"/>
        </w:rPr>
        <w:t>40</w:t>
      </w:r>
      <w:r>
        <w:rPr>
          <w:rFonts w:hint="eastAsia" w:ascii="Times New Roman" w:hAnsi="Times New Roman" w:eastAsia="宋体" w:cs="Times New Roman"/>
          <w:i w:val="0"/>
          <w:iCs w:val="0"/>
          <w:sz w:val="24"/>
          <w:szCs w:val="24"/>
          <w:lang w:eastAsia="zh-CN"/>
        </w:rPr>
        <w:t>分）</w:t>
      </w:r>
    </w:p>
    <w:p>
      <w:pPr>
        <w:pStyle w:val="11"/>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Style w:val="13"/>
        <w:tblW w:w="4696" w:type="pct"/>
        <w:jc w:val="center"/>
        <w:tblLayout w:type="autofit"/>
        <w:tblCellMar>
          <w:top w:w="0" w:type="dxa"/>
          <w:left w:w="0" w:type="dxa"/>
          <w:bottom w:w="0" w:type="dxa"/>
          <w:right w:w="0" w:type="dxa"/>
        </w:tblCellMar>
      </w:tblPr>
      <w:tblGrid>
        <w:gridCol w:w="727"/>
        <w:gridCol w:w="4358"/>
        <w:gridCol w:w="1573"/>
        <w:gridCol w:w="1333"/>
      </w:tblGrid>
      <w:tr>
        <w:tblPrEx>
          <w:tblCellMar>
            <w:top w:w="0" w:type="dxa"/>
            <w:left w:w="0" w:type="dxa"/>
            <w:bottom w:w="0" w:type="dxa"/>
            <w:right w:w="0" w:type="dxa"/>
          </w:tblCellMar>
        </w:tblPrEx>
        <w:trPr>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序号</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评价内容</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评价分值</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hint="eastAsia"/>
                <w:sz w:val="21"/>
                <w:szCs w:val="21"/>
              </w:rPr>
              <w:t>自评得分</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采取节约资源的其他创新</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2</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采取保护生态环境的其他创新</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3</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采取保障安全健康的其他创新</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采取智慧友好运行的其他创新</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455"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5</w:t>
            </w:r>
          </w:p>
        </w:tc>
        <w:tc>
          <w:tcPr>
            <w:tcW w:w="2727"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pPr>
            <w:r>
              <w:rPr>
                <w:rFonts w:hint="eastAsia"/>
                <w:sz w:val="21"/>
                <w:szCs w:val="21"/>
              </w:rPr>
              <w:t>采取传承历史文化的其他创新</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10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jc w:val="center"/>
            </w:pPr>
            <w:r>
              <w:rPr>
                <w:rFonts w:ascii="Times New Roman" w:hAnsi="Times New Roman" w:cs="Times New Roman"/>
                <w:sz w:val="21"/>
                <w:szCs w:val="21"/>
              </w:rPr>
              <w:t> </w:t>
            </w:r>
          </w:p>
        </w:tc>
      </w:tr>
      <w:tr>
        <w:tblPrEx>
          <w:tblCellMar>
            <w:top w:w="0" w:type="dxa"/>
            <w:left w:w="0" w:type="dxa"/>
            <w:bottom w:w="0" w:type="dxa"/>
            <w:right w:w="0" w:type="dxa"/>
          </w:tblCellMar>
        </w:tblPrEx>
        <w:trPr>
          <w:trHeight w:val="237" w:hRule="atLeast"/>
          <w:jc w:val="center"/>
        </w:trPr>
        <w:tc>
          <w:tcPr>
            <w:tcW w:w="0" w:type="auto"/>
            <w:gridSpan w:val="2"/>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hint="eastAsia"/>
                <w:sz w:val="21"/>
                <w:szCs w:val="21"/>
              </w:rPr>
              <w:t>总计</w:t>
            </w:r>
          </w:p>
        </w:tc>
        <w:tc>
          <w:tcPr>
            <w:tcW w:w="98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r>
              <w:rPr>
                <w:rFonts w:ascii="Times New Roman" w:hAnsi="Times New Roman" w:cs="Times New Roman"/>
                <w:sz w:val="21"/>
                <w:szCs w:val="21"/>
              </w:rPr>
              <w:t>40</w:t>
            </w:r>
          </w:p>
        </w:tc>
        <w:tc>
          <w:tcPr>
            <w:tcW w:w="834" w:type="pct"/>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center"/>
          </w:tcPr>
          <w:p>
            <w:pPr>
              <w:pStyle w:val="11"/>
              <w:spacing w:before="0" w:beforeAutospacing="0" w:after="0" w:afterAutospacing="0"/>
              <w:jc w:val="center"/>
            </w:pPr>
          </w:p>
        </w:tc>
      </w:tr>
      <w:tr>
        <w:tblPrEx>
          <w:tblCellMar>
            <w:top w:w="0" w:type="dxa"/>
            <w:left w:w="0" w:type="dxa"/>
            <w:bottom w:w="0" w:type="dxa"/>
            <w:right w:w="0" w:type="dxa"/>
          </w:tblCellMar>
        </w:tblPrEx>
        <w:trPr>
          <w:jc w:val="center"/>
        </w:trPr>
        <w:tc>
          <w:tcPr>
            <w:tcW w:w="709" w:type="dxa"/>
            <w:tcBorders>
              <w:top w:val="nil"/>
              <w:left w:val="nil"/>
              <w:bottom w:val="nil"/>
              <w:right w:val="nil"/>
            </w:tcBorders>
            <w:noWrap w:val="0"/>
            <w:vAlign w:val="center"/>
          </w:tcPr>
          <w:p>
            <w:pPr>
              <w:rPr>
                <w:sz w:val="1"/>
              </w:rPr>
            </w:pPr>
          </w:p>
        </w:tc>
        <w:tc>
          <w:tcPr>
            <w:tcW w:w="4250" w:type="dxa"/>
            <w:tcBorders>
              <w:top w:val="nil"/>
              <w:left w:val="nil"/>
              <w:bottom w:val="nil"/>
              <w:right w:val="nil"/>
            </w:tcBorders>
            <w:noWrap w:val="0"/>
            <w:vAlign w:val="center"/>
          </w:tcPr>
          <w:p>
            <w:pPr>
              <w:rPr>
                <w:sz w:val="1"/>
              </w:rPr>
            </w:pPr>
          </w:p>
        </w:tc>
        <w:tc>
          <w:tcPr>
            <w:tcW w:w="1533" w:type="dxa"/>
            <w:tcBorders>
              <w:top w:val="nil"/>
              <w:left w:val="nil"/>
              <w:bottom w:val="nil"/>
              <w:right w:val="nil"/>
            </w:tcBorders>
            <w:noWrap w:val="0"/>
            <w:vAlign w:val="center"/>
          </w:tcPr>
          <w:p>
            <w:pPr>
              <w:rPr>
                <w:sz w:val="1"/>
              </w:rPr>
            </w:pPr>
          </w:p>
        </w:tc>
        <w:tc>
          <w:tcPr>
            <w:tcW w:w="1300" w:type="dxa"/>
            <w:tcBorders>
              <w:top w:val="nil"/>
              <w:left w:val="nil"/>
              <w:bottom w:val="nil"/>
              <w:right w:val="nil"/>
            </w:tcBorders>
            <w:noWrap w:val="0"/>
            <w:vAlign w:val="center"/>
          </w:tcPr>
          <w:p>
            <w:pPr>
              <w:rPr>
                <w:sz w:val="1"/>
              </w:rPr>
            </w:pPr>
          </w:p>
        </w:tc>
      </w:tr>
    </w:tbl>
    <w:p>
      <w:pPr>
        <w:pStyle w:val="11"/>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pPr>
        <w:pStyle w:val="11"/>
        <w:spacing w:before="0" w:beforeAutospacing="0" w:after="0" w:afterAutospacing="0"/>
        <w:jc w:val="both"/>
      </w:pPr>
      <w:r>
        <w:rPr>
          <w:rFonts w:hint="eastAsia"/>
          <w:sz w:val="21"/>
          <w:szCs w:val="21"/>
        </w:rPr>
        <w:t>请简要说明项目开发建设、运营维护过程中的其他创新措施及其社会和经济效益。</w:t>
      </w:r>
    </w:p>
    <w:tbl>
      <w:tblPr>
        <w:tblStyle w:val="13"/>
        <w:tblW w:w="0" w:type="auto"/>
        <w:jc w:val="center"/>
        <w:tblLayout w:type="autofit"/>
        <w:tblCellMar>
          <w:top w:w="0" w:type="dxa"/>
          <w:left w:w="0" w:type="dxa"/>
          <w:bottom w:w="0" w:type="dxa"/>
          <w:right w:w="0" w:type="dxa"/>
        </w:tblCellMar>
      </w:tblPr>
      <w:tblGrid>
        <w:gridCol w:w="8056"/>
      </w:tblGrid>
      <w:tr>
        <w:tblPrEx>
          <w:tblCellMar>
            <w:top w:w="0" w:type="dxa"/>
            <w:left w:w="0" w:type="dxa"/>
            <w:bottom w:w="0" w:type="dxa"/>
            <w:right w:w="0" w:type="dxa"/>
          </w:tblCellMar>
        </w:tblPrEx>
        <w:trPr>
          <w:trHeight w:val="2634" w:hRule="atLeast"/>
          <w:jc w:val="center"/>
        </w:trPr>
        <w:tc>
          <w:tcPr>
            <w:tcW w:w="8056"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rPr>
                <w:sz w:val="20"/>
                <w:szCs w:val="20"/>
              </w:rPr>
            </w:pPr>
            <w:r>
              <w:rPr>
                <w:rFonts w:hint="eastAsia"/>
                <w:sz w:val="20"/>
                <w:szCs w:val="20"/>
              </w:rPr>
              <w:t> </w:t>
            </w:r>
          </w:p>
          <w:p>
            <w:pPr>
              <w:spacing w:before="100" w:beforeAutospacing="1" w:after="100" w:afterAutospacing="1"/>
              <w:rPr>
                <w:rFonts w:hint="eastAsia"/>
              </w:rPr>
            </w:pPr>
            <w:r>
              <w:rPr>
                <w:b/>
                <w:bCs/>
              </w:rPr>
              <w:t> 深化对建筑设计的创新，能够有效节约能源，建筑设计的创新能够对太</w:t>
            </w:r>
            <w:r>
              <w:rPr>
                <w:b/>
                <w:bCs/>
              </w:rPr>
              <w:br w:type="textWrapping"/>
            </w:r>
            <w:r>
              <w:rPr>
                <w:b/>
                <w:bCs/>
              </w:rPr>
              <w:t>阳及其它能源、节能建筑结构进行充分利用，使建筑降低能耗。</w:t>
            </w:r>
            <w:r>
              <w:rPr>
                <w:b/>
                <w:bCs/>
              </w:rPr>
              <w:br w:type="textWrapping"/>
            </w:r>
            <w:r>
              <w:rPr>
                <w:b/>
                <w:bCs/>
              </w:rPr>
              <w:t>  进行建筑设计的创新，可以对建设资源进行合理有效的配置。在建筑设</w:t>
            </w:r>
            <w:r>
              <w:rPr>
                <w:b/>
                <w:bCs/>
              </w:rPr>
              <w:br w:type="textWrapping"/>
            </w:r>
            <w:r>
              <w:rPr>
                <w:b/>
                <w:bCs/>
              </w:rPr>
              <w:t>计建造时，对资源能够介理配置与应用，使用水及其它资源比较节约。</w:t>
            </w:r>
            <w:r>
              <w:rPr>
                <w:b/>
                <w:bCs/>
              </w:rPr>
              <w:br w:type="textWrapping"/>
            </w:r>
            <w:r>
              <w:rPr>
                <w:b/>
                <w:bCs/>
              </w:rPr>
              <w:t>  建筑设计创新也是促进建筑行业与自然和谐相处的必须。建筑造型、空</w:t>
            </w:r>
            <w:r>
              <w:rPr>
                <w:b/>
                <w:bCs/>
              </w:rPr>
              <w:br w:type="textWrapping"/>
            </w:r>
            <w:r>
              <w:rPr>
                <w:b/>
                <w:bCs/>
              </w:rPr>
              <w:t>间等与周围环境能够紧密结合、保持协调，实现达到生态目的。</w:t>
            </w:r>
          </w:p>
          <w:p>
            <w:r>
              <w:rPr>
                <w:rFonts w:hint="eastAsia" w:ascii="MS Mincho" w:hAnsi="MS Mincho" w:eastAsia="MS Mincho" w:cs="MS Mincho"/>
                <w:sz w:val="20"/>
                <w:szCs w:val="20"/>
              </w:rPr>
              <w:t>​</w:t>
            </w:r>
          </w:p>
        </w:tc>
      </w:tr>
    </w:tbl>
    <w:p>
      <w:pPr>
        <w:pStyle w:val="11"/>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pPr>
        <w:pStyle w:val="11"/>
        <w:spacing w:before="0" w:beforeAutospacing="0" w:after="0" w:afterAutospacing="0"/>
        <w:jc w:val="both"/>
      </w:pPr>
      <w:r>
        <w:rPr>
          <w:rFonts w:hint="eastAsia"/>
          <w:sz w:val="21"/>
          <w:szCs w:val="21"/>
        </w:rPr>
        <w:t>提交材料及要求：</w:t>
      </w:r>
    </w:p>
    <w:p>
      <w:pPr>
        <w:pStyle w:val="11"/>
        <w:spacing w:before="0" w:beforeAutospacing="0" w:after="0" w:afterAutospacing="0" w:line="288" w:lineRule="auto"/>
        <w:jc w:val="both"/>
        <w:rPr>
          <w:sz w:val="21"/>
          <w:szCs w:val="21"/>
        </w:rPr>
      </w:pPr>
      <w:r>
        <w:rPr>
          <w:rFonts w:hint="eastAsia"/>
          <w:sz w:val="21"/>
          <w:szCs w:val="21"/>
        </w:rPr>
        <w:t>1）创新措施相关设计文件；</w:t>
      </w:r>
    </w:p>
    <w:p>
      <w:pPr>
        <w:pStyle w:val="11"/>
        <w:spacing w:before="0" w:beforeAutospacing="0" w:after="0" w:afterAutospacing="0" w:line="288" w:lineRule="auto"/>
        <w:jc w:val="both"/>
        <w:rPr>
          <w:sz w:val="21"/>
          <w:szCs w:val="21"/>
        </w:rPr>
      </w:pPr>
      <w:r>
        <w:rPr>
          <w:rFonts w:hint="eastAsia"/>
          <w:sz w:val="21"/>
          <w:szCs w:val="21"/>
        </w:rPr>
        <w:t>2）创新措施的分析论证报告及相关证明材料。</w:t>
      </w:r>
    </w:p>
    <w:p>
      <w:pPr>
        <w:pStyle w:val="11"/>
        <w:spacing w:before="0" w:beforeAutospacing="0" w:after="0" w:afterAutospacing="0" w:line="288" w:lineRule="auto"/>
        <w:jc w:val="both"/>
        <w:rPr>
          <w:sz w:val="21"/>
          <w:szCs w:val="21"/>
        </w:rPr>
      </w:pPr>
      <w:r>
        <w:rPr>
          <w:rFonts w:hint="eastAsia"/>
          <w:sz w:val="21"/>
          <w:szCs w:val="21"/>
        </w:rPr>
        <w:t> </w:t>
      </w:r>
    </w:p>
    <w:p>
      <w:pPr>
        <w:pStyle w:val="11"/>
        <w:spacing w:before="0" w:beforeAutospacing="0" w:after="0" w:afterAutospacing="0"/>
        <w:jc w:val="both"/>
      </w:pPr>
      <w:r>
        <w:rPr>
          <w:rFonts w:hint="eastAsia"/>
          <w:sz w:val="21"/>
          <w:szCs w:val="21"/>
        </w:rPr>
        <w:t>实际提交材料：</w:t>
      </w:r>
    </w:p>
    <w:tbl>
      <w:tblPr>
        <w:tblStyle w:val="13"/>
        <w:tblW w:w="0" w:type="auto"/>
        <w:jc w:val="center"/>
        <w:tblLayout w:type="autofit"/>
        <w:tblCellMar>
          <w:top w:w="0" w:type="dxa"/>
          <w:left w:w="0" w:type="dxa"/>
          <w:bottom w:w="0" w:type="dxa"/>
          <w:right w:w="0" w:type="dxa"/>
        </w:tblCellMar>
      </w:tblPr>
      <w:tblGrid>
        <w:gridCol w:w="8508"/>
      </w:tblGrid>
      <w:tr>
        <w:tblPrEx>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noWrap w:val="0"/>
            <w:tcMar>
              <w:top w:w="0" w:type="dxa"/>
              <w:left w:w="101" w:type="dxa"/>
              <w:bottom w:w="0" w:type="dxa"/>
              <w:right w:w="101" w:type="dxa"/>
            </w:tcMar>
            <w:vAlign w:val="top"/>
          </w:tcPr>
          <w:p>
            <w:pPr>
              <w:pStyle w:val="11"/>
              <w:spacing w:before="0" w:beforeAutospacing="0" w:after="0" w:afterAutospacing="0"/>
            </w:pPr>
          </w:p>
        </w:tc>
      </w:tr>
    </w:tbl>
    <w:p>
      <w:pPr>
        <w:pStyle w:val="11"/>
        <w:spacing w:before="0" w:beforeAutospacing="0" w:after="0" w:afterAutospacing="0"/>
        <w:jc w:val="both"/>
      </w:pPr>
      <w:r>
        <w:rPr>
          <w:rFonts w:ascii="Calibri" w:hAnsi="Calibri"/>
          <w:sz w:val="21"/>
          <w:szCs w:val="21"/>
        </w:rPr>
        <w:t> </w:t>
      </w:r>
    </w:p>
    <w:p/>
    <w:sectPr>
      <w:pgSz w:w="11906" w:h="16838"/>
      <w:pgMar w:top="1440" w:right="1800" w:bottom="1440" w:left="180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E12F8"/>
    <w:multiLevelType w:val="singleLevel"/>
    <w:tmpl w:val="34FE12F8"/>
    <w:lvl w:ilvl="0" w:tentative="0">
      <w:start w:val="2"/>
      <w:numFmt w:val="chineseCounting"/>
      <w:suff w:val="nothing"/>
      <w:lvlText w:val="%1、"/>
      <w:lvlJc w:val="left"/>
      <w:rPr>
        <w:rFonts w:hint="eastAsia"/>
      </w:rPr>
    </w:lvl>
  </w:abstractNum>
  <w:abstractNum w:abstractNumId="1">
    <w:nsid w:val="3B8B0FC7"/>
    <w:multiLevelType w:val="multilevel"/>
    <w:tmpl w:val="3B8B0F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37D4671"/>
    <w:multiLevelType w:val="multilevel"/>
    <w:tmpl w:val="437D46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54B0AD9"/>
    <w:multiLevelType w:val="multilevel"/>
    <w:tmpl w:val="754B0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jJkYWJiMjQ5ZTI4OTgxZGQyMWY3NDYwN2M5OTkifQ=="/>
  </w:docVars>
  <w:rsids>
    <w:rsidRoot w:val="00000000"/>
    <w:rsid w:val="47A568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9"/>
    <w:autoRedefine/>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0"/>
    <w:autoRedefine/>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1"/>
    <w:autoRedefine/>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5">
    <w:name w:val="Default Paragraph Font"/>
    <w:autoRedefine/>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link w:val="18"/>
    <w:unhideWhenUsed/>
    <w:qFormat/>
    <w:uiPriority w:val="99"/>
    <w:pPr>
      <w:tabs>
        <w:tab w:val="center" w:pos="4680"/>
        <w:tab w:val="right" w:pos="9360"/>
      </w:tabs>
    </w:pPr>
  </w:style>
  <w:style w:type="paragraph" w:styleId="10">
    <w:name w:val="Subtitle"/>
    <w:basedOn w:val="1"/>
    <w:next w:val="1"/>
    <w:link w:val="23"/>
    <w:autoRedefine/>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1">
    <w:name w:val="Normal (Web)"/>
    <w:basedOn w:val="1"/>
    <w:unhideWhenUsed/>
    <w:qFormat/>
    <w:uiPriority w:val="99"/>
    <w:pPr>
      <w:spacing w:before="100" w:beforeAutospacing="1" w:after="100" w:afterAutospacing="1"/>
    </w:pPr>
  </w:style>
  <w:style w:type="paragraph" w:styleId="1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link w:val="9"/>
    <w:uiPriority w:val="99"/>
  </w:style>
  <w:style w:type="character" w:customStyle="1" w:styleId="19">
    <w:name w:val="Heading 1 Char"/>
    <w:basedOn w:val="15"/>
    <w:link w:val="2"/>
    <w:autoRedefine/>
    <w:uiPriority w:val="9"/>
    <w:rPr>
      <w:rFonts w:asciiTheme="majorHAnsi" w:hAnsiTheme="majorHAnsi" w:eastAsiaTheme="majorEastAsia" w:cstheme="majorBidi"/>
      <w:b/>
      <w:bCs/>
      <w:color w:val="366091" w:themeColor="accent1" w:themeShade="BF"/>
      <w:sz w:val="28"/>
      <w:szCs w:val="28"/>
    </w:rPr>
  </w:style>
  <w:style w:type="character" w:customStyle="1" w:styleId="20">
    <w:name w:val="Heading 2 Char"/>
    <w:basedOn w:val="15"/>
    <w:link w:val="3"/>
    <w:autoRedefine/>
    <w:uiPriority w:val="9"/>
    <w:rPr>
      <w:rFonts w:asciiTheme="majorHAnsi" w:hAnsiTheme="majorHAnsi" w:eastAsiaTheme="majorEastAsia" w:cstheme="majorBidi"/>
      <w:b/>
      <w:bCs/>
      <w:color w:val="4F81BD" w:themeColor="accent1"/>
      <w:sz w:val="26"/>
      <w:szCs w:val="26"/>
    </w:rPr>
  </w:style>
  <w:style w:type="character" w:customStyle="1" w:styleId="21">
    <w:name w:val="Heading 3 Char"/>
    <w:basedOn w:val="15"/>
    <w:link w:val="4"/>
    <w:qFormat/>
    <w:uiPriority w:val="9"/>
    <w:rPr>
      <w:rFonts w:asciiTheme="majorHAnsi" w:hAnsiTheme="majorHAnsi" w:eastAsiaTheme="majorEastAsia" w:cstheme="majorBidi"/>
      <w:b/>
      <w:bCs/>
      <w:color w:val="4F81BD" w:themeColor="accent1"/>
    </w:rPr>
  </w:style>
  <w:style w:type="character" w:customStyle="1" w:styleId="22">
    <w:name w:val="Heading 4 Char"/>
    <w:basedOn w:val="15"/>
    <w:link w:val="5"/>
    <w:autoRedefine/>
    <w:uiPriority w:val="9"/>
    <w:rPr>
      <w:rFonts w:asciiTheme="majorHAnsi" w:hAnsiTheme="majorHAnsi" w:eastAsiaTheme="majorEastAsia" w:cstheme="majorBidi"/>
      <w:b/>
      <w:bCs/>
      <w:i/>
      <w:iCs/>
      <w:color w:val="4F81BD" w:themeColor="accent1"/>
    </w:rPr>
  </w:style>
  <w:style w:type="character" w:customStyle="1" w:styleId="23">
    <w:name w:val="Subtitle Char"/>
    <w:basedOn w:val="15"/>
    <w:link w:val="10"/>
    <w:uiPriority w:val="11"/>
    <w:rPr>
      <w:rFonts w:asciiTheme="majorHAnsi" w:hAnsiTheme="majorHAnsi" w:eastAsiaTheme="majorEastAsia" w:cstheme="majorBidi"/>
      <w:i/>
      <w:iCs/>
      <w:color w:val="4F81BD" w:themeColor="accent1"/>
      <w:spacing w:val="15"/>
      <w:sz w:val="24"/>
      <w:szCs w:val="24"/>
    </w:rPr>
  </w:style>
  <w:style w:type="character" w:customStyle="1" w:styleId="24">
    <w:name w:val="Title Char"/>
    <w:basedOn w:val="15"/>
    <w:link w:val="12"/>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5">
    <w:name w:val="change_color"/>
    <w:uiPriority w:val="0"/>
  </w:style>
  <w:style w:type="character" w:customStyle="1" w:styleId="26">
    <w:name w:val="sciencebox"/>
    <w:basedOn w:val="15"/>
    <w:autoRedefine/>
    <w:qFormat/>
    <w:uiPriority w:val="0"/>
  </w:style>
  <w:style w:type="paragraph" w:customStyle="1" w:styleId="27">
    <w:name w:val="条文"/>
    <w:basedOn w:val="1"/>
    <w:uiPriority w:val="0"/>
    <w:pPr>
      <w:widowControl w:val="0"/>
      <w:spacing w:line="300" w:lineRule="auto"/>
      <w:jc w:val="both"/>
      <w:outlineLvl w:val="2"/>
    </w:pPr>
    <w:rPr>
      <w:rFonts w:ascii="Times New Roman" w:hAnsi="Times New Roman" w:cs="Times New Roman"/>
      <w:kern w:val="2"/>
    </w:rPr>
  </w:style>
  <w:style w:type="character" w:customStyle="1" w:styleId="28">
    <w:name w:val="样式1"/>
    <w:autoRedefine/>
    <w:qFormat/>
    <w:uiPriority w:val="1"/>
    <w:rPr>
      <w:rFonts w:eastAsia="宋体"/>
      <w:sz w:val="21"/>
    </w:rPr>
  </w:style>
  <w:style w:type="paragraph" w:customStyle="1" w:styleId="29">
    <w:name w:val="列出段落1"/>
    <w:basedOn w:val="1"/>
    <w:autoRedefine/>
    <w:qFormat/>
    <w:uiPriority w:val="34"/>
    <w:pPr>
      <w:widowControl w:val="0"/>
      <w:spacing w:line="288" w:lineRule="auto"/>
      <w:ind w:firstLine="420" w:firstLineChars="200"/>
      <w:jc w:val="both"/>
    </w:pPr>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59</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2024-03-13T11:47:05Z</dcterms:created>
  <dc:creator>qianlinghui</dc:creator>
  <cp:lastModifiedBy>WPS_1635694710</cp:lastModifiedBy>
  <dcterms:modified xsi:type="dcterms:W3CDTF">2024-03-13T14:03:29Z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649559B4F77541A3AF0872D80F3E3266_13</vt:lpwstr>
  </property>
</Properties>
</file>