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r="http://schemas.openxmlformats.org/officeDocument/2006/relationships" xmlns:wp="http://schemas.openxmlformats.org/drawingml/2006/wordprocessingDrawing" xmlns:a="http://schemas.openxmlformats.org/drawingml/2006/main" xmlns:w14="http://schemas.microsoft.com/office/word/2010/wordml" xmlns:m="http://schemas.openxmlformats.org/officeDocument/2006/math"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 色 建 筑 预 评 价</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木·源</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0.0</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江苏省住房和城乡建设厅科技发展中心</w:t>
      </w:r>
    </w:p>
    <w:p>
      <w:pPr>
        <w:jc w:val="center"/>
      </w:pPr>
      <w:r>
        <w:rPr>
          <w:rFonts w:hint="eastAsia" w:ascii="宋体" w:hAnsi="宋体"/>
          <w:b/>
          <w:bCs/>
          <w:color w:val="000000"/>
          <w:sz w:val="32"/>
          <w:szCs w:val="32"/>
        </w:rPr>
        <w:t>2021年9月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	本报告用于申请绿色建筑设计评价标识，由申报单位填写；</w:t>
      </w:r>
    </w:p>
    <w:p>
      <w:pPr>
        <w:jc w:val="left"/>
      </w:pPr>
      <w:r>
        <w:rPr>
          <w:rFonts w:hint="eastAsia" w:ascii="宋体" w:hAnsi="宋体"/>
          <w:bCs/>
          <w:color w:val="000000"/>
          <w:sz w:val="30"/>
          <w:szCs w:val="30"/>
        </w:rPr>
        <w:t>2、	 “得分自评”项的填写方式：在自评得分分类对应的表格中，填写符合项目情况的得分，不达标的条文，自评得分填写“0”；不参评的条文填写“不参评”，注明理由，并在“实际提交材料”中提供证明材料，其得分处理方式按相关规定执行；</w:t>
      </w:r>
    </w:p>
    <w:p>
      <w:pPr>
        <w:jc w:val="left"/>
      </w:pPr>
      <w:r>
        <w:rPr>
          <w:rFonts w:hint="eastAsia" w:ascii="宋体" w:hAnsi="宋体"/>
          <w:bCs/>
          <w:color w:val="000000"/>
          <w:sz w:val="30"/>
          <w:szCs w:val="30"/>
        </w:rPr>
        <w:t>3、	“实际提交材料”中列表填写对应条文实际提交的材料的全称、查阅路径；</w:t>
      </w:r>
    </w:p>
    <w:p>
      <w:pPr>
        <w:jc w:val="left"/>
      </w:pPr>
      <w:r>
        <w:rPr>
          <w:rFonts w:hint="eastAsia" w:ascii="宋体" w:hAnsi="宋体"/>
          <w:bCs/>
          <w:color w:val="000000"/>
          <w:sz w:val="30"/>
          <w:szCs w:val="30"/>
        </w:rPr>
        <w:t>4、	填写本报告时，可进行编辑性修改，但不应自行删除技术内容和要求。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3　星级要求且每类指标评分项得分不小于其评分项的满分值的30%（见表1），评分项与加分项的加权总得分达到　3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100.0</w:t>
            </w:r>
          </w:p>
        </w:tc>
        <w:tc>
          <w:tcPr>
            <w:tcW w:w="1900" w:type="dxa"/>
            <w:vAlign w:val="center"/>
          </w:tcPr>
          <w:p>
            <w:pPr>
              <w:spacing w:before="0" w:after="3" w:lineRule="auto"/>
              <w:jc w:val="center"/>
            </w:pPr>
            <w:r>
              <w:rPr>
                <w:rFonts w:hint="eastAsia" w:ascii="宋体" w:hAnsi="宋体"/>
                <w:bCs/>
                <w:color w:val="000000"/>
                <w:sz w:val="24"/>
                <w:szCs w:val="24"/>
              </w:rPr>
              <w:t>81.0</w:t>
            </w:r>
          </w:p>
        </w:tc>
        <w:tc>
          <w:tcPr>
            <w:tcW w:w="1900" w:type="dxa"/>
            <w:vAlign w:val="center"/>
          </w:tcPr>
          <w:p>
            <w:pPr>
              <w:spacing w:before="0" w:after="3" w:lineRule="auto"/>
              <w:jc w:val="center"/>
            </w:pPr>
            <w:r>
              <w:rPr>
                <w:rFonts w:hint="eastAsia" w:ascii="宋体" w:hAnsi="宋体"/>
                <w:bCs/>
                <w:color w:val="000000"/>
                <w:sz w:val="24"/>
                <w:szCs w:val="24"/>
              </w:rPr>
              <w:t>47.0</w:t>
            </w:r>
          </w:p>
        </w:tc>
        <w:tc>
          <w:tcPr>
            <w:tcW w:w="1900" w:type="dxa"/>
            <w:vAlign w:val="center"/>
          </w:tcPr>
          <w:p>
            <w:pPr>
              <w:spacing w:before="0" w:after="3" w:lineRule="auto"/>
              <w:jc w:val="center"/>
            </w:pPr>
            <w:r>
              <w:rPr>
                <w:rFonts w:hint="eastAsia" w:ascii="宋体" w:hAnsi="宋体"/>
                <w:bCs/>
                <w:color w:val="000000"/>
                <w:sz w:val="24"/>
                <w:szCs w:val="24"/>
              </w:rPr>
              <w:t>93.0</w:t>
            </w:r>
          </w:p>
        </w:tc>
        <w:tc>
          <w:tcPr>
            <w:tcW w:w="1900" w:type="dxa"/>
            <w:vAlign w:val="center"/>
          </w:tcPr>
          <w:p>
            <w:pPr>
              <w:spacing w:before="0" w:after="3" w:lineRule="auto"/>
              <w:jc w:val="center"/>
            </w:pPr>
            <w:r>
              <w:rPr>
                <w:rFonts w:hint="eastAsia" w:ascii="宋体" w:hAnsi="宋体"/>
                <w:bCs/>
                <w:color w:val="000000"/>
                <w:sz w:val="24"/>
                <w:szCs w:val="24"/>
              </w:rPr>
              <w:t>77.0</w:t>
            </w:r>
          </w:p>
        </w:tc>
        <w:tc>
          <w:tcPr>
            <w:tcW w:w="1900" w:type="dxa"/>
            <w:vAlign w:val="center"/>
          </w:tcPr>
          <w:p>
            <w:pPr>
              <w:spacing w:before="0" w:after="3" w:lineRule="auto"/>
              <w:jc w:val="center"/>
            </w:pPr>
            <w:r>
              <w:rPr>
                <w:rFonts w:hint="eastAsia" w:ascii="宋体" w:hAnsi="宋体"/>
                <w:bCs/>
                <w:color w:val="000000"/>
                <w:sz w:val="24"/>
                <w:szCs w:val="24"/>
              </w:rPr>
              <w:t>87</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88.5</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Cs/>
          <w:color w:val="000000"/>
          <w:sz w:val="20"/>
          <w:szCs w:val="20"/>
        </w:rPr>
        <w:t>表3分专业自评得分情况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2"/>
                <w:szCs w:val="22"/>
              </w:rPr>
              <w:t>规划</w:t>
            </w:r>
          </w:p>
        </w:tc>
        <w:tc>
          <w:tcPr>
            <w:tcW w:w="1900" w:type="dxa"/>
            <w:vAlign w:val="center"/>
          </w:tcPr>
          <w:p>
            <w:pPr>
              <w:spacing w:before="0" w:after="3" w:lineRule="auto"/>
              <w:jc w:val="center"/>
            </w:pPr>
            <w:r>
              <w:rPr>
                <w:rFonts w:hint="eastAsia" w:ascii="宋体" w:hAnsi="宋体"/>
                <w:b/>
                <w:bCs/>
                <w:color w:val="000000"/>
                <w:sz w:val="22"/>
                <w:szCs w:val="22"/>
              </w:rPr>
              <w:t>建筑</w:t>
            </w:r>
          </w:p>
        </w:tc>
        <w:tc>
          <w:tcPr>
            <w:tcW w:w="1900" w:type="dxa"/>
            <w:vAlign w:val="center"/>
          </w:tcPr>
          <w:p>
            <w:pPr>
              <w:spacing w:before="0" w:after="3" w:lineRule="auto"/>
              <w:jc w:val="center"/>
            </w:pPr>
            <w:r>
              <w:rPr>
                <w:rFonts w:hint="eastAsia" w:ascii="宋体" w:hAnsi="宋体"/>
                <w:b/>
                <w:bCs/>
                <w:color w:val="000000"/>
                <w:sz w:val="22"/>
                <w:szCs w:val="22"/>
              </w:rPr>
              <w:t>结构/建材</w:t>
            </w:r>
          </w:p>
        </w:tc>
        <w:tc>
          <w:tcPr>
            <w:tcW w:w="1900" w:type="dxa"/>
            <w:vAlign w:val="center"/>
          </w:tcPr>
          <w:p>
            <w:pPr>
              <w:spacing w:before="0" w:after="3" w:lineRule="auto"/>
              <w:jc w:val="center"/>
            </w:pPr>
            <w:r>
              <w:rPr>
                <w:rFonts w:hint="eastAsia" w:ascii="宋体" w:hAnsi="宋体"/>
                <w:b/>
                <w:bCs/>
                <w:color w:val="000000"/>
                <w:sz w:val="22"/>
                <w:szCs w:val="22"/>
              </w:rPr>
              <w:t>给排水</w:t>
            </w:r>
          </w:p>
        </w:tc>
        <w:tc>
          <w:tcPr>
            <w:tcW w:w="1900" w:type="dxa"/>
            <w:vAlign w:val="center"/>
          </w:tcPr>
          <w:p>
            <w:pPr>
              <w:spacing w:before="0" w:after="3" w:lineRule="auto"/>
              <w:jc w:val="center"/>
            </w:pPr>
            <w:r>
              <w:rPr>
                <w:rFonts w:hint="eastAsia" w:ascii="宋体" w:hAnsi="宋体"/>
                <w:b/>
                <w:bCs/>
                <w:color w:val="000000"/>
                <w:sz w:val="22"/>
                <w:szCs w:val="22"/>
              </w:rPr>
              <w:t>暖通</w:t>
            </w:r>
          </w:p>
        </w:tc>
        <w:tc>
          <w:tcPr>
            <w:tcW w:w="1900" w:type="dxa"/>
            <w:vAlign w:val="center"/>
          </w:tcPr>
          <w:p>
            <w:pPr>
              <w:spacing w:before="0" w:after="3" w:lineRule="auto"/>
              <w:jc w:val="center"/>
            </w:pPr>
            <w:r>
              <w:rPr>
                <w:rFonts w:hint="eastAsia" w:ascii="宋体" w:hAnsi="宋体"/>
                <w:b/>
                <w:bCs/>
                <w:color w:val="000000"/>
                <w:sz w:val="22"/>
                <w:szCs w:val="22"/>
              </w:rPr>
              <w:t>建筑物理</w:t>
            </w:r>
          </w:p>
        </w:tc>
        <w:tc>
          <w:tcPr>
            <w:tcW w:w="1900" w:type="dxa"/>
            <w:vAlign w:val="center"/>
          </w:tcPr>
          <w:p>
            <w:pPr>
              <w:spacing w:before="0" w:after="3" w:lineRule="auto"/>
              <w:jc w:val="center"/>
            </w:pPr>
            <w:r>
              <w:rPr>
                <w:rFonts w:hint="eastAsia" w:ascii="宋体" w:hAnsi="宋体"/>
                <w:b/>
                <w:bCs/>
                <w:color w:val="000000"/>
                <w:sz w:val="22"/>
                <w:szCs w:val="22"/>
              </w:rPr>
              <w:t>电气</w:t>
            </w:r>
          </w:p>
        </w:tc>
        <w:tc>
          <w:tcPr>
            <w:tcW w:w="1900" w:type="dxa"/>
            <w:vAlign w:val="center"/>
          </w:tcPr>
          <w:p>
            <w:pPr>
              <w:spacing w:before="0" w:after="3" w:lineRule="auto"/>
              <w:jc w:val="center"/>
            </w:pPr>
            <w:r>
              <w:rPr>
                <w:rFonts w:hint="eastAsia" w:ascii="宋体" w:hAnsi="宋体"/>
                <w:b/>
                <w:bCs/>
                <w:color w:val="000000"/>
                <w:sz w:val="22"/>
                <w:szCs w:val="22"/>
              </w:rPr>
              <w:t>合计</w:t>
            </w:r>
          </w:p>
        </w:tc>
        <w:tc>
          <w:tcPr>
            <w:tcW w:w="1900" w:type="dxa"/>
            <w:vAlign w:val="center"/>
          </w:tcPr>
          <w:p>
            <w:pPr>
              <w:spacing w:before="0" w:after="3" w:lineRule="auto"/>
              <w:jc w:val="center"/>
            </w:pPr>
            <w:r>
              <w:rPr>
                <w:rFonts w:hint="eastAsia" w:ascii="宋体" w:hAnsi="宋体"/>
                <w:b/>
                <w:bCs/>
                <w:color w:val="000000"/>
                <w:sz w:val="22"/>
                <w:szCs w:val="22"/>
              </w:rPr>
              <w:t>备注</w:t>
            </w:r>
          </w:p>
        </w:tc>
      </w:tr>
      <w:tr>
        <w:tc>
          <w:tcPr>
            <w:tcW w:w="1900" w:type="dxa"/>
            <w:vAlign w:val="center"/>
          </w:tcPr>
          <w:p>
            <w:pPr>
              <w:spacing w:before="0" w:after="3" w:lineRule="auto"/>
              <w:jc w:val="center"/>
            </w:pPr>
            <w:r>
              <w:rPr>
                <w:rFonts w:hint="eastAsia" w:ascii="宋体" w:hAnsi="宋体"/>
                <w:b/>
                <w:bCs/>
                <w:color w:val="000000"/>
                <w:sz w:val="24"/>
                <w:szCs w:val="24"/>
              </w:rPr>
              <w:t>控制项</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18"/>
                <w:szCs w:val="18"/>
              </w:rPr>
              <w:t>全部达标得400分</w:t>
            </w:r>
          </w:p>
        </w:tc>
      </w:tr>
      <w:tr>
        <w:tc>
          <w:tcPr>
            <w:tcW w:w="1900" w:type="dxa"/>
            <w:vAlign w:val="center"/>
          </w:tcPr>
          <w:p>
            <w:pPr>
              <w:spacing w:before="0" w:after="3" w:lineRule="auto"/>
              <w:jc w:val="center"/>
            </w:pPr>
            <w:r>
              <w:rPr>
                <w:rFonts w:hint="eastAsia" w:ascii="宋体" w:hAnsi="宋体"/>
                <w:b/>
                <w:bCs/>
                <w:color w:val="000000"/>
                <w:sz w:val="24"/>
                <w:szCs w:val="24"/>
              </w:rPr>
              <w:t>评分项</w:t>
            </w:r>
          </w:p>
        </w:tc>
        <w:tc>
          <w:tcPr>
            <w:tcW w:w="1900" w:type="dxa"/>
            <w:vAlign w:val="center"/>
          </w:tcPr>
          <w:p>
            <w:pPr>
              <w:spacing w:before="0" w:after="3" w:lineRule="auto"/>
              <w:jc w:val="center"/>
            </w:pPr>
            <w:r>
              <w:rPr>
                <w:rFonts w:hint="eastAsia" w:ascii="宋体" w:hAnsi="宋体"/>
                <w:bCs/>
                <w:color w:val="000000"/>
                <w:sz w:val="24"/>
                <w:szCs w:val="24"/>
              </w:rPr>
              <w:t>83</w:t>
            </w:r>
          </w:p>
        </w:tc>
        <w:tc>
          <w:tcPr>
            <w:tcW w:w="1900" w:type="dxa"/>
            <w:vAlign w:val="center"/>
          </w:tcPr>
          <w:p>
            <w:pPr>
              <w:spacing w:before="0" w:after="3" w:lineRule="auto"/>
              <w:jc w:val="center"/>
            </w:pPr>
            <w:r>
              <w:rPr>
                <w:rFonts w:hint="eastAsia" w:ascii="宋体" w:hAnsi="宋体"/>
                <w:bCs/>
                <w:color w:val="000000"/>
                <w:sz w:val="24"/>
                <w:szCs w:val="24"/>
              </w:rPr>
              <w:t>40</w:t>
            </w:r>
          </w:p>
        </w:tc>
        <w:tc>
          <w:tcPr>
            <w:tcW w:w="1900" w:type="dxa"/>
            <w:vAlign w:val="center"/>
          </w:tcPr>
          <w:p>
            <w:pPr>
              <w:spacing w:before="0" w:after="3" w:lineRule="auto"/>
              <w:jc w:val="center"/>
            </w:pPr>
            <w:r>
              <w:rPr>
                <w:rFonts w:hint="eastAsia" w:ascii="宋体" w:hAnsi="宋体"/>
                <w:bCs/>
                <w:color w:val="000000"/>
                <w:sz w:val="24"/>
                <w:szCs w:val="24"/>
              </w:rPr>
              <w:t>78</w:t>
            </w:r>
          </w:p>
        </w:tc>
        <w:tc>
          <w:tcPr>
            <w:tcW w:w="1900" w:type="dxa"/>
            <w:vAlign w:val="center"/>
          </w:tcPr>
          <w:p>
            <w:pPr>
              <w:spacing w:before="0" w:after="3" w:lineRule="auto"/>
              <w:jc w:val="center"/>
            </w:pPr>
            <w:r>
              <w:rPr>
                <w:rFonts w:hint="eastAsia" w:ascii="宋体" w:hAnsi="宋体"/>
                <w:bCs/>
                <w:color w:val="000000"/>
                <w:sz w:val="24"/>
                <w:szCs w:val="24"/>
              </w:rPr>
              <w:t>43</w:t>
            </w:r>
          </w:p>
        </w:tc>
        <w:tc>
          <w:tcPr>
            <w:tcW w:w="1900" w:type="dxa"/>
            <w:vAlign w:val="center"/>
          </w:tcPr>
          <w:p>
            <w:pPr>
              <w:spacing w:before="0" w:after="3" w:lineRule="auto"/>
              <w:jc w:val="center"/>
            </w:pPr>
            <w:r>
              <w:rPr>
                <w:rFonts w:hint="eastAsia" w:ascii="宋体" w:hAnsi="宋体"/>
                <w:bCs/>
                <w:color w:val="000000"/>
                <w:sz w:val="24"/>
                <w:szCs w:val="24"/>
              </w:rPr>
              <w:t>44</w:t>
            </w:r>
          </w:p>
        </w:tc>
        <w:tc>
          <w:tcPr>
            <w:tcW w:w="1900" w:type="dxa"/>
            <w:vAlign w:val="center"/>
          </w:tcPr>
          <w:p>
            <w:pPr>
              <w:spacing w:before="0" w:after="3" w:lineRule="auto"/>
              <w:jc w:val="center"/>
            </w:pPr>
            <w:r>
              <w:rPr>
                <w:rFonts w:hint="eastAsia" w:ascii="宋体" w:hAnsi="宋体"/>
                <w:bCs/>
                <w:color w:val="000000"/>
                <w:sz w:val="24"/>
                <w:szCs w:val="24"/>
              </w:rPr>
              <w:t>36</w:t>
            </w:r>
          </w:p>
        </w:tc>
        <w:tc>
          <w:tcPr>
            <w:tcW w:w="1900" w:type="dxa"/>
            <w:vAlign w:val="center"/>
          </w:tcPr>
          <w:p>
            <w:pPr>
              <w:spacing w:before="0" w:after="3" w:lineRule="auto"/>
              <w:jc w:val="center"/>
            </w:pPr>
            <w:r>
              <w:rPr>
                <w:rFonts w:hint="eastAsia" w:ascii="宋体" w:hAnsi="宋体"/>
                <w:bCs/>
                <w:color w:val="000000"/>
                <w:sz w:val="24"/>
                <w:szCs w:val="24"/>
              </w:rPr>
              <w:t>74</w:t>
            </w:r>
          </w:p>
        </w:tc>
        <w:tc>
          <w:tcPr>
            <w:tcW w:w="1900" w:type="dxa"/>
            <w:vAlign w:val="center"/>
          </w:tcPr>
          <w:p>
            <w:pPr>
              <w:spacing w:before="0" w:after="3" w:lineRule="auto"/>
              <w:jc w:val="center"/>
            </w:pPr>
            <w:r>
              <w:rPr>
                <w:rFonts w:hint="eastAsia" w:ascii="宋体" w:hAnsi="宋体"/>
                <w:bCs/>
                <w:color w:val="000000"/>
                <w:sz w:val="24"/>
                <w:szCs w:val="24"/>
              </w:rPr>
              <w:t>398</w:t>
            </w:r>
          </w:p>
        </w:tc>
        <w:tc>
          <w:tcPr>
            <w:tcW w:w="1900" w:type="dxa"/>
            <w:vAlign w:val="center"/>
          </w:tcPr>
          <w:p>
            <w:pPr>
              <w:spacing w:before="0" w:after="3" w:lineRule="auto"/>
              <w:jc w:val="center"/>
            </w:pPr>
            <w:r>
              <w:rPr>
                <w:rFonts w:hint="eastAsia" w:ascii="宋体" w:hAnsi="宋体"/>
                <w:bCs/>
                <w:color w:val="000000"/>
                <w:sz w:val="18"/>
                <w:szCs w:val="18"/>
              </w:rPr>
              <w:t>/</w:t>
            </w:r>
          </w:p>
        </w:tc>
      </w:tr>
      <w:tr>
        <w:tc>
          <w:tcPr>
            <w:tcW w:w="1900" w:type="dxa"/>
            <w:vAlign w:val="center"/>
          </w:tcPr>
          <w:p>
            <w:pPr>
              <w:spacing w:before="0" w:after="3" w:lineRule="auto"/>
              <w:jc w:val="center"/>
            </w:pPr>
            <w:r>
              <w:rPr>
                <w:rFonts w:hint="eastAsia" w:ascii="宋体" w:hAnsi="宋体"/>
                <w:b/>
                <w:bCs/>
                <w:color w:val="000000"/>
                <w:sz w:val="24"/>
                <w:szCs w:val="24"/>
              </w:rPr>
              <w:t>加分项</w:t>
            </w:r>
          </w:p>
        </w:tc>
        <w:tc>
          <w:tcPr>
            <w:tcW w:w="1900" w:type="dxa"/>
            <w:vAlign w:val="center"/>
          </w:tcPr>
          <w:p>
            <w:pPr>
              <w:spacing w:before="0" w:after="3" w:lineRule="auto"/>
              <w:jc w:val="center"/>
            </w:pPr>
            <w:r>
              <w:rPr>
                <w:rFonts w:hint="eastAsia" w:ascii="宋体" w:hAnsi="宋体"/>
                <w:bCs/>
                <w:color w:val="000000"/>
                <w:sz w:val="24"/>
                <w:szCs w:val="24"/>
              </w:rPr>
              <w:t>5</w:t>
            </w:r>
          </w:p>
        </w:tc>
        <w:tc>
          <w:tcPr>
            <w:tcW w:w="1900" w:type="dxa"/>
            <w:vAlign w:val="center"/>
          </w:tcPr>
          <w:p>
            <w:pPr>
              <w:spacing w:before="0" w:after="3" w:lineRule="auto"/>
              <w:jc w:val="center"/>
            </w:pPr>
            <w:r>
              <w:rPr>
                <w:rFonts w:hint="eastAsia" w:ascii="宋体" w:hAnsi="宋体"/>
                <w:bCs/>
                <w:color w:val="000000"/>
                <w:sz w:val="24"/>
                <w:szCs w:val="24"/>
              </w:rPr>
              <w:t>25</w:t>
            </w:r>
          </w:p>
        </w:tc>
        <w:tc>
          <w:tcPr>
            <w:tcW w:w="1900" w:type="dxa"/>
            <w:vAlign w:val="center"/>
          </w:tcPr>
          <w:p>
            <w:pPr>
              <w:spacing w:before="0" w:after="3" w:lineRule="auto"/>
              <w:jc w:val="center"/>
            </w:pPr>
            <w:r>
              <w:rPr>
                <w:rFonts w:hint="eastAsia" w:ascii="宋体" w:hAnsi="宋体"/>
                <w:bCs/>
                <w:color w:val="000000"/>
                <w:sz w:val="24"/>
                <w:szCs w:val="24"/>
              </w:rPr>
              <w:t>20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37</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87</w:t>
            </w:r>
          </w:p>
        </w:tc>
        <w:tc>
          <w:tcPr>
            <w:tcW w:w="1900" w:type="dxa"/>
            <w:vAlign w:val="center"/>
          </w:tcPr>
          <w:p>
            <w:pPr>
              <w:spacing w:before="0" w:after="3" w:lineRule="auto"/>
              <w:jc w:val="center"/>
            </w:pPr>
            <w:r>
              <w:rPr>
                <w:rFonts w:hint="eastAsia" w:ascii="宋体" w:hAnsi="宋体"/>
                <w:bCs/>
                <w:color w:val="000000"/>
                <w:sz w:val="18"/>
                <w:szCs w:val="18"/>
              </w:rPr>
              <w:t>合计得分最高100分</w:t>
            </w:r>
          </w:p>
        </w:tc>
      </w:tr>
      <w:tr>
        <w:tc>
          <w:tcPr>
            <w:tcW w:w="1900" w:type="dxa"/>
            <w:vAlign w:val="center"/>
          </w:tcPr>
          <w:p>
            <w:pPr>
              <w:spacing w:before="0" w:after="3" w:lineRule="auto"/>
              <w:jc w:val="center"/>
            </w:pPr>
            <w:r>
              <w:rPr>
                <w:rFonts w:hint="eastAsia" w:ascii="宋体" w:hAnsi="宋体"/>
                <w:b/>
                <w:bCs/>
                <w:color w:val="000000"/>
                <w:sz w:val="24"/>
                <w:szCs w:val="24"/>
              </w:rPr>
              <w:t>总得分</w:t>
            </w:r>
          </w:p>
        </w:tc>
        <w:tc>
          <w:tcPr>
            <w:tcW w:w="1900" w:type="dxa"/>
            <w:hMerge w:val="restart"/>
            <w:vAlign w:val="center"/>
          </w:tcPr>
          <w:p>
            <w:pPr>
              <w:spacing w:before="0" w:after="3" w:lineRule="auto"/>
              <w:jc w:val="center"/>
            </w:pPr>
            <w:r>
              <w:rPr>
                <w:rFonts w:hint="eastAsia" w:ascii="宋体" w:hAnsi="宋体"/>
                <w:bCs/>
                <w:color w:val="000000"/>
                <w:sz w:val="24"/>
                <w:szCs w:val="24"/>
              </w:rPr>
              <w:t>88.5</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Cs/>
                <w:color w:val="000000"/>
                <w:sz w:val="24"/>
                <w:szCs w:val="24"/>
              </w:rPr>
              <w:t>/</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Cs/>
                <w:color w:val="000000"/>
                <w:sz w:val="24"/>
                <w:szCs w:val="24"/>
              </w:rPr>
              <w:t>/</w:t>
            </w:r>
          </w:p>
        </w:tc>
      </w:tr>
    </w:tbl>
    <w:p>
      <w:pPr>
        <w:jc w:val="center"/>
      </w:pPr>
      <w:r>
        <w:rPr>
          <w:rFonts w:hint="eastAsia" w:ascii="宋体" w:hAnsi="宋体"/>
          <w:bCs/>
          <w:color w:val="000000"/>
          <w:sz w:val="20"/>
          <w:szCs w:val="20"/>
        </w:rPr>
        <w:t>注：总得分=（控制项合计+评分项合计+加分项合计）/10</w:t>
      </w:r>
    </w:p>
    <w:p>
      <w:pPr>
        <w:jc w:val="left"/>
      </w:pPr>
      <w:r>
        <w:rPr>
          <w:rFonts w:hint="eastAsia" w:ascii="宋体" w:hAnsi="宋体"/>
          <w:bCs/>
          <w:color w:val="000000"/>
          <w:sz w:val="24"/>
          <w:szCs w:val="24"/>
          <w:u w:val="single"/>
        </w:rPr>
        <w:t/>
      </w:r>
    </w:p>
    <w:p>
      <w:br w:type="page"/>
    </w:p>
    <w:p>
      <w:r>
        <w:rPr>
          <w:rFonts w:hint="eastAsia" w:ascii="宋体" w:hAnsi="宋体"/>
          <w:b/>
          <w:bCs/>
          <w:color w:val="000000"/>
          <w:sz w:val="28"/>
          <w:szCs w:val="28"/>
        </w:rPr>
        <w:t>二、项目效果图（需标示申报范围）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项目地理位置、建筑面积、层数、高度、主要功能等概述：</w:t>
      </w:r>
    </w:p>
    <w:p>
      <w:br w:type="page"/>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1 规划</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3.2.8</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6.1.1</w:t>
            </w:r>
          </w:p>
        </w:tc>
        <w:tc>
          <w:tcPr>
            <w:tcW w:w="5000" w:type="dxa"/>
            <w:vAlign w:val="center"/>
          </w:tcPr>
          <w:p>
            <w:pPr>
              <w:spacing w:before="0" w:after="3" w:lineRule="auto"/>
              <w:jc w:val="left"/>
            </w:pPr>
            <w:r>
              <w:rPr>
                <w:rFonts w:hint="eastAsia" w:ascii="宋体" w:hAnsi="宋体"/>
                <w:bCs/>
                <w:color w:val="000000"/>
                <w:sz w:val="22"/>
                <w:szCs w:val="22"/>
              </w:rPr>
              <w:t>建筑、室外场地、公共绿地、城市道路相互之间应设置连贯的无障碍步行系统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6.1.2</w:t>
            </w:r>
          </w:p>
        </w:tc>
        <w:tc>
          <w:tcPr>
            <w:tcW w:w="5000" w:type="dxa"/>
            <w:vAlign w:val="center"/>
          </w:tcPr>
          <w:p>
            <w:pPr>
              <w:spacing w:before="0" w:after="3" w:lineRule="auto"/>
              <w:jc w:val="left"/>
            </w:pPr>
            <w:r>
              <w:rPr>
                <w:rFonts w:hint="eastAsia" w:ascii="宋体" w:hAnsi="宋体"/>
                <w:bCs/>
                <w:color w:val="000000"/>
                <w:sz w:val="22"/>
                <w:szCs w:val="22"/>
              </w:rPr>
              <w:t>场地人行出入口 500m 内应设有公共交通站点或配备联系公共交通站点的专用接驳车</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6.1.4</w:t>
            </w:r>
          </w:p>
        </w:tc>
        <w:tc>
          <w:tcPr>
            <w:tcW w:w="5000" w:type="dxa"/>
            <w:vAlign w:val="center"/>
          </w:tcPr>
          <w:p>
            <w:pPr>
              <w:spacing w:before="0" w:after="3" w:lineRule="auto"/>
              <w:jc w:val="left"/>
            </w:pPr>
            <w:r>
              <w:rPr>
                <w:rFonts w:hint="eastAsia" w:ascii="宋体" w:hAnsi="宋体"/>
                <w:bCs/>
                <w:color w:val="000000"/>
                <w:sz w:val="22"/>
                <w:szCs w:val="22"/>
              </w:rPr>
              <w:t>自行车停车场所应位置合理、方便出入</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8.1.1</w:t>
            </w:r>
          </w:p>
        </w:tc>
        <w:tc>
          <w:tcPr>
            <w:tcW w:w="5000" w:type="dxa"/>
            <w:vAlign w:val="center"/>
          </w:tcPr>
          <w:p>
            <w:pPr>
              <w:spacing w:before="0" w:after="3" w:lineRule="auto"/>
              <w:jc w:val="left"/>
            </w:pPr>
            <w:r>
              <w:rPr>
                <w:rFonts w:hint="eastAsia" w:ascii="宋体" w:hAnsi="宋体"/>
                <w:bCs/>
                <w:color w:val="000000"/>
                <w:sz w:val="22"/>
                <w:szCs w:val="22"/>
              </w:rPr>
              <w:t>建筑规划布局应满足日照标准，且不得降低周边建筑的日照标准</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8.1.3</w:t>
            </w:r>
          </w:p>
        </w:tc>
        <w:tc>
          <w:tcPr>
            <w:tcW w:w="5000" w:type="dxa"/>
            <w:vAlign w:val="center"/>
          </w:tcPr>
          <w:p>
            <w:pPr>
              <w:spacing w:before="0" w:after="3" w:lineRule="auto"/>
              <w:jc w:val="left"/>
            </w:pPr>
            <w:r>
              <w:rPr>
                <w:rFonts w:hint="eastAsia" w:ascii="宋体" w:hAnsi="宋体"/>
                <w:bCs/>
                <w:color w:val="000000"/>
                <w:sz w:val="22"/>
                <w:szCs w:val="22"/>
              </w:rPr>
              <w:t>配建的绿地应符合所在地城乡规划的要求，应合理选择绿化方式，植物种植应适应当地气候和土壤，且应无毒、易维护，种植区域覆土深度和排水能力应满足植物生长需求，并应采用复层绿化方式</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8.1.6</w:t>
            </w:r>
          </w:p>
        </w:tc>
        <w:tc>
          <w:tcPr>
            <w:tcW w:w="5000" w:type="dxa"/>
            <w:vAlign w:val="center"/>
          </w:tcPr>
          <w:p>
            <w:pPr>
              <w:spacing w:before="0" w:after="3" w:lineRule="auto"/>
              <w:jc w:val="left"/>
            </w:pPr>
            <w:r>
              <w:rPr>
                <w:rFonts w:hint="eastAsia" w:ascii="宋体" w:hAnsi="宋体"/>
                <w:bCs/>
                <w:color w:val="000000"/>
                <w:sz w:val="22"/>
                <w:szCs w:val="22"/>
              </w:rPr>
              <w:t>场地内不应有排放超标的污染源</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8.1.7</w:t>
            </w:r>
          </w:p>
        </w:tc>
        <w:tc>
          <w:tcPr>
            <w:tcW w:w="5000" w:type="dxa"/>
            <w:vAlign w:val="center"/>
          </w:tcPr>
          <w:p>
            <w:pPr>
              <w:spacing w:before="0" w:after="3" w:lineRule="auto"/>
              <w:jc w:val="left"/>
            </w:pPr>
            <w:r>
              <w:rPr>
                <w:rFonts w:hint="eastAsia" w:ascii="宋体" w:hAnsi="宋体"/>
                <w:bCs/>
                <w:color w:val="000000"/>
                <w:sz w:val="22"/>
                <w:szCs w:val="22"/>
              </w:rPr>
              <w:t>生活垃圾应分类收集，垃圾容器和收集点的设置应合理并应与周围景观协调</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6.2.1</w:t>
            </w:r>
          </w:p>
        </w:tc>
        <w:tc>
          <w:tcPr>
            <w:tcW w:w="5000" w:type="dxa"/>
            <w:vAlign w:val="center"/>
          </w:tcPr>
          <w:p>
            <w:pPr>
              <w:spacing w:before="0" w:after="3" w:lineRule="auto"/>
              <w:jc w:val="left"/>
            </w:pPr>
            <w:r>
              <w:rPr>
                <w:rFonts w:hint="eastAsia" w:ascii="宋体" w:hAnsi="宋体"/>
                <w:bCs/>
                <w:color w:val="000000"/>
                <w:sz w:val="22"/>
                <w:szCs w:val="22"/>
              </w:rPr>
              <w:t>场地与公共交通站点联系便捷</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6.2.3</w:t>
            </w:r>
          </w:p>
        </w:tc>
        <w:tc>
          <w:tcPr>
            <w:tcW w:w="5000" w:type="dxa"/>
            <w:vAlign w:val="center"/>
          </w:tcPr>
          <w:p>
            <w:pPr>
              <w:spacing w:before="0" w:after="3" w:lineRule="auto"/>
              <w:jc w:val="left"/>
            </w:pPr>
            <w:r>
              <w:rPr>
                <w:rFonts w:hint="eastAsia" w:ascii="宋体" w:hAnsi="宋体"/>
                <w:bCs/>
                <w:color w:val="000000"/>
                <w:sz w:val="22"/>
                <w:szCs w:val="22"/>
              </w:rPr>
              <w:t>提供便利的公共服务</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6.2.4</w:t>
            </w:r>
          </w:p>
        </w:tc>
        <w:tc>
          <w:tcPr>
            <w:tcW w:w="5000" w:type="dxa"/>
            <w:vAlign w:val="center"/>
          </w:tcPr>
          <w:p>
            <w:pPr>
              <w:spacing w:before="0" w:after="3" w:lineRule="auto"/>
              <w:jc w:val="left"/>
            </w:pPr>
            <w:r>
              <w:rPr>
                <w:rFonts w:hint="eastAsia" w:ascii="宋体" w:hAnsi="宋体"/>
                <w:bCs/>
                <w:color w:val="000000"/>
                <w:sz w:val="22"/>
                <w:szCs w:val="22"/>
              </w:rPr>
              <w:t>城市绿地、广场及公共运动场地等开敞空间，步行可达</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6.2.5</w:t>
            </w:r>
          </w:p>
        </w:tc>
        <w:tc>
          <w:tcPr>
            <w:tcW w:w="5000" w:type="dxa"/>
            <w:vAlign w:val="center"/>
          </w:tcPr>
          <w:p>
            <w:pPr>
              <w:spacing w:before="0" w:after="3" w:lineRule="auto"/>
              <w:jc w:val="left"/>
            </w:pPr>
            <w:r>
              <w:rPr>
                <w:rFonts w:hint="eastAsia" w:ascii="宋体" w:hAnsi="宋体"/>
                <w:bCs/>
                <w:color w:val="000000"/>
                <w:sz w:val="22"/>
                <w:szCs w:val="22"/>
              </w:rPr>
              <w:t>合理设置健身场地和空间</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3</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7.2.1</w:t>
            </w:r>
          </w:p>
        </w:tc>
        <w:tc>
          <w:tcPr>
            <w:tcW w:w="5000" w:type="dxa"/>
            <w:vAlign w:val="center"/>
          </w:tcPr>
          <w:p>
            <w:pPr>
              <w:spacing w:before="0" w:after="3" w:lineRule="auto"/>
              <w:jc w:val="left"/>
            </w:pPr>
            <w:r>
              <w:rPr>
                <w:rFonts w:hint="eastAsia" w:ascii="宋体" w:hAnsi="宋体"/>
                <w:bCs/>
                <w:color w:val="000000"/>
                <w:sz w:val="22"/>
                <w:szCs w:val="22"/>
              </w:rPr>
              <w:t>节约集约利用土地</w:t>
            </w:r>
          </w:p>
        </w:tc>
        <w:tc>
          <w:tcPr>
            <w:tcW w:w="800" w:type="dxa"/>
            <w:vAlign w:val="center"/>
          </w:tcPr>
          <w:p>
            <w:pPr>
              <w:spacing w:before="0" w:after="3" w:lineRule="auto"/>
              <w:jc w:val="center"/>
            </w:pPr>
            <w:r>
              <w:rPr>
                <w:rFonts w:hint="eastAsia" w:ascii="宋体" w:hAnsi="宋体"/>
                <w:bCs/>
                <w:color w:val="000000"/>
                <w:sz w:val="22"/>
                <w:szCs w:val="22"/>
              </w:rPr>
              <w:t>20</w:t>
            </w:r>
          </w:p>
        </w:tc>
        <w:tc>
          <w:tcPr>
            <w:tcW w:w="800" w:type="dxa"/>
            <w:vAlign w:val="center"/>
          </w:tcPr>
          <w:p>
            <w:pPr>
              <w:spacing w:before="0" w:after="3" w:lineRule="auto"/>
              <w:jc w:val="center"/>
            </w:pPr>
            <w:r>
              <w:rPr>
                <w:rFonts w:hint="eastAsia" w:ascii="宋体" w:hAnsi="宋体"/>
                <w:bCs/>
                <w:color w:val="000000"/>
                <w:sz w:val="22"/>
                <w:szCs w:val="22"/>
              </w:rPr>
              <w:t>16</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7.2.2</w:t>
            </w:r>
          </w:p>
        </w:tc>
        <w:tc>
          <w:tcPr>
            <w:tcW w:w="5000" w:type="dxa"/>
            <w:vAlign w:val="center"/>
          </w:tcPr>
          <w:p>
            <w:pPr>
              <w:spacing w:before="0" w:after="3" w:lineRule="auto"/>
              <w:jc w:val="left"/>
            </w:pPr>
            <w:r>
              <w:rPr>
                <w:rFonts w:hint="eastAsia" w:ascii="宋体" w:hAnsi="宋体"/>
                <w:bCs/>
                <w:color w:val="000000"/>
                <w:sz w:val="22"/>
                <w:szCs w:val="22"/>
              </w:rPr>
              <w:t>合理开发利用地下空间。</w:t>
            </w:r>
          </w:p>
        </w:tc>
        <w:tc>
          <w:tcPr>
            <w:tcW w:w="800" w:type="dxa"/>
            <w:vAlign w:val="center"/>
          </w:tcPr>
          <w:p>
            <w:pPr>
              <w:spacing w:before="0" w:after="3" w:lineRule="auto"/>
              <w:jc w:val="center"/>
            </w:pPr>
            <w:r>
              <w:rPr>
                <w:rFonts w:hint="eastAsia" w:ascii="宋体" w:hAnsi="宋体"/>
                <w:bCs/>
                <w:color w:val="000000"/>
                <w:sz w:val="22"/>
                <w:szCs w:val="22"/>
              </w:rPr>
              <w:t>12</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7.2.3</w:t>
            </w:r>
          </w:p>
        </w:tc>
        <w:tc>
          <w:tcPr>
            <w:tcW w:w="5000" w:type="dxa"/>
            <w:vAlign w:val="center"/>
          </w:tcPr>
          <w:p>
            <w:pPr>
              <w:spacing w:before="0" w:after="3" w:lineRule="auto"/>
              <w:jc w:val="left"/>
            </w:pPr>
            <w:r>
              <w:rPr>
                <w:rFonts w:hint="eastAsia" w:ascii="宋体" w:hAnsi="宋体"/>
                <w:bCs/>
                <w:color w:val="000000"/>
                <w:sz w:val="22"/>
                <w:szCs w:val="22"/>
              </w:rPr>
              <w:t>采用机械式停车设施、地下停车库或地面停车楼等方式</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8.2.1</w:t>
            </w:r>
          </w:p>
        </w:tc>
        <w:tc>
          <w:tcPr>
            <w:tcW w:w="5000" w:type="dxa"/>
            <w:vAlign w:val="center"/>
          </w:tcPr>
          <w:p>
            <w:pPr>
              <w:spacing w:before="0" w:after="3" w:lineRule="auto"/>
              <w:jc w:val="left"/>
            </w:pPr>
            <w:r>
              <w:rPr>
                <w:rFonts w:hint="eastAsia" w:ascii="宋体" w:hAnsi="宋体"/>
                <w:bCs/>
                <w:color w:val="000000"/>
                <w:sz w:val="22"/>
                <w:szCs w:val="22"/>
              </w:rPr>
              <w:t>充分保护或修复场地生态环境，合理布局建筑及景观</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8.2.3</w:t>
            </w:r>
          </w:p>
        </w:tc>
        <w:tc>
          <w:tcPr>
            <w:tcW w:w="5000" w:type="dxa"/>
            <w:vAlign w:val="center"/>
          </w:tcPr>
          <w:p>
            <w:pPr>
              <w:spacing w:before="0" w:after="3" w:lineRule="auto"/>
              <w:jc w:val="left"/>
            </w:pPr>
            <w:r>
              <w:rPr>
                <w:rFonts w:hint="eastAsia" w:ascii="宋体" w:hAnsi="宋体"/>
                <w:bCs/>
                <w:color w:val="000000"/>
                <w:sz w:val="22"/>
                <w:szCs w:val="22"/>
              </w:rPr>
              <w:t>充分利用场地空间设置绿化用地</w:t>
            </w:r>
          </w:p>
        </w:tc>
        <w:tc>
          <w:tcPr>
            <w:tcW w:w="800" w:type="dxa"/>
            <w:vAlign w:val="center"/>
          </w:tcPr>
          <w:p>
            <w:pPr>
              <w:spacing w:before="0" w:after="3" w:lineRule="auto"/>
              <w:jc w:val="center"/>
            </w:pPr>
            <w:r>
              <w:rPr>
                <w:rFonts w:hint="eastAsia" w:ascii="宋体" w:hAnsi="宋体"/>
                <w:bCs/>
                <w:color w:val="000000"/>
                <w:sz w:val="22"/>
                <w:szCs w:val="22"/>
              </w:rPr>
              <w:t>16</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
            </w:r>
          </w:p>
        </w:tc>
        <w:tc>
          <w:tcPr>
            <w:tcW w:w="800" w:type="dxa"/>
            <w:hMerge w:val="continue"/>
            <w:vAlign w:val="center"/>
          </w:tcPr>
          <w:p>
            <w:pPr>
              <w:spacing w:before="0" w:after="3" w:lineRule="auto"/>
              <w:jc w:val="left"/>
            </w:pPr>
            <w:r>
              <w:rPr>
                <w:rFonts w:hint="eastAsia" w:ascii="宋体" w:hAnsi="宋体"/>
                <w:bCs/>
                <w:color w:val="000000"/>
                <w:sz w:val="22"/>
                <w:szCs w:val="22"/>
              </w:rPr>
              <w:t>8.2.9</w:t>
            </w:r>
          </w:p>
        </w:tc>
        <w:tc>
          <w:tcPr>
            <w:tcW w:w="5000" w:type="dxa"/>
            <w:hMerge w:val="continue"/>
            <w:vAlign w:val="center"/>
          </w:tcPr>
          <w:p>
            <w:pPr>
              <w:spacing w:before="0" w:after="3" w:lineRule="auto"/>
              <w:jc w:val="left"/>
            </w:pPr>
            <w:r>
              <w:rPr>
                <w:rFonts w:hint="eastAsia" w:ascii="宋体" w:hAnsi="宋体"/>
                <w:bCs/>
                <w:color w:val="000000"/>
                <w:sz w:val="22"/>
                <w:szCs w:val="22"/>
              </w:rPr>
              <w:t>采取措施降低热岛强度</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shd w:color="auto" w:fill="DCDCDC"/>
            <w:vAlign w:val="center"/>
          </w:tcPr>
          <w:p>
            <w:pPr>
              <w:spacing w:before="0" w:after="3" w:lineRule="auto"/>
              <w:jc w:val="center"/>
            </w:pPr>
            <w:r>
              <w:rPr>
                <w:rFonts w:hint="eastAsia" w:ascii="宋体" w:hAnsi="宋体"/>
                <w:b/>
                <w:bCs/>
                <w:color w:val="000000"/>
                <w:sz w:val="20"/>
                <w:szCs w:val="20"/>
              </w:rPr>
              <w:t>评分项合计</w:t>
            </w:r>
          </w:p>
        </w:tc>
        <w:tc>
          <w:tcPr>
            <w:tcW w:w="800" w:type="dxa"/>
            <w:shd w:color="auto" w:fill="DCDCDC"/>
            <w:vAlign w:val="center"/>
          </w:tcPr>
          <w:p>
            <w:pPr>
              <w:spacing w:before="0" w:after="3" w:lineRule="auto"/>
              <w:jc w:val="center"/>
            </w:pPr>
            <w:r>
              <w:rPr>
                <w:rFonts w:hint="eastAsia" w:ascii="宋体" w:hAnsi="宋体"/>
                <w:b/>
                <w:bCs/>
                <w:color w:val="000000"/>
                <w:sz w:val="20"/>
                <w:szCs w:val="20"/>
              </w:rPr>
              <w:t/>
            </w:r>
          </w:p>
        </w:tc>
        <w:tc>
          <w:tcPr>
            <w:tcW w:w="5000" w:type="dxa"/>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117</w:t>
            </w:r>
          </w:p>
        </w:tc>
        <w:tc>
          <w:tcPr>
            <w:tcW w:w="800" w:type="dxa"/>
            <w:vAlign w:val="center"/>
          </w:tcPr>
          <w:p>
            <w:pPr>
              <w:spacing w:before="0" w:after="3" w:lineRule="auto"/>
              <w:jc w:val="center"/>
            </w:pPr>
            <w:r>
              <w:rPr>
                <w:rFonts w:hint="eastAsia" w:ascii="宋体" w:hAnsi="宋体"/>
                <w:bCs/>
                <w:color w:val="000000"/>
                <w:sz w:val="22"/>
                <w:szCs w:val="22"/>
              </w:rPr>
              <w:t>83</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加分项</w:t>
            </w:r>
          </w:p>
        </w:tc>
        <w:tc>
          <w:tcPr>
            <w:tcW w:w="800" w:type="dxa"/>
            <w:hMerge w:val="continue"/>
            <w:vAlign w:val="center"/>
          </w:tcPr>
          <w:p>
            <w:pPr>
              <w:spacing w:before="0" w:after="3" w:lineRule="auto"/>
              <w:jc w:val="left"/>
            </w:pPr>
            <w:r>
              <w:rPr>
                <w:rFonts w:hint="eastAsia" w:ascii="宋体" w:hAnsi="宋体"/>
                <w:bCs/>
                <w:color w:val="000000"/>
                <w:sz w:val="22"/>
                <w:szCs w:val="22"/>
              </w:rPr>
              <w:t>9.2.4</w:t>
            </w:r>
          </w:p>
        </w:tc>
        <w:tc>
          <w:tcPr>
            <w:tcW w:w="5000" w:type="dxa"/>
            <w:hMerge w:val="continue"/>
            <w:vAlign w:val="center"/>
          </w:tcPr>
          <w:p>
            <w:pPr>
              <w:spacing w:before="0" w:after="3" w:lineRule="auto"/>
              <w:jc w:val="left"/>
            </w:pPr>
            <w:r>
              <w:rPr>
                <w:rFonts w:hint="eastAsia" w:ascii="宋体" w:hAnsi="宋体"/>
                <w:bCs/>
                <w:color w:val="000000"/>
                <w:sz w:val="22"/>
                <w:szCs w:val="22"/>
              </w:rPr>
              <w:t>场地绿容率不低于 3.0</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5</w:t>
            </w:r>
          </w:p>
        </w:tc>
      </w:tr>
      <w:tr>
        <w:tc>
          <w:tcPr>
            <w:tcW w:w="1000" w:type="dxa"/>
            <w:shd w:color="auto" w:fill="DCDCDC"/>
            <w:vAlign w:val="center"/>
          </w:tcPr>
          <w:p>
            <w:pPr>
              <w:spacing w:before="0" w:after="3" w:lineRule="auto"/>
              <w:jc w:val="center"/>
            </w:pPr>
            <w:r>
              <w:rPr>
                <w:rFonts w:hint="eastAsia" w:ascii="宋体" w:hAnsi="宋体"/>
                <w:b/>
                <w:bCs/>
                <w:color w:val="000000"/>
                <w:sz w:val="20"/>
                <w:szCs w:val="20"/>
              </w:rPr>
              <w:t>加分项合计</w:t>
            </w:r>
          </w:p>
        </w:tc>
        <w:tc>
          <w:tcPr>
            <w:tcW w:w="800" w:type="dxa"/>
            <w:shd w:color="auto" w:fill="DCDCDC"/>
            <w:vAlign w:val="center"/>
          </w:tcPr>
          <w:p>
            <w:pPr>
              <w:spacing w:before="0" w:after="3" w:lineRule="auto"/>
              <w:jc w:val="center"/>
            </w:pPr>
            <w:r>
              <w:rPr>
                <w:rFonts w:hint="eastAsia" w:ascii="宋体" w:hAnsi="宋体"/>
                <w:b/>
                <w:bCs/>
                <w:color w:val="000000"/>
                <w:sz w:val="20"/>
                <w:szCs w:val="20"/>
              </w:rPr>
              <w:t/>
            </w:r>
          </w:p>
        </w:tc>
        <w:tc>
          <w:tcPr>
            <w:tcW w:w="5000" w:type="dxa"/>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5</w:t>
            </w:r>
          </w:p>
        </w:tc>
      </w:tr>
    </w:tbl>
    <w:sectPr>
      <w:pgSz w:w="11907" w:h="16839" w:code="9"/>
      <w:pgMar w:top="500" w:right="1440" w:bottom="100" w:left="1440"/>
    </w:sectPr>
  </w:body>
</w:document>
</file>

<file path=word/settings.xml><?xml version="1.0" encoding="utf-8"?>
<w:settings xmlns:w="http://schemas.openxmlformats.org/wordprocessingml/2006/main" xmlns:w15="http://schemas.microsoft.com/office/word/2012/wordml" xmlns:r="http://schemas.openxmlformats.org/officeDocument/2006/relationships" xmlns:wp="http://schemas.openxmlformats.org/drawingml/2006/wordprocessingDrawing" xmlns:a="http://schemas.openxmlformats.org/drawingml/2006/main" xmlns:w14="http://schemas.microsoft.com/office/word/2010/wordml" xmlns:m="http://schemas.openxmlformats.org/officeDocument/2006/math"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r="http://schemas.openxmlformats.org/officeDocument/2006/relationships" xmlns:wp="http://schemas.openxmlformats.org/drawingml/2006/wordprocessingDrawing" xmlns:a="http://schemas.openxmlformats.org/drawingml/2006/main" xmlns:w14="http://schemas.microsoft.com/office/word/2010/wordml" xmlns:m="http://schemas.openxmlformats.org/officeDocument/2006/math"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