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rPr>
                <w:rFonts w:hint="default" w:eastAsia="微软雅黑"/>
                <w:lang w:val="en-US" w:eastAsia="zh-CN"/>
              </w:rPr>
            </w:pPr>
            <w:bookmarkStart w:id="0" w:name="工程名称"/>
            <w:bookmarkEnd w:id="0"/>
            <w:r>
              <w:rPr>
                <w:rFonts w:hint="eastAsia"/>
                <w:lang w:val="en-US" w:eastAsia="zh-CN"/>
              </w:rPr>
              <w:t>费郢村党政服务中心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rPr>
                <w:rFonts w:hint="default" w:eastAsia="微软雅黑"/>
                <w:lang w:val="en-US" w:eastAsia="zh-CN"/>
              </w:rPr>
            </w:pPr>
            <w:bookmarkStart w:id="3" w:name="设计单位"/>
            <w:bookmarkEnd w:id="3"/>
            <w:r>
              <w:rPr>
                <w:rFonts w:hint="eastAsia"/>
                <w:lang w:val="en-US" w:eastAsia="zh-CN"/>
              </w:rPr>
              <w:t>安徽理工大学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rPr>
                <w:rFonts w:hint="default" w:eastAsia="微软雅黑"/>
                <w:lang w:val="en-US" w:eastAsia="zh-CN"/>
              </w:rPr>
            </w:pPr>
            <w:bookmarkStart w:id="4" w:name="审核人"/>
            <w:bookmarkEnd w:id="4"/>
            <w:r>
              <w:rPr>
                <w:rFonts w:hint="eastAsia"/>
                <w:lang w:val="en-US" w:eastAsia="zh-CN"/>
              </w:rPr>
              <w:t>王旭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rPr>
                <w:rFonts w:hint="default" w:eastAsia="微软雅黑"/>
                <w:lang w:val="en-US" w:eastAsia="zh-CN"/>
              </w:rPr>
            </w:pPr>
            <w:bookmarkStart w:id="5" w:name="审定人"/>
            <w:bookmarkEnd w:id="5"/>
            <w:r>
              <w:rPr>
                <w:rFonts w:hint="eastAsia"/>
                <w:lang w:val="en-US" w:eastAsia="zh-CN"/>
              </w:rPr>
              <w:t>李洪恩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2024年1月6日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019300" cy="2019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bookmarkStart w:id="80" w:name="_GoBack"/>
      <w:bookmarkEnd w:id="80"/>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T17737038573</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"_Toc155468299"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_Toc155468299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"_Toc155468300"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_Toc155468300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"_Toc155468301"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_Toc155468301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"_Toc155468302"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_Toc155468302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"_Toc155468303"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_Toc155468303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"_Toc155468304"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_Toc155468304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"_Toc155468305"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_Toc155468305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"_Toc155468306"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_Toc155468306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"_Toc155468307"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_Toc155468307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"_Toc155468308"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_Toc155468308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"_Toc155468309"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_Toc155468309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"_Toc155468310"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_Toc155468310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"_Toc155468311"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_Toc155468311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"_Toc155468312"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_Toc155468312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"_Toc155468313"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_Toc155468313 \h </w:instrText>
          </w:r>
          <w:r>
            <w:fldChar w:fldCharType="separate"/>
          </w:r>
          <w:r>
            <w:t>10</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5546829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合肥</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1094.43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12.60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rPr>
          <w:lang w:val="en-US"/>
        </w:rPr>
      </w:pPr>
    </w:p>
    <w:p>
      <w:pPr>
        <w:pStyle w:val="2"/>
        <w:ind w:left="432" w:hanging="432"/>
      </w:pPr>
      <w:bookmarkStart w:id="24" w:name="_Toc155468300"/>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55468301"/>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2"/>
        <w:ind w:left="432" w:hanging="432"/>
        <w:rPr>
          <w:rFonts w:ascii="微软雅黑" w:hAnsi="微软雅黑"/>
        </w:rPr>
      </w:pPr>
      <w:bookmarkStart w:id="28" w:name="_Toc312399791"/>
      <w:bookmarkStart w:id="29" w:name="_Toc155468302"/>
      <w:bookmarkStart w:id="30" w:name="_Toc290209336"/>
      <w:bookmarkStart w:id="31" w:name="_Toc264569232"/>
      <w:bookmarkStart w:id="32" w:name="_Toc275165382"/>
      <w:bookmarkStart w:id="33" w:name="_Toc290149054"/>
      <w:bookmarkStart w:id="34" w:name="_Toc264043625"/>
      <w:bookmarkStart w:id="35" w:name="_Toc290209312"/>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55468303"/>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149059"/>
      <w:bookmarkStart w:id="38" w:name="_Toc290209317"/>
      <w:bookmarkStart w:id="39" w:name="_Toc264569237"/>
      <w:bookmarkStart w:id="40" w:name="_Toc312399796"/>
      <w:bookmarkStart w:id="41" w:name="_Toc275165387"/>
      <w:bookmarkStart w:id="42" w:name="_Toc264043630"/>
      <w:bookmarkStart w:id="43"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55468304"/>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155468305"/>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55468306"/>
      <w:r>
        <w:rPr>
          <w:rFonts w:hint="eastAsia"/>
        </w:rPr>
        <w:t>采光计算</w:t>
      </w:r>
      <w:r>
        <w:t>参数</w:t>
      </w:r>
      <w:r>
        <w:rPr>
          <w:rFonts w:hint="eastAsia"/>
        </w:rPr>
        <w:t>取值</w:t>
      </w:r>
      <w:bookmarkEnd w:id="47"/>
    </w:p>
    <w:p>
      <w:pPr>
        <w:pStyle w:val="4"/>
      </w:pPr>
      <w:bookmarkStart w:id="48" w:name="_Toc312399795"/>
      <w:bookmarkStart w:id="49" w:name="_Toc275165386"/>
      <w:bookmarkStart w:id="50" w:name="_Toc290209340"/>
      <w:bookmarkStart w:id="51" w:name="_Toc264043629"/>
      <w:bookmarkStart w:id="52" w:name="_Toc290209316"/>
      <w:bookmarkStart w:id="53" w:name="_Toc264569236"/>
      <w:bookmarkStart w:id="54" w:name="_Toc290149058"/>
      <w:bookmarkStart w:id="55" w:name="_Toc155468307"/>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155468308"/>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55468309"/>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155468310"/>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C0915</w:t>
            </w:r>
          </w:p>
        </w:tc>
        <w:tc>
          <w:tcPr>
            <w:tcW w:w="1245" w:type="dxa"/>
            <w:vAlign w:val="center"/>
          </w:tcPr>
          <w:p>
            <w:r>
              <w:t>900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C1515</w:t>
            </w:r>
          </w:p>
        </w:tc>
        <w:tc>
          <w:tcPr>
            <w:tcW w:w="1245" w:type="dxa"/>
            <w:vAlign w:val="center"/>
          </w:tcPr>
          <w:p>
            <w:r>
              <w:t>1500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C2115</w:t>
            </w:r>
          </w:p>
        </w:tc>
        <w:tc>
          <w:tcPr>
            <w:tcW w:w="1245" w:type="dxa"/>
            <w:vAlign w:val="center"/>
          </w:tcPr>
          <w:p>
            <w:r>
              <w:t>2105</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C3315</w:t>
            </w:r>
          </w:p>
        </w:tc>
        <w:tc>
          <w:tcPr>
            <w:tcW w:w="1245" w:type="dxa"/>
            <w:vAlign w:val="center"/>
          </w:tcPr>
          <w:p>
            <w:r>
              <w:t>3300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155468311"/>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0001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149.82</w:t>
            </w:r>
          </w:p>
        </w:tc>
        <w:tc>
          <w:tcPr>
            <w:tcW w:w="1075" w:type="dxa"/>
            <w:vAlign w:val="center"/>
          </w:tcPr>
          <w:p>
            <w:r>
              <w:t>0.65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0002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27.79</w:t>
            </w:r>
          </w:p>
        </w:tc>
        <w:tc>
          <w:tcPr>
            <w:tcW w:w="1075" w:type="dxa"/>
            <w:vAlign w:val="center"/>
          </w:tcPr>
          <w:p>
            <w:r>
              <w:t>2.45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0003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65.78</w:t>
            </w:r>
          </w:p>
        </w:tc>
        <w:tc>
          <w:tcPr>
            <w:tcW w:w="1075" w:type="dxa"/>
            <w:vAlign w:val="center"/>
          </w:tcPr>
          <w:p>
            <w:r>
              <w:t>3.29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0010</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28.53</w:t>
            </w:r>
          </w:p>
        </w:tc>
        <w:tc>
          <w:tcPr>
            <w:tcW w:w="1075" w:type="dxa"/>
            <w:vAlign w:val="center"/>
          </w:tcPr>
          <w:p>
            <w:r>
              <w:t>2.19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0013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36.78</w:t>
            </w:r>
          </w:p>
        </w:tc>
        <w:tc>
          <w:tcPr>
            <w:tcW w:w="1075" w:type="dxa"/>
            <w:vAlign w:val="center"/>
          </w:tcPr>
          <w:p>
            <w:r>
              <w:t>1.95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0016</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9.80</w:t>
            </w:r>
          </w:p>
        </w:tc>
        <w:tc>
          <w:tcPr>
            <w:tcW w:w="1075" w:type="dxa"/>
            <w:vAlign w:val="center"/>
          </w:tcPr>
          <w:p>
            <w:r>
              <w:t>3.44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0017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4.62</w:t>
            </w:r>
          </w:p>
        </w:tc>
        <w:tc>
          <w:tcPr>
            <w:tcW w:w="1075" w:type="dxa"/>
            <w:vAlign w:val="center"/>
          </w:tcPr>
          <w:p>
            <w:r>
              <w:t>0.00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0018</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9.42</w:t>
            </w:r>
          </w:p>
        </w:tc>
        <w:tc>
          <w:tcPr>
            <w:tcW w:w="1075" w:type="dxa"/>
            <w:vAlign w:val="center"/>
          </w:tcPr>
          <w:p>
            <w:r>
              <w:t>3.68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149.74</w:t>
            </w:r>
          </w:p>
        </w:tc>
        <w:tc>
          <w:tcPr>
            <w:tcW w:w="1075" w:type="dxa"/>
            <w:vAlign w:val="center"/>
          </w:tcPr>
          <w:p>
            <w:r>
              <w:t>1.14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27.82</w:t>
            </w:r>
          </w:p>
        </w:tc>
        <w:tc>
          <w:tcPr>
            <w:tcW w:w="1075" w:type="dxa"/>
            <w:vAlign w:val="center"/>
          </w:tcPr>
          <w:p>
            <w:r>
              <w:t>2.53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2006</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65.78</w:t>
            </w:r>
          </w:p>
        </w:tc>
        <w:tc>
          <w:tcPr>
            <w:tcW w:w="1075" w:type="dxa"/>
            <w:vAlign w:val="center"/>
          </w:tcPr>
          <w:p>
            <w:r>
              <w:t>3.36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28.53</w:t>
            </w:r>
          </w:p>
        </w:tc>
        <w:tc>
          <w:tcPr>
            <w:tcW w:w="1075" w:type="dxa"/>
            <w:vAlign w:val="center"/>
          </w:tcPr>
          <w:p>
            <w:r>
              <w:t>2.20</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36.78</w:t>
            </w:r>
          </w:p>
        </w:tc>
        <w:tc>
          <w:tcPr>
            <w:tcW w:w="1075" w:type="dxa"/>
            <w:vAlign w:val="center"/>
          </w:tcPr>
          <w:p>
            <w:r>
              <w:t>1.96</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2019</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9.80</w:t>
            </w:r>
          </w:p>
        </w:tc>
        <w:tc>
          <w:tcPr>
            <w:tcW w:w="1075" w:type="dxa"/>
            <w:vAlign w:val="center"/>
          </w:tcPr>
          <w:p>
            <w:r>
              <w:t>3.42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2020</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4.62</w:t>
            </w:r>
          </w:p>
        </w:tc>
        <w:tc>
          <w:tcPr>
            <w:tcW w:w="1075" w:type="dxa"/>
            <w:vAlign w:val="center"/>
          </w:tcPr>
          <w:p>
            <w:r>
              <w:t>0.00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9.42</w:t>
            </w:r>
          </w:p>
        </w:tc>
        <w:tc>
          <w:tcPr>
            <w:tcW w:w="1075" w:type="dxa"/>
            <w:vAlign w:val="center"/>
          </w:tcPr>
          <w:p>
            <w:r>
              <w:t>3.69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149.82</w:t>
            </w:r>
          </w:p>
        </w:tc>
        <w:tc>
          <w:tcPr>
            <w:tcW w:w="1075" w:type="dxa"/>
            <w:vAlign w:val="center"/>
          </w:tcPr>
          <w:p>
            <w:r>
              <w:t>0.91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3008</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27.79</w:t>
            </w:r>
          </w:p>
        </w:tc>
        <w:tc>
          <w:tcPr>
            <w:tcW w:w="1075" w:type="dxa"/>
            <w:vAlign w:val="center"/>
          </w:tcPr>
          <w:p>
            <w:r>
              <w:t>2.50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3009</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65.78</w:t>
            </w:r>
          </w:p>
        </w:tc>
        <w:tc>
          <w:tcPr>
            <w:tcW w:w="1075" w:type="dxa"/>
            <w:vAlign w:val="center"/>
          </w:tcPr>
          <w:p>
            <w:r>
              <w:t>3.38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28.53</w:t>
            </w:r>
          </w:p>
        </w:tc>
        <w:tc>
          <w:tcPr>
            <w:tcW w:w="1075" w:type="dxa"/>
            <w:vAlign w:val="center"/>
          </w:tcPr>
          <w:p>
            <w:r>
              <w:t>2.19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36.78</w:t>
            </w:r>
          </w:p>
        </w:tc>
        <w:tc>
          <w:tcPr>
            <w:tcW w:w="1075" w:type="dxa"/>
            <w:vAlign w:val="center"/>
          </w:tcPr>
          <w:p>
            <w:r>
              <w:t>1.95</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9.80</w:t>
            </w:r>
          </w:p>
        </w:tc>
        <w:tc>
          <w:tcPr>
            <w:tcW w:w="1075" w:type="dxa"/>
            <w:vAlign w:val="center"/>
          </w:tcPr>
          <w:p>
            <w:r>
              <w:t>3.47</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4.62</w:t>
            </w:r>
          </w:p>
        </w:tc>
        <w:tc>
          <w:tcPr>
            <w:tcW w:w="1075" w:type="dxa"/>
            <w:vAlign w:val="center"/>
          </w:tcPr>
          <w:p>
            <w:r>
              <w:t>0.00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9.42</w:t>
            </w:r>
          </w:p>
        </w:tc>
        <w:tc>
          <w:tcPr>
            <w:tcW w:w="1075" w:type="dxa"/>
            <w:vAlign w:val="center"/>
          </w:tcPr>
          <w:p>
            <w:r>
              <w:t>3.70</w:t>
            </w:r>
          </w:p>
        </w:tc>
        <w:tc>
          <w:tcPr>
            <w:tcW w:w="1301" w:type="dxa"/>
            <w:vAlign w:val="center"/>
          </w:tcPr>
          <w:p>
            <w:r>
              <w:t>3.30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5" w:name="_Toc155468312"/>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4857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4857750"/>
                    </a:xfrm>
                    <a:prstGeom prst="rect">
                      <a:avLst/>
                    </a:prstGeom>
                  </pic:spPr>
                </pic:pic>
              </a:graphicData>
            </a:graphic>
          </wp:inline>
        </w:drawing>
      </w:r>
    </w:p>
    <w:p>
      <w:r>
        <w:t>1层</w:t>
      </w:r>
    </w:p>
    <w:p>
      <w:r>
        <w:drawing>
          <wp:inline distT="0" distB="0" distL="0" distR="0">
            <wp:extent cx="5667375" cy="46196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619625"/>
                    </a:xfrm>
                    <a:prstGeom prst="rect">
                      <a:avLst/>
                    </a:prstGeom>
                  </pic:spPr>
                </pic:pic>
              </a:graphicData>
            </a:graphic>
          </wp:inline>
        </w:drawing>
      </w:r>
    </w:p>
    <w:p>
      <w:r>
        <w:t>2层</w:t>
      </w:r>
    </w:p>
    <w:p>
      <w:r>
        <w:drawing>
          <wp:inline distT="0" distB="0" distL="0" distR="0">
            <wp:extent cx="5667375" cy="46196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619625"/>
                    </a:xfrm>
                    <a:prstGeom prst="rect">
                      <a:avLst/>
                    </a:prstGeom>
                  </pic:spPr>
                </pic:pic>
              </a:graphicData>
            </a:graphic>
          </wp:inline>
        </w:drawing>
      </w:r>
    </w:p>
    <w:p>
      <w:r>
        <w:t>3层</w:t>
      </w:r>
    </w:p>
    <w:p/>
    <w:p>
      <w:pPr>
        <w:pStyle w:val="2"/>
        <w:ind w:left="432" w:hanging="432"/>
      </w:pPr>
      <w:bookmarkStart w:id="77" w:name="_Toc155468313"/>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不满足非强条的房间</w:t>
            </w:r>
          </w:p>
        </w:tc>
        <w:tc>
          <w:tcPr>
            <w:tcW w:w="2263" w:type="dxa"/>
            <w:shd w:val="clear" w:color="auto" w:fill="E6E6E6"/>
            <w:vAlign w:val="center"/>
          </w:tcPr>
          <w:p>
            <w:r>
              <w:t>不满足强条的房间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24</w:t>
            </w:r>
          </w:p>
        </w:tc>
        <w:tc>
          <w:tcPr>
            <w:tcW w:w="1075" w:type="dxa"/>
            <w:vAlign w:val="center"/>
          </w:tcPr>
          <w:p>
            <w:r>
              <w:t>8</w:t>
            </w:r>
          </w:p>
        </w:tc>
        <w:tc>
          <w:tcPr>
            <w:tcW w:w="1075" w:type="dxa"/>
            <w:vAlign w:val="center"/>
          </w:tcPr>
          <w:p>
            <w:r>
              <w:t>33.33</w:t>
            </w:r>
          </w:p>
        </w:tc>
        <w:tc>
          <w:tcPr>
            <w:tcW w:w="2433" w:type="dxa"/>
            <w:vAlign w:val="center"/>
          </w:tcPr>
          <w:p>
            <w:r>
              <w:rPr>
                <w:color w:val="FF00FF"/>
              </w:rPr>
              <w:br w:type="textWrapping"/>
            </w:r>
            <w:r>
              <w:rPr>
                <w:color w:val="FF00FF"/>
              </w:rPr>
              <w:t>不满足的房间</w:t>
            </w:r>
            <w:r>
              <w:rPr>
                <w:rFonts w:hint="eastAsia"/>
                <w:color w:val="FF00FF"/>
                <w:lang w:val="en-US" w:eastAsia="zh-CN"/>
              </w:rPr>
              <w:t>3</w:t>
            </w:r>
            <w:r>
              <w:rPr>
                <w:color w:val="FF00FF"/>
              </w:rPr>
              <w:t>个</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997.58</w:t>
            </w:r>
          </w:p>
        </w:tc>
        <w:tc>
          <w:tcPr>
            <w:tcW w:w="1075" w:type="dxa"/>
            <w:vAlign w:val="center"/>
          </w:tcPr>
          <w:p>
            <w:r>
              <w:t>189.23</w:t>
            </w:r>
          </w:p>
        </w:tc>
        <w:tc>
          <w:tcPr>
            <w:tcW w:w="1075" w:type="dxa"/>
            <w:vAlign w:val="center"/>
          </w:tcPr>
          <w:p>
            <w:r>
              <w:t>18.97</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49149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49149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ZTBlMDAyOGE5YTY4ZTYzY2IxMTU5NDM1YzEzZGUifQ=="/>
  </w:docVars>
  <w:rsids>
    <w:rsidRoot w:val="000E08A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08A1"/>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87313"/>
    <w:rsid w:val="007A22D1"/>
    <w:rsid w:val="007A272D"/>
    <w:rsid w:val="007A2817"/>
    <w:rsid w:val="007B1E12"/>
    <w:rsid w:val="007C100C"/>
    <w:rsid w:val="007C1C0F"/>
    <w:rsid w:val="007C324F"/>
    <w:rsid w:val="007D2688"/>
    <w:rsid w:val="007F2922"/>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02196BE9"/>
    <w:rsid w:val="7F52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autoRedefine/>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11</Pages>
  <Words>885</Words>
  <Characters>5049</Characters>
  <Lines>42</Lines>
  <Paragraphs>11</Paragraphs>
  <TotalTime>1</TotalTime>
  <ScaleCrop>false</ScaleCrop>
  <LinksUpToDate>false</LinksUpToDate>
  <CharactersWithSpaces>5923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2024-01-06T13:18:00Z</dcterms:created>
  <dc:creator>86133</dc:creator>
  <cp:lastModifiedBy>李洪恩HE</cp:lastModifiedBy>
  <cp:lastPrinted>2411-12-31T16:00:00Z</cp:lastPrinted>
  <dcterms:modified xsi:type="dcterms:W3CDTF">2024-01-09T13:44:09Z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E8B080B9AB914BCDBDBAFFC8CCC8ACA0_12</vt:lpwstr>
  </property>
</Properties>
</file>