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rPr>
                <w:rFonts w:hint="eastAsia" w:eastAsia="微软雅黑"/>
                <w:lang w:eastAsia="zh-CN"/>
              </w:rPr>
            </w:pPr>
            <w:bookmarkStart w:id="0" w:name="工程名称"/>
            <w:r>
              <w:rPr>
                <w:rFonts w:hint="eastAsia"/>
              </w:rPr>
              <w:tab/>
            </w:r>
            <w:r>
              <w:rPr>
                <w:rFonts w:hint="eastAsia"/>
              </w:rPr>
              <w:t>拾樱-打造生态助农中心，助力乡村振兴发展</w:t>
            </w:r>
            <w:r>
              <w:rPr>
                <w:rFonts w:hint="eastAsia"/>
                <w:lang w:eastAsia="zh-CN"/>
              </w:rPr>
              <w:t>（</w:t>
            </w:r>
            <w:r>
              <w:t>民宿采光分析</w:t>
            </w:r>
            <w:bookmarkEnd w:id="0"/>
            <w:r>
              <w:rPr>
                <w:rFonts w:hint="eastAsia"/>
                <w:lang w:eastAsia="zh-CN"/>
              </w:rPr>
              <w:t>）</w:t>
            </w:r>
            <w:bookmarkStart w:id="80" w:name="_GoBack"/>
            <w:bookmarkEnd w:id="8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2023年12月16日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T15120169710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"_Toc153623500"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_Toc153623500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"_Toc153623501"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_Toc153623501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"_Toc153623502"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_Toc153623502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"_Toc153623503"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_Toc153623503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"_Toc153623504"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_Toc153623504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"_Toc153623505"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_Toc153623505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"_Toc153623506"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_Toc153623506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"_Toc153623507"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_Toc153623507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"_Toc153623508"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_Toc153623508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"_Toc153623509"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_Toc153623509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"_Toc153623510"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_Toc153623510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"_Toc153623511"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_Toc153623511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"_Toc153623512"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_Toc153623512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"_Toc153623513"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_Toc153623513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"_Toc153623514"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_Toc153623514 \h </w:instrText>
          </w:r>
          <w:r>
            <w:fldChar w:fldCharType="separate"/>
          </w:r>
          <w:r>
            <w:t>9</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362350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大连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208.76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6.00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53623501"/>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3623502"/>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8" w:name="_Toc153623503"/>
      <w:bookmarkStart w:id="29" w:name="_Toc264569232"/>
      <w:bookmarkStart w:id="30" w:name="_Toc312399791"/>
      <w:bookmarkStart w:id="31" w:name="_Toc290149054"/>
      <w:bookmarkStart w:id="32" w:name="_Toc290209336"/>
      <w:bookmarkStart w:id="33" w:name="_Toc264043625"/>
      <w:bookmarkStart w:id="34" w:name="_Toc275165382"/>
      <w:bookmarkStart w:id="35" w:name="_Toc290209312"/>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3623504"/>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569237"/>
      <w:bookmarkStart w:id="38" w:name="_Toc290209341"/>
      <w:bookmarkStart w:id="39" w:name="_Toc264043630"/>
      <w:bookmarkStart w:id="40" w:name="_Toc290149059"/>
      <w:bookmarkStart w:id="41" w:name="_Toc290209317"/>
      <w:bookmarkStart w:id="42" w:name="_Toc275165387"/>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53623505"/>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3623506"/>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3623507"/>
      <w:r>
        <w:rPr>
          <w:rFonts w:hint="eastAsia"/>
        </w:rPr>
        <w:t>采光计算</w:t>
      </w:r>
      <w:r>
        <w:t>参数</w:t>
      </w:r>
      <w:r>
        <w:rPr>
          <w:rFonts w:hint="eastAsia"/>
        </w:rPr>
        <w:t>取值</w:t>
      </w:r>
      <w:bookmarkEnd w:id="47"/>
    </w:p>
    <w:p>
      <w:pPr>
        <w:pStyle w:val="4"/>
      </w:pPr>
      <w:bookmarkStart w:id="48" w:name="_Toc275165386"/>
      <w:bookmarkStart w:id="49" w:name="_Toc264569236"/>
      <w:bookmarkStart w:id="50" w:name="_Toc290149058"/>
      <w:bookmarkStart w:id="51" w:name="_Toc264043629"/>
      <w:bookmarkStart w:id="52" w:name="_Toc312399795"/>
      <w:bookmarkStart w:id="53" w:name="_Toc290209340"/>
      <w:bookmarkStart w:id="54" w:name="_Toc290209316"/>
      <w:bookmarkStart w:id="55" w:name="_Toc153623508"/>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53623509"/>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3623510"/>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3623511"/>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C1121</w:t>
            </w:r>
          </w:p>
        </w:tc>
        <w:tc>
          <w:tcPr>
            <w:tcW w:w="1245" w:type="dxa"/>
            <w:vAlign w:val="center"/>
          </w:tcPr>
          <w:p>
            <w:r>
              <w:t>1100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C1521</w:t>
            </w:r>
          </w:p>
        </w:tc>
        <w:tc>
          <w:tcPr>
            <w:tcW w:w="1245" w:type="dxa"/>
            <w:vAlign w:val="center"/>
          </w:tcPr>
          <w:p>
            <w:r>
              <w:t>1500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C1821</w:t>
            </w:r>
          </w:p>
        </w:tc>
        <w:tc>
          <w:tcPr>
            <w:tcW w:w="1245" w:type="dxa"/>
            <w:vAlign w:val="center"/>
          </w:tcPr>
          <w:p>
            <w:r>
              <w:t>1800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C2321</w:t>
            </w:r>
          </w:p>
        </w:tc>
        <w:tc>
          <w:tcPr>
            <w:tcW w:w="1245" w:type="dxa"/>
            <w:vAlign w:val="center"/>
          </w:tcPr>
          <w:p>
            <w:r>
              <w:t>2320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C2421</w:t>
            </w:r>
          </w:p>
        </w:tc>
        <w:tc>
          <w:tcPr>
            <w:tcW w:w="1245" w:type="dxa"/>
            <w:vAlign w:val="center"/>
          </w:tcPr>
          <w:p>
            <w:r>
              <w:t>2400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C2521</w:t>
            </w:r>
          </w:p>
        </w:tc>
        <w:tc>
          <w:tcPr>
            <w:tcW w:w="1245" w:type="dxa"/>
            <w:vAlign w:val="center"/>
          </w:tcPr>
          <w:p>
            <w:r>
              <w:t>2530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C3021</w:t>
            </w:r>
          </w:p>
        </w:tc>
        <w:tc>
          <w:tcPr>
            <w:tcW w:w="1245" w:type="dxa"/>
            <w:vAlign w:val="center"/>
          </w:tcPr>
          <w:p>
            <w:r>
              <w:t>3000</w:t>
            </w:r>
          </w:p>
        </w:tc>
        <w:tc>
          <w:tcPr>
            <w:tcW w:w="1245" w:type="dxa"/>
            <w:vAlign w:val="center"/>
          </w:tcPr>
          <w:p>
            <w:r>
              <w:t>2100</w:t>
            </w:r>
          </w:p>
        </w:tc>
        <w:tc>
          <w:tcPr>
            <w:tcW w:w="1301" w:type="dxa"/>
            <w:vAlign w:val="center"/>
          </w:tcPr>
          <w:p>
            <w:r>
              <w:t>双层铝窗</w:t>
            </w:r>
          </w:p>
        </w:tc>
        <w:tc>
          <w:tcPr>
            <w:tcW w:w="1301" w:type="dxa"/>
            <w:vAlign w:val="center"/>
          </w:tcPr>
          <w:p>
            <w:r>
              <w:t>夹层玻璃</w:t>
            </w:r>
          </w:p>
        </w:tc>
        <w:tc>
          <w:tcPr>
            <w:tcW w:w="1516" w:type="dxa"/>
            <w:vAlign w:val="center"/>
          </w:tcPr>
          <w:p>
            <w:r>
              <w:t>0.86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3623512"/>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1002</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63.43</w:t>
            </w:r>
          </w:p>
        </w:tc>
        <w:tc>
          <w:tcPr>
            <w:tcW w:w="1075" w:type="dxa"/>
            <w:vAlign w:val="center"/>
          </w:tcPr>
          <w:p>
            <w:r>
              <w:t>2.27</w:t>
            </w:r>
          </w:p>
        </w:tc>
        <w:tc>
          <w:tcPr>
            <w:tcW w:w="1301" w:type="dxa"/>
            <w:vAlign w:val="center"/>
          </w:tcPr>
          <w:p>
            <w:r>
              <w:t>2.00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1003</w:t>
            </w:r>
          </w:p>
        </w:tc>
        <w:tc>
          <w:tcPr>
            <w:tcW w:w="1075"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6.92</w:t>
            </w:r>
          </w:p>
        </w:tc>
        <w:tc>
          <w:tcPr>
            <w:tcW w:w="1075" w:type="dxa"/>
            <w:vAlign w:val="center"/>
          </w:tcPr>
          <w:p>
            <w:r>
              <w:t>4.18</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2001</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12.95</w:t>
            </w:r>
          </w:p>
        </w:tc>
        <w:tc>
          <w:tcPr>
            <w:tcW w:w="1075" w:type="dxa"/>
            <w:vAlign w:val="center"/>
          </w:tcPr>
          <w:p>
            <w:r>
              <w:t>5.43</w:t>
            </w:r>
          </w:p>
        </w:tc>
        <w:tc>
          <w:tcPr>
            <w:tcW w:w="1301" w:type="dxa"/>
            <w:vAlign w:val="center"/>
          </w:tcPr>
          <w:p>
            <w:r>
              <w:t>2.00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2002</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55.65</w:t>
            </w:r>
          </w:p>
        </w:tc>
        <w:tc>
          <w:tcPr>
            <w:tcW w:w="1075" w:type="dxa"/>
            <w:vAlign w:val="center"/>
          </w:tcPr>
          <w:p>
            <w:r>
              <w:t>3.04</w:t>
            </w:r>
          </w:p>
        </w:tc>
        <w:tc>
          <w:tcPr>
            <w:tcW w:w="1301" w:type="dxa"/>
            <w:vAlign w:val="center"/>
          </w:tcPr>
          <w:p>
            <w:r>
              <w:t>2.00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2003</w:t>
            </w:r>
          </w:p>
        </w:tc>
        <w:tc>
          <w:tcPr>
            <w:tcW w:w="1075"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7.48</w:t>
            </w:r>
          </w:p>
        </w:tc>
        <w:tc>
          <w:tcPr>
            <w:tcW w:w="1075" w:type="dxa"/>
            <w:vAlign w:val="center"/>
          </w:tcPr>
          <w:p>
            <w:r>
              <w:t>3.49</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13.88</w:t>
            </w:r>
          </w:p>
        </w:tc>
        <w:tc>
          <w:tcPr>
            <w:tcW w:w="1075" w:type="dxa"/>
            <w:vAlign w:val="center"/>
          </w:tcPr>
          <w:p>
            <w:r>
              <w:t>4.30</w:t>
            </w:r>
          </w:p>
        </w:tc>
        <w:tc>
          <w:tcPr>
            <w:tcW w:w="1301" w:type="dxa"/>
            <w:vAlign w:val="center"/>
          </w:tcPr>
          <w:p>
            <w:r>
              <w:t>2.00</w:t>
            </w:r>
          </w:p>
        </w:tc>
        <w:tc>
          <w:tcPr>
            <w:tcW w:w="922" w:type="dxa"/>
            <w:vAlign w:val="center"/>
          </w:tcPr>
          <w:p>
            <w:r>
              <w:rPr>
                <w:b/>
              </w:rPr>
              <w:t>满足</w:t>
            </w:r>
          </w:p>
        </w:tc>
      </w:tr>
    </w:tbl>
    <w:p>
      <w:pPr>
        <w:pStyle w:val="3"/>
        <w:rPr>
          <w:rFonts w:ascii="宋体" w:hAnsi="宋体"/>
          <w:sz w:val="18"/>
          <w:szCs w:val="18"/>
          <w:lang w:val="en-US"/>
        </w:rPr>
      </w:pPr>
    </w:p>
    <w:p>
      <w:pPr>
        <w:pStyle w:val="2"/>
        <w:ind w:left="432" w:hanging="432"/>
      </w:pPr>
      <w:bookmarkStart w:id="75" w:name="_Toc153623513"/>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37052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705225"/>
                    </a:xfrm>
                    <a:prstGeom prst="rect">
                      <a:avLst/>
                    </a:prstGeom>
                  </pic:spPr>
                </pic:pic>
              </a:graphicData>
            </a:graphic>
          </wp:inline>
        </w:drawing>
      </w:r>
    </w:p>
    <w:p>
      <w:r>
        <w:t>1层</w:t>
      </w:r>
    </w:p>
    <w:p>
      <w:r>
        <w:drawing>
          <wp:inline distT="0" distB="0" distL="0" distR="0">
            <wp:extent cx="5667375" cy="37052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705225"/>
                    </a:xfrm>
                    <a:prstGeom prst="rect">
                      <a:avLst/>
                    </a:prstGeom>
                  </pic:spPr>
                </pic:pic>
              </a:graphicData>
            </a:graphic>
          </wp:inline>
        </w:drawing>
      </w:r>
    </w:p>
    <w:p>
      <w:r>
        <w:t>2层</w:t>
      </w:r>
    </w:p>
    <w:p/>
    <w:p>
      <w:pPr>
        <w:pStyle w:val="2"/>
        <w:ind w:left="432" w:hanging="432"/>
      </w:pPr>
      <w:bookmarkStart w:id="77" w:name="_Toc153623514"/>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6</w:t>
            </w:r>
          </w:p>
        </w:tc>
        <w:tc>
          <w:tcPr>
            <w:tcW w:w="1075" w:type="dxa"/>
            <w:vAlign w:val="center"/>
          </w:tcPr>
          <w:p>
            <w:r>
              <w:t>6</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160.30</w:t>
            </w:r>
          </w:p>
        </w:tc>
        <w:tc>
          <w:tcPr>
            <w:tcW w:w="1075" w:type="dxa"/>
            <w:vAlign w:val="center"/>
          </w:tcPr>
          <w:p>
            <w:r>
              <w:t>160.30</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DM3NzMxZDA3ZjRkN2E4ZGZkNDg1NTMyZmRhMmQifQ=="/>
  </w:docVars>
  <w:rsids>
    <w:rsidRoot w:val="00AB0342"/>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846"/>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0342"/>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77"/>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298050EC"/>
    <w:rsid w:val="5C2A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142\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tmp4</Template>
  <Company>ths</Company>
  <Pages>10</Pages>
  <Words>780</Words>
  <Characters>4449</Characters>
  <Lines>37</Lines>
  <Paragraphs>10</Paragraphs>
  <TotalTime>0</TotalTime>
  <ScaleCrop>false</ScaleCrop>
  <LinksUpToDate>false</LinksUpToDate>
  <CharactersWithSpaces>5219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2023-12-16T04:51:00Z</dcterms:created>
  <dc:creator>16142</dc:creator>
  <cp:lastModifiedBy>zyf</cp:lastModifiedBy>
  <cp:lastPrinted>2411-12-31T16:00:00Z</cp:lastPrinted>
  <dcterms:modified xsi:type="dcterms:W3CDTF">2023-12-17T13:37:33Z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88C0394AC6C44B379002C86373021962_13</vt:lpwstr>
  </property>
</Properties>
</file>