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T13809100386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"_Toc155388814"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_Toc155388814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"_Toc155388815"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气象参数</w:t>
      </w:r>
      <w:r>
        <w:tab/>
      </w:r>
      <w:r>
        <w:fldChar w:fldCharType="begin"/>
      </w:r>
      <w:r>
        <w:instrText xml:space="preserve"> PAGEREF _Toc155388815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"_Toc155388816"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_Toc155388816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"_Toc155388817"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_Toc155388817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"_Toc155388818"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围护结构传热耗热量</w:t>
      </w:r>
      <w:r>
        <w:tab/>
      </w:r>
      <w:r>
        <w:fldChar w:fldCharType="begin"/>
      </w:r>
      <w:r>
        <w:instrText xml:space="preserve"> PAGEREF _Toc155388818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"_Toc155388819"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围护结构的附加耗热量</w:t>
      </w:r>
      <w:r>
        <w:tab/>
      </w:r>
      <w:r>
        <w:fldChar w:fldCharType="begin"/>
      </w:r>
      <w:r>
        <w:instrText xml:space="preserve"> PAGEREF _Toc155388819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"_Toc155388820"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冷风渗入耗热量</w:t>
      </w:r>
      <w:r>
        <w:tab/>
      </w:r>
      <w:r>
        <w:fldChar w:fldCharType="begin"/>
      </w:r>
      <w:r>
        <w:instrText xml:space="preserve"> PAGEREF _Toc155388820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"_Toc155388821"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新风耗热量</w:t>
      </w:r>
      <w:r>
        <w:tab/>
      </w:r>
      <w:r>
        <w:fldChar w:fldCharType="begin"/>
      </w:r>
      <w:r>
        <w:instrText xml:space="preserve"> PAGEREF _Toc155388821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"_Toc155388822"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通过其他途径的耗热量</w:t>
      </w:r>
      <w:r>
        <w:tab/>
      </w:r>
      <w:r>
        <w:fldChar w:fldCharType="begin"/>
      </w:r>
      <w:r>
        <w:instrText xml:space="preserve"> PAGEREF _Toc155388822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"_Toc155388823"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分户计量和间歇采暖热负荷</w:t>
      </w:r>
      <w:r>
        <w:tab/>
      </w:r>
      <w:r>
        <w:fldChar w:fldCharType="begin"/>
      </w:r>
      <w:r>
        <w:instrText xml:space="preserve"> PAGEREF _Toc155388823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"_Toc155388824"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_Toc155388824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"_Toc155388825"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_Toc155388825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"_Toc155388826"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_Toc155388826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"_Toc155388827"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_Toc155388827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"_Toc155388828"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_Toc155388828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"_Toc155388829"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_Toc155388829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"_Toc155388830"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_Toc155388830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"_Toc155388831"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房间热负荷汇总表(按楼层)</w:t>
      </w:r>
      <w:r>
        <w:tab/>
      </w:r>
      <w:r>
        <w:fldChar w:fldCharType="begin"/>
      </w:r>
      <w:r>
        <w:instrText xml:space="preserve"> PAGEREF _Toc155388831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"_Toc155388832"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房间热负荷详细表</w:t>
      </w:r>
      <w:r>
        <w:tab/>
      </w:r>
      <w:r>
        <w:fldChar w:fldCharType="begin"/>
      </w:r>
      <w:r>
        <w:instrText xml:space="preserve"> PAGEREF _Toc155388832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</w:rPr>
      </w:pPr>
      <w:bookmarkStart w:id="9" w:name="_Toc155388814"/>
      <w:r>
        <w:rPr>
          <w:szCs w:val="24"/>
        </w:rPr>
        <w:t>建筑概况</w:t>
      </w:r>
      <w:bookmarkEnd w:id="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陕西-西安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108.93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35" w:name="_GoBack"/>
            <w:bookmarkEnd w:id="3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7983.00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22.50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4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0" w:name="_Toc155388815"/>
      <w:r>
        <w:t>气象参数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vAlign w:val="center"/>
          </w:tcPr>
          <w:p>
            <w:r>
              <w:t>-3.4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1" w:name="_Toc155388816"/>
      <w:r>
        <w:t>计算依据</w:t>
      </w:r>
      <w:bookmarkEnd w:id="11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2" w:name="_Toc155388817"/>
      <w:r>
        <w:t>计算原理</w:t>
      </w:r>
      <w:bookmarkEnd w:id="12"/>
    </w:p>
    <w:p>
      <w:pPr>
        <w:pStyle w:val="4"/>
      </w:pPr>
      <w:bookmarkStart w:id="13" w:name="围护结构"/>
      <w:bookmarkEnd w:id="13"/>
      <w:bookmarkStart w:id="14" w:name="_Toc155388818"/>
      <w:bookmarkStart w:id="15" w:name="_Toc496014720"/>
      <w:r>
        <w:rPr>
          <w:rFonts w:hint="eastAsia"/>
        </w:rPr>
        <w:t>围护结构传热耗热量</w:t>
      </w:r>
      <w:bookmarkEnd w:id="14"/>
      <w:bookmarkEnd w:id="15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pict>
          <v:shape id="_x0000_i1025" o:spt="75" type="#_x0000_t75" style="height:18pt;width:89.3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6" w:name="_Toc155388819"/>
      <w:bookmarkStart w:id="17" w:name="_Toc496014721"/>
      <w:r>
        <w:rPr>
          <w:rFonts w:hint="eastAsia"/>
        </w:rPr>
        <w:t>围护结构的附加耗热量</w:t>
      </w:r>
      <w:bookmarkEnd w:id="16"/>
      <w:bookmarkEnd w:id="1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>
          <v:shape id="_x0000_i1026" o:spt="75" type="#_x0000_t75" style="height:11.3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7" o:spt="75" type="#_x0000_t75" style="height:11.3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8" o:spt="75" type="#_x0000_t75" style="height:11.3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>
          <v:shape id="_x0000_i1029" o:spt="75" type="#_x0000_t75" style="height:11.3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>
          <v:shape id="_x0000_i1030" o:spt="75" type="#_x0000_t75" style="height:11.3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1" o:spt="75" type="#_x0000_t75" style="height:11.3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2" o:spt="75" type="#_x0000_t75" style="height:11.3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pict>
          <v:shape id="_x0000_i1033" o:spt="75" type="#_x0000_t75" style="height:11.3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</w:pPr>
      <w:bookmarkStart w:id="18" w:name="_Toc496014722"/>
      <w:bookmarkStart w:id="19" w:name="_Toc155388820"/>
      <w:r>
        <w:rPr>
          <w:rFonts w:hint="eastAsia"/>
        </w:rPr>
        <w:t>冷风渗入耗热量</w:t>
      </w:r>
      <w:bookmarkEnd w:id="18"/>
      <w:bookmarkEnd w:id="19"/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>
          <v:shape id="_x0000_i1034" o:spt="75" type="#_x0000_t75" style="height:18.65pt;width:120.6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color w:val="000000"/>
        </w:rPr>
      </w:pPr>
      <w:r>
        <w:rPr>
          <w:color w:val="000000"/>
          <w:position w:val="-12"/>
        </w:rPr>
        <w:pict>
          <v:shape id="_x0000_i1035" o:spt="75" type="#_x0000_t75" style="height:18.65pt;width:53.3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6" o:spt="75" type="#_x0000_t75" style="height:12.65pt;width:44.3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</w:pPr>
      <w:bookmarkStart w:id="20" w:name="_Toc155388821"/>
      <w:bookmarkStart w:id="21" w:name="_Toc496014723"/>
      <w:r>
        <w:rPr>
          <w:rFonts w:hint="eastAsia"/>
        </w:rPr>
        <w:t>新风耗热量</w:t>
      </w:r>
      <w:bookmarkEnd w:id="20"/>
      <w:bookmarkEnd w:id="2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hint="eastAsia"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>
          <v:shape id="_x0000_i1037" o:spt="75" type="#_x0000_t75" style="height:18.65pt;width:29.3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</w:pPr>
      <w:bookmarkStart w:id="22" w:name="_Toc496014724"/>
      <w:bookmarkStart w:id="23" w:name="_Toc155388822"/>
      <w:r>
        <w:rPr>
          <w:rFonts w:hint="eastAsia"/>
        </w:rPr>
        <w:t>通过其他途径的耗热量</w:t>
      </w:r>
      <w:bookmarkEnd w:id="22"/>
      <w:bookmarkEnd w:id="23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</w:pPr>
      <w:bookmarkStart w:id="24" w:name="_Toc496014725"/>
      <w:bookmarkStart w:id="25" w:name="_Toc155388823"/>
      <w:r>
        <w:rPr>
          <w:rFonts w:hint="eastAsia"/>
        </w:rPr>
        <w:t>分户计量和间歇采暖热负荷</w:t>
      </w:r>
      <w:bookmarkEnd w:id="24"/>
      <w:bookmarkEnd w:id="25"/>
    </w:p>
    <w:p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>
          <v:shape id="_x0000_i1038" o:spt="75" type="#_x0000_t75" style="height:18.65pt;width:84.6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9" o:spt="75" type="#_x0000_t75" style="height:18.65pt;width:63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40" o:spt="75" type="#_x0000_t75" style="height:33.65pt;width:117.6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6" w:name="_Toc155388824"/>
      <w:r>
        <w:t>外围护构造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屋顶</w:t>
            </w:r>
          </w:p>
        </w:tc>
        <w:tc>
          <w:tcPr>
            <w:tcW w:w="3961" w:type="dxa"/>
            <w:vAlign w:val="center"/>
          </w:tcPr>
          <w:p>
            <w:r>
              <w:t>屋顶构造一</w:t>
            </w:r>
          </w:p>
        </w:tc>
        <w:tc>
          <w:tcPr>
            <w:tcW w:w="3667" w:type="dxa"/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外墙</w:t>
            </w:r>
          </w:p>
        </w:tc>
        <w:tc>
          <w:tcPr>
            <w:tcW w:w="3961" w:type="dxa"/>
            <w:vAlign w:val="center"/>
          </w:tcPr>
          <w:p>
            <w:r>
              <w:t>外墙构造一</w:t>
            </w:r>
          </w:p>
        </w:tc>
        <w:tc>
          <w:tcPr>
            <w:tcW w:w="3667" w:type="dxa"/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梁柱</w:t>
            </w:r>
          </w:p>
        </w:tc>
        <w:tc>
          <w:tcPr>
            <w:tcW w:w="3961" w:type="dxa"/>
            <w:vAlign w:val="center"/>
          </w:tcPr>
          <w:p>
            <w:r>
              <w:t>梁柱构造一</w:t>
            </w:r>
          </w:p>
        </w:tc>
        <w:tc>
          <w:tcPr>
            <w:tcW w:w="3667" w:type="dxa"/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挑空楼板</w:t>
            </w:r>
          </w:p>
        </w:tc>
        <w:tc>
          <w:tcPr>
            <w:tcW w:w="3961" w:type="dxa"/>
            <w:vAlign w:val="center"/>
          </w:tcPr>
          <w:p>
            <w:r>
              <w:t>挑空楼板构造一</w:t>
            </w:r>
          </w:p>
        </w:tc>
        <w:tc>
          <w:tcPr>
            <w:tcW w:w="3667" w:type="dxa"/>
            <w:vAlign w:val="center"/>
          </w:tcPr>
          <w:p>
            <w:r>
              <w:t>1.192</w:t>
            </w:r>
          </w:p>
        </w:tc>
      </w:tr>
    </w:tbl>
    <w:p>
      <w:pPr>
        <w:pStyle w:val="2"/>
      </w:pPr>
      <w:bookmarkStart w:id="27" w:name="_Toc155388825"/>
      <w:r>
        <w:t>内围护构造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内墙</w:t>
            </w:r>
          </w:p>
        </w:tc>
        <w:tc>
          <w:tcPr>
            <w:tcW w:w="3961" w:type="dxa"/>
            <w:vAlign w:val="center"/>
          </w:tcPr>
          <w:p>
            <w:r>
              <w:t>内墙构造一</w:t>
            </w:r>
          </w:p>
        </w:tc>
        <w:tc>
          <w:tcPr>
            <w:tcW w:w="3667" w:type="dxa"/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楼板</w:t>
            </w:r>
          </w:p>
        </w:tc>
        <w:tc>
          <w:tcPr>
            <w:tcW w:w="3961" w:type="dxa"/>
            <w:vAlign w:val="center"/>
          </w:tcPr>
          <w:p>
            <w:r>
              <w:t>楼板构造一</w:t>
            </w:r>
          </w:p>
        </w:tc>
        <w:tc>
          <w:tcPr>
            <w:tcW w:w="3667" w:type="dxa"/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8" w:name="_Toc155388826"/>
      <w:r>
        <w:t>封闭阳台构造</w:t>
      </w:r>
      <w:bookmarkEnd w:id="28"/>
    </w:p>
    <w:p>
      <w:r>
        <w:t>本工程无此项内容</w:t>
      </w:r>
    </w:p>
    <w:p>
      <w:pPr>
        <w:pStyle w:val="2"/>
      </w:pPr>
      <w:bookmarkStart w:id="29" w:name="_Toc155388827"/>
      <w:r>
        <w:t>地下围护构造</w:t>
      </w:r>
      <w:bookmarkEnd w:id="29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周边地面</w:t>
            </w:r>
          </w:p>
        </w:tc>
        <w:tc>
          <w:tcPr>
            <w:tcW w:w="3961" w:type="dxa"/>
            <w:vAlign w:val="center"/>
          </w:tcPr>
          <w:p>
            <w:r>
              <w:t>周边地面构造一</w:t>
            </w:r>
          </w:p>
        </w:tc>
        <w:tc>
          <w:tcPr>
            <w:tcW w:w="3667" w:type="dxa"/>
            <w:vAlign w:val="center"/>
          </w:tcPr>
          <w:p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非周边地面</w:t>
            </w:r>
          </w:p>
        </w:tc>
        <w:tc>
          <w:tcPr>
            <w:tcW w:w="3961" w:type="dxa"/>
            <w:vAlign w:val="center"/>
          </w:tcPr>
          <w:p>
            <w:r>
              <w:t>非周边地面构造一</w:t>
            </w:r>
          </w:p>
        </w:tc>
        <w:tc>
          <w:tcPr>
            <w:tcW w:w="3667" w:type="dxa"/>
            <w:vAlign w:val="center"/>
          </w:tcPr>
          <w:p>
            <w:r>
              <w:t>0.298</w:t>
            </w:r>
          </w:p>
        </w:tc>
      </w:tr>
    </w:tbl>
    <w:p>
      <w:pPr>
        <w:pStyle w:val="2"/>
      </w:pPr>
      <w:bookmarkStart w:id="30" w:name="_Toc155388828"/>
      <w:r>
        <w:t>窗构造</w:t>
      </w:r>
      <w:bookmarkEnd w:id="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3.90</w:t>
            </w:r>
          </w:p>
        </w:tc>
        <w:tc>
          <w:tcPr>
            <w:tcW w:w="1415" w:type="dxa"/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1" w:name="_Toc155388829"/>
      <w:r>
        <w:t>门构造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2" w:name="_Toc155388830"/>
      <w:r>
        <w:t>负荷指标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343766</w:t>
            </w:r>
          </w:p>
        </w:tc>
        <w:tc>
          <w:tcPr>
            <w:tcW w:w="3112" w:type="dxa"/>
            <w:vAlign w:val="center"/>
          </w:tcPr>
          <w:p>
            <w:r>
              <w:t>7983.00</w:t>
            </w:r>
          </w:p>
        </w:tc>
        <w:tc>
          <w:tcPr>
            <w:tcW w:w="3101" w:type="dxa"/>
            <w:vAlign w:val="center"/>
          </w:tcPr>
          <w:p>
            <w:r>
              <w:t>43.06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7756.52</w:t>
            </w:r>
          </w:p>
        </w:tc>
        <w:tc>
          <w:tcPr>
            <w:tcW w:w="3101" w:type="dxa"/>
            <w:vAlign w:val="center"/>
          </w:tcPr>
          <w:p>
            <w:r>
              <w:t>44.32</w:t>
            </w:r>
          </w:p>
        </w:tc>
      </w:tr>
    </w:tbl>
    <w:p>
      <w:pPr>
        <w:pStyle w:val="2"/>
      </w:pPr>
      <w:bookmarkStart w:id="33" w:name="_Toc155388831"/>
      <w:r>
        <w:t>房间热负荷汇总表(按楼层)</w:t>
      </w:r>
      <w:bookmarkEnd w:id="33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1365.47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52535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203.58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8693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4426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23.15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2018.19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71873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9422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81295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842.62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21417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336.96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11936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4588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12321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1789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28.90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23.15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2118.50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67645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74812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741.49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10556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17655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336.96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244.96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12015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170.51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8294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10489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23.15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2383.70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74393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77360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640.32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20927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报告厅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271.44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14514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230.75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87.32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3372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3369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23.15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2074.82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110300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110300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7756.52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324211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19555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343766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44.3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4" w:name="_Toc155388832"/>
      <w:r>
        <w:t>房间热负荷详细表</w:t>
      </w:r>
      <w:bookmarkEnd w:id="34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1002[实验室]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1003[实验室]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1004[实验室]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1005[实验室]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1012,1013,1014[卫生间]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2003[房间]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2004[实验室]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2006,2012[房间];2019,2020,2021[卫生间]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2009[会议室]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2016,2017[卫生间]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5832.8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3004[阅览室]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3005[房间]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2902.8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3007[房间];3016,3017,3018[卫生间]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3013,3014[卫生间]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4002[报告厅]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4003[房间]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4004[房间]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4014[房间]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4016[普通教室]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4018,4019[卫生间]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4021,4022,4023[卫生间]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343766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WUyOGNkMDNiMzBhZjZlMTM5ZTkzYTE1Y2U0YmEzZTcifQ=="/>
  </w:docVars>
  <w:rsids>
    <w:rsidRoot w:val="00842A07"/>
    <w:rsid w:val="001915A3"/>
    <w:rsid w:val="00217F62"/>
    <w:rsid w:val="00842A07"/>
    <w:rsid w:val="0084448D"/>
    <w:rsid w:val="00A906D8"/>
    <w:rsid w:val="00AB5A74"/>
    <w:rsid w:val="00E806E6"/>
    <w:rsid w:val="00F071AE"/>
    <w:rsid w:val="0B9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oyuya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16</Pages>
  <Words>4107</Words>
  <Characters>23412</Characters>
  <Lines>195</Lines>
  <Paragraphs>54</Paragraphs>
  <TotalTime>1</TotalTime>
  <ScaleCrop>false</ScaleCrop>
  <LinksUpToDate>false</LinksUpToDate>
  <CharactersWithSpaces>27465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2024-01-05T15:13:00Z</dcterms:created>
  <dc:creator>Guoyuyan</dc:creator>
  <cp:lastModifiedBy>Administrator</cp:lastModifiedBy>
  <cp:lastPrinted>2411-12-31T16:00:00Z</cp:lastPrinted>
  <dcterms:modified xsi:type="dcterms:W3CDTF">2024-01-07T13:26:18Z</dcterms:modified>
  <dc:title>热负荷计算书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447F34191BB4423F90A78AC511E02BFF_12</vt:lpwstr>
  </property>
</Properties>
</file>