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陕西-西安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9" w:name="_GoBack"/>
            <w:bookmarkEnd w:id="59"/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T18900939903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"_Toc155366581"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_Toc155366581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_Toc155366582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_Toc155366583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_Toc155366584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"_Toc155366585"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_Toc155366585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"_Toc155366586"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_Toc155366586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"_Toc155366587"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_Toc155366587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"_Toc155366588"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_Toc155366588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"_Toc155366589"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_Toc155366589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"_Toc155366590"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_Toc155366590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"_Toc155366591"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_Toc155366591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"_Toc155366592"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_Toc155366592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"_Toc155366593"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_Toc155366593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"_Toc155366594"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_Toc155366594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"_Toc155366595"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_Toc155366595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"_Toc155366596"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_Toc155366596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"_Toc155366597" </w:instrText>
      </w:r>
      <w:r>
        <w:fldChar w:fldCharType="separate"/>
      </w:r>
      <w:r>
        <w:rPr>
          <w:rStyle w:val="21"/>
          <w:lang w:val="en-GB"/>
        </w:rPr>
        <w:t>10.1.1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_Toc155366597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"_Toc155366598"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_Toc155366598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"_Toc155366599"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_Toc155366599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"_Toc155366600"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_Toc155366600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"_Toc155366601"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_Toc155366601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"_Toc155366602"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_Toc155366602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"_Toc155366603"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_Toc155366603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"_Toc155366604"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_Toc155366604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"_Toc155366605"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_Toc155366605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"_Toc155366606"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_Toc155366606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536658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陕西-西安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7983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39465.52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8742.52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5366582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366583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95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24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24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62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23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5366584"/>
      <w:r>
        <w:rPr>
          <w:kern w:val="2"/>
          <w:szCs w:val="24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5366585"/>
      <w:r>
        <w:rPr>
          <w:kern w:val="2"/>
          <w:szCs w:val="24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Cs w:val="21"/>
          <w:lang w:val="en-US"/>
        </w:rPr>
        <w:t>塑料+6Low-E+12A+6mm白透中空玻璃：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传热系数1.900W/m^2.K，自身遮阳系数0.310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Cs w:val="21"/>
          <w:lang w:val="en-US"/>
        </w:rPr>
        <w:t>塑料+6Low-E+12A+6mm白透中空玻璃：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传热系数1.900W/m^2.K，自身遮阳系数0.310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155366586"/>
      <w:r>
        <w:rPr>
          <w:color w:val="000000"/>
          <w:kern w:val="2"/>
          <w:szCs w:val="24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8742.52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39465.52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0.22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8" w:name="_Toc155366587"/>
      <w:r>
        <w:rPr>
          <w:color w:val="000000"/>
          <w:kern w:val="2"/>
          <w:szCs w:val="24"/>
        </w:rPr>
        <w:t>窗墙比</w:t>
      </w:r>
      <w:bookmarkEnd w:id="38"/>
    </w:p>
    <w:p>
      <w:pPr>
        <w:pStyle w:val="4"/>
        <w:widowControl w:val="0"/>
        <w:rPr>
          <w:kern w:val="2"/>
        </w:rPr>
      </w:pPr>
      <w:bookmarkStart w:id="39" w:name="_Toc155366588"/>
      <w:r>
        <w:rPr>
          <w:kern w:val="2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574.80</w:t>
            </w:r>
          </w:p>
        </w:tc>
        <w:tc>
          <w:tcPr>
            <w:tcW w:w="2105" w:type="dxa"/>
            <w:vAlign w:val="center"/>
          </w:tcPr>
          <w:p>
            <w:r>
              <w:t>1972.08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714.10</w:t>
            </w:r>
          </w:p>
        </w:tc>
        <w:tc>
          <w:tcPr>
            <w:tcW w:w="2105" w:type="dxa"/>
            <w:vAlign w:val="center"/>
          </w:tcPr>
          <w:p>
            <w:r>
              <w:t>1972.17</w:t>
            </w:r>
          </w:p>
        </w:tc>
        <w:tc>
          <w:tcPr>
            <w:tcW w:w="1652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43.44</w:t>
            </w:r>
          </w:p>
        </w:tc>
        <w:tc>
          <w:tcPr>
            <w:tcW w:w="2105" w:type="dxa"/>
            <w:vAlign w:val="center"/>
          </w:tcPr>
          <w:p>
            <w:r>
              <w:t>645.93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112.56</w:t>
            </w:r>
          </w:p>
        </w:tc>
        <w:tc>
          <w:tcPr>
            <w:tcW w:w="2105" w:type="dxa"/>
            <w:vAlign w:val="center"/>
          </w:tcPr>
          <w:p>
            <w:r>
              <w:t>645.96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55366589"/>
      <w:r>
        <w:rPr>
          <w:kern w:val="2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574.80</w:t>
            </w:r>
          </w:p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7.20×2.40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  <w:tc>
          <w:tcPr>
            <w:tcW w:w="1262" w:type="dxa"/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59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1,3~4</w:t>
            </w:r>
          </w:p>
        </w:tc>
        <w:tc>
          <w:tcPr>
            <w:tcW w:w="718" w:type="dxa"/>
            <w:vAlign w:val="center"/>
          </w:tcPr>
          <w:p>
            <w:r>
              <w:t>34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220.32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</w:t>
            </w:r>
          </w:p>
        </w:tc>
        <w:tc>
          <w:tcPr>
            <w:tcW w:w="1386" w:type="dxa"/>
            <w:vAlign w:val="center"/>
          </w:tcPr>
          <w:p>
            <w:r>
              <w:t>3.30×2.40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  <w:tc>
          <w:tcPr>
            <w:tcW w:w="1262" w:type="dxa"/>
            <w:vAlign w:val="center"/>
          </w:tcPr>
          <w:p>
            <w:r>
              <w:t>31.68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3.50×2.40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8.40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714.10</w:t>
            </w:r>
          </w:p>
        </w:tc>
        <w:tc>
          <w:tcPr>
            <w:tcW w:w="1562" w:type="dxa"/>
            <w:vAlign w:val="center"/>
          </w:tcPr>
          <w:p>
            <w:r>
              <w:t>c1</w:t>
            </w:r>
          </w:p>
        </w:tc>
        <w:tc>
          <w:tcPr>
            <w:tcW w:w="1386" w:type="dxa"/>
            <w:vAlign w:val="center"/>
          </w:tcPr>
          <w:p>
            <w:r>
              <w:t>1.20×2.40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7.20×2.40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  <w:tc>
          <w:tcPr>
            <w:tcW w:w="1262" w:type="dxa"/>
            <w:vAlign w:val="center"/>
          </w:tcPr>
          <w:p>
            <w:r>
              <w:t>276.48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7.18×2.40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17.23</w:t>
            </w:r>
          </w:p>
        </w:tc>
        <w:tc>
          <w:tcPr>
            <w:tcW w:w="1262" w:type="dxa"/>
            <w:vAlign w:val="center"/>
          </w:tcPr>
          <w:p>
            <w:r>
              <w:t>51.70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48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207.36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</w:t>
            </w:r>
          </w:p>
        </w:tc>
        <w:tc>
          <w:tcPr>
            <w:tcW w:w="1386" w:type="dxa"/>
            <w:vAlign w:val="center"/>
          </w:tcPr>
          <w:p>
            <w:r>
              <w:t>2.60×2.40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77.76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c6</w:t>
            </w:r>
          </w:p>
        </w:tc>
        <w:tc>
          <w:tcPr>
            <w:tcW w:w="1386" w:type="dxa"/>
            <w:vAlign w:val="center"/>
          </w:tcPr>
          <w:p>
            <w:r>
              <w:t>3.10×2.40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7.43</w:t>
            </w:r>
          </w:p>
        </w:tc>
        <w:tc>
          <w:tcPr>
            <w:tcW w:w="1262" w:type="dxa"/>
            <w:vAlign w:val="center"/>
          </w:tcPr>
          <w:p>
            <w:r>
              <w:t>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</w:t>
            </w:r>
          </w:p>
        </w:tc>
        <w:tc>
          <w:tcPr>
            <w:tcW w:w="1386" w:type="dxa"/>
            <w:vAlign w:val="center"/>
          </w:tcPr>
          <w:p>
            <w:r>
              <w:t>3.30×2.40</w:t>
            </w:r>
          </w:p>
        </w:tc>
        <w:tc>
          <w:tcPr>
            <w:tcW w:w="735" w:type="dxa"/>
            <w:vAlign w:val="center"/>
          </w:tcPr>
          <w:p>
            <w:r>
              <w:t>1,3~4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  <w:tc>
          <w:tcPr>
            <w:tcW w:w="1262" w:type="dxa"/>
            <w:vAlign w:val="center"/>
          </w:tcPr>
          <w:p>
            <w:r>
              <w:t>47.52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16.56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43.44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</w:t>
            </w:r>
          </w:p>
        </w:tc>
        <w:tc>
          <w:tcPr>
            <w:tcW w:w="1386" w:type="dxa"/>
            <w:vAlign w:val="center"/>
          </w:tcPr>
          <w:p>
            <w:r>
              <w:t>1.90×2.40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112.56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25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</w:t>
            </w:r>
          </w:p>
        </w:tc>
        <w:tc>
          <w:tcPr>
            <w:tcW w:w="1386" w:type="dxa"/>
            <w:vAlign w:val="center"/>
          </w:tcPr>
          <w:p>
            <w:r>
              <w:t>1.90×2.40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1" w:name="_Toc155366590"/>
      <w:r>
        <w:rPr>
          <w:color w:val="000000"/>
          <w:kern w:val="2"/>
          <w:szCs w:val="24"/>
        </w:rPr>
        <w:t>天窗</w:t>
      </w:r>
      <w:bookmarkEnd w:id="41"/>
    </w:p>
    <w:p>
      <w:pPr>
        <w:pStyle w:val="4"/>
        <w:widowControl w:val="0"/>
        <w:rPr>
          <w:kern w:val="2"/>
        </w:rPr>
      </w:pPr>
      <w:bookmarkStart w:id="42" w:name="_Toc155366591"/>
      <w:r>
        <w:rPr>
          <w:kern w:val="2"/>
        </w:rPr>
        <w:t>天窗屋顶比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4003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217.25</w:t>
            </w:r>
          </w:p>
        </w:tc>
        <w:tc>
          <w:tcPr>
            <w:tcW w:w="1811" w:type="dxa"/>
            <w:vAlign w:val="center"/>
          </w:tcPr>
          <w:p>
            <w:r>
              <w:t>230.75</w:t>
            </w:r>
          </w:p>
        </w:tc>
        <w:tc>
          <w:tcPr>
            <w:tcW w:w="1811" w:type="dxa"/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4004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82.29</w:t>
            </w:r>
          </w:p>
        </w:tc>
        <w:tc>
          <w:tcPr>
            <w:tcW w:w="1811" w:type="dxa"/>
            <w:vAlign w:val="center"/>
          </w:tcPr>
          <w:p>
            <w:r>
              <w:t>87.32</w:t>
            </w:r>
          </w:p>
        </w:tc>
        <w:tc>
          <w:tcPr>
            <w:tcW w:w="1811" w:type="dxa"/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299.54</w:t>
            </w:r>
          </w:p>
        </w:tc>
        <w:tc>
          <w:tcPr>
            <w:tcW w:w="1811" w:type="dxa"/>
            <w:vAlign w:val="center"/>
          </w:tcPr>
          <w:p>
            <w:r>
              <w:t>2727.99</w:t>
            </w:r>
          </w:p>
        </w:tc>
        <w:tc>
          <w:tcPr>
            <w:tcW w:w="1811" w:type="dxa"/>
            <w:vAlign w:val="center"/>
          </w:tcPr>
          <w:p>
            <w:r>
              <w:t>0.11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366592"/>
      <w:r>
        <w:rPr>
          <w:kern w:val="2"/>
        </w:rPr>
        <w:t>天窗类型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1.90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1.90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K≤1.90,SHGC≤0.35,S≤0.3或K≤1.90,SHGC≤0.28,0.3&lt;S≤0.5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55366593"/>
      <w:r>
        <w:rPr>
          <w:color w:val="000000"/>
          <w:kern w:val="2"/>
          <w:szCs w:val="24"/>
        </w:rPr>
        <w:t>屋顶构造</w:t>
      </w:r>
      <w:bookmarkEnd w:id="44"/>
    </w:p>
    <w:p>
      <w:pPr>
        <w:pStyle w:val="4"/>
        <w:widowControl w:val="0"/>
        <w:rPr>
          <w:kern w:val="2"/>
        </w:rPr>
      </w:pPr>
      <w:bookmarkStart w:id="45" w:name="_Toc155366594"/>
      <w:r>
        <w:rPr>
          <w:kern w:val="2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K≤0.36,S≤0.30或K≤0.32,0.30&lt;S≤0.50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6" w:name="_Toc155366595"/>
      <w:r>
        <w:rPr>
          <w:color w:val="000000"/>
          <w:kern w:val="2"/>
          <w:szCs w:val="24"/>
        </w:rPr>
        <w:t>外墙构造</w:t>
      </w:r>
      <w:bookmarkEnd w:id="46"/>
    </w:p>
    <w:p>
      <w:pPr>
        <w:pStyle w:val="4"/>
        <w:widowControl w:val="0"/>
        <w:rPr>
          <w:kern w:val="2"/>
        </w:rPr>
      </w:pPr>
      <w:bookmarkStart w:id="47" w:name="_Toc155366596"/>
      <w:r>
        <w:rPr>
          <w:kern w:val="2"/>
        </w:rPr>
        <w:t>外墙相关构造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55366597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55366598"/>
      <w:r>
        <w:rPr>
          <w:kern w:val="2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55366599"/>
      <w:r>
        <w:rPr>
          <w:kern w:val="2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1380.00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1242.77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602.49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533.40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3758.65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K≤0.40,S≤0.30或K≤0.36,0.30&lt;S≤0.50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155366600"/>
      <w:r>
        <w:rPr>
          <w:color w:val="000000"/>
          <w:kern w:val="2"/>
          <w:szCs w:val="24"/>
        </w:rPr>
        <w:t>外窗热工</w:t>
      </w:r>
      <w:bookmarkEnd w:id="52"/>
    </w:p>
    <w:p>
      <w:pPr>
        <w:pStyle w:val="4"/>
        <w:widowControl w:val="0"/>
        <w:rPr>
          <w:kern w:val="2"/>
        </w:rPr>
      </w:pPr>
      <w:bookmarkStart w:id="53" w:name="_Toc155366601"/>
      <w:r>
        <w:rPr>
          <w:kern w:val="2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0.27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4" w:name="_Toc155366602"/>
      <w:r>
        <w:rPr>
          <w:kern w:val="2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5" w:name="_Toc155366603"/>
      <w:r>
        <w:rPr>
          <w:kern w:val="2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34.560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59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254.880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c5</w:t>
            </w:r>
          </w:p>
        </w:tc>
        <w:tc>
          <w:tcPr>
            <w:tcW w:w="1188" w:type="dxa"/>
            <w:vAlign w:val="center"/>
          </w:tcPr>
          <w:p>
            <w:r>
              <w:t>1,3~4</w:t>
            </w:r>
          </w:p>
        </w:tc>
        <w:tc>
          <w:tcPr>
            <w:tcW w:w="1188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220.320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c7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31.680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8.400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574.800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276.480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17.232</w:t>
            </w:r>
          </w:p>
        </w:tc>
        <w:tc>
          <w:tcPr>
            <w:tcW w:w="1188" w:type="dxa"/>
            <w:vAlign w:val="center"/>
          </w:tcPr>
          <w:p>
            <w:r>
              <w:t>51.696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48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207.360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6.247</w:t>
            </w:r>
          </w:p>
        </w:tc>
        <w:tc>
          <w:tcPr>
            <w:tcW w:w="1188" w:type="dxa"/>
            <w:vAlign w:val="center"/>
          </w:tcPr>
          <w:p>
            <w:r>
              <w:t>6.247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77.760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7.433</w:t>
            </w:r>
          </w:p>
        </w:tc>
        <w:tc>
          <w:tcPr>
            <w:tcW w:w="1188" w:type="dxa"/>
            <w:vAlign w:val="center"/>
          </w:tcPr>
          <w:p>
            <w:r>
              <w:t>7.433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c7</w:t>
            </w:r>
          </w:p>
        </w:tc>
        <w:tc>
          <w:tcPr>
            <w:tcW w:w="1188" w:type="dxa"/>
            <w:vAlign w:val="center"/>
          </w:tcPr>
          <w:p>
            <w:r>
              <w:t>1,3~4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47.520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16.560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714.096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43.440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112.560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6" w:name="_Toc155366604"/>
      <w:r>
        <w:rPr>
          <w:kern w:val="2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848" w:type="dxa"/>
            <w:vAlign w:val="center"/>
          </w:tcPr>
          <w:p>
            <w:r>
              <w:t>34.560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59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254.880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c5</w:t>
            </w:r>
          </w:p>
        </w:tc>
        <w:tc>
          <w:tcPr>
            <w:tcW w:w="769" w:type="dxa"/>
            <w:vAlign w:val="center"/>
          </w:tcPr>
          <w:p>
            <w:r>
              <w:t>1,3~4</w:t>
            </w:r>
          </w:p>
        </w:tc>
        <w:tc>
          <w:tcPr>
            <w:tcW w:w="769" w:type="dxa"/>
            <w:vAlign w:val="center"/>
          </w:tcPr>
          <w:p>
            <w:r>
              <w:t>34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220.320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c7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31.680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8.400</w:t>
            </w:r>
          </w:p>
        </w:tc>
        <w:tc>
          <w:tcPr>
            <w:tcW w:w="848" w:type="dxa"/>
            <w:vAlign w:val="center"/>
          </w:tcPr>
          <w:p>
            <w:r>
              <w:t>16.800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574.800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848" w:type="dxa"/>
            <w:vAlign w:val="center"/>
          </w:tcPr>
          <w:p>
            <w:r>
              <w:t>276.480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17.232</w:t>
            </w:r>
          </w:p>
        </w:tc>
        <w:tc>
          <w:tcPr>
            <w:tcW w:w="848" w:type="dxa"/>
            <w:vAlign w:val="center"/>
          </w:tcPr>
          <w:p>
            <w:r>
              <w:t>51.696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48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207.360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6.247</w:t>
            </w:r>
          </w:p>
        </w:tc>
        <w:tc>
          <w:tcPr>
            <w:tcW w:w="848" w:type="dxa"/>
            <w:vAlign w:val="center"/>
          </w:tcPr>
          <w:p>
            <w:r>
              <w:t>6.247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77.760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7.433</w:t>
            </w:r>
          </w:p>
        </w:tc>
        <w:tc>
          <w:tcPr>
            <w:tcW w:w="848" w:type="dxa"/>
            <w:vAlign w:val="center"/>
          </w:tcPr>
          <w:p>
            <w:r>
              <w:t>7.433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c7</w:t>
            </w:r>
          </w:p>
        </w:tc>
        <w:tc>
          <w:tcPr>
            <w:tcW w:w="769" w:type="dxa"/>
            <w:vAlign w:val="center"/>
          </w:tcPr>
          <w:p>
            <w:r>
              <w:t>1,3~4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47.520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16.560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714.096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43.440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25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108.000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112.560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5366605"/>
      <w:r>
        <w:rPr>
          <w:kern w:val="2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574.80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0.29</w:t>
            </w:r>
          </w:p>
        </w:tc>
        <w:tc>
          <w:tcPr>
            <w:tcW w:w="1465" w:type="dxa"/>
            <w:vAlign w:val="center"/>
          </w:tcPr>
          <w:p>
            <w:r>
              <w:t>K≤2.20, SHGC≤0.42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714.10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0.36</w:t>
            </w:r>
          </w:p>
        </w:tc>
        <w:tc>
          <w:tcPr>
            <w:tcW w:w="1465" w:type="dxa"/>
            <w:vAlign w:val="center"/>
          </w:tcPr>
          <w:p>
            <w:r>
              <w:t>K≤1.90,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43.44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K≤2.30,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112.56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0.17</w:t>
            </w:r>
          </w:p>
        </w:tc>
        <w:tc>
          <w:tcPr>
            <w:tcW w:w="1465" w:type="dxa"/>
            <w:vAlign w:val="center"/>
          </w:tcPr>
          <w:p>
            <w:r>
              <w:t>K≤2.30,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1444.90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0.28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外窗传热系数比《公共建筑节能设计标准》GB50189-2015表3.3.1-3的要求提升10%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155366606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比《公共建筑节能设计标准》GB50189-2015的规定提高20%的要求。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OGNkMDNiMzBhZjZlMTM5ZTkzYTE1Y2U0YmEzZTcifQ=="/>
  </w:docVars>
  <w:rsids>
    <w:rsidRoot w:val="00D11A3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37FC0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1A3A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6131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73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774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</Pages>
  <Words>1443</Words>
  <Characters>8226</Characters>
  <Lines>68</Lines>
  <Paragraphs>19</Paragraphs>
  <TotalTime>1</TotalTime>
  <ScaleCrop>false</ScaleCrop>
  <LinksUpToDate>false</LinksUpToDate>
  <CharactersWithSpaces>9650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2024-01-05T09:02:00Z</dcterms:created>
  <dc:creator>lei zhang</dc:creator>
  <cp:lastModifiedBy>匝诒赘扔耐</cp:lastModifiedBy>
  <cp:lastPrinted>2411-12-31T16:00:00Z</cp:lastPrinted>
  <dcterms:modified xsi:type="dcterms:W3CDTF">2024-01-07T13:11:26Z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1EC5C28AE58C4D24828FB81867CFBC97_12</vt:lpwstr>
  </property>
</Properties>
</file>