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240" w:lineRule="auto"/>
        <w:jc w:val="center"/>
        <w:rPr>
          <w:rFonts w:ascii="宋体" w:hAnsi="宋体"/>
          <w:lang w:val="en-US"/>
        </w:rPr>
      </w:pPr>
      <w:bookmarkStart w:id="0" w:name="建筑类别"/>
      <w:bookmarkEnd w:id="0"/>
    </w:p>
    <w:p>
      <w:pPr>
        <w:spacing w:line="240" w:lineRule="auto"/>
        <w:rPr>
          <w:rFonts w:ascii="宋体" w:hAnsi="宋体"/>
          <w:lang w:val="en-US"/>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11</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14</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14</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
    <w:p>
      <w:pPr>
        <w:pStyle w:val="2"/>
      </w:pPr>
      <w:bookmarkStart w:id="2" w:name="_Toc50050011"/>
      <w:bookmarkStart w:id="3" w:name="_Toc58243666"/>
      <w:bookmarkStart w:id="4" w:name="_Toc452108759"/>
      <w:bookmarkStart w:id="5" w:name="_Toc13735908"/>
      <w:bookmarkStart w:id="6" w:name="TitleFormat"/>
      <w:bookmarkStart w:id="7" w:name="_Toc452108762"/>
      <w:r>
        <w:rPr>
          <w:rFonts w:hint="eastAsia"/>
        </w:rPr>
        <w:t>项目概况</w:t>
      </w:r>
      <w:bookmarkEnd w:id="2"/>
      <w:bookmarkEnd w:id="3"/>
      <w:bookmarkEnd w:id="4"/>
      <w:bookmarkEnd w:id="5"/>
    </w:p>
    <w:p>
      <w:pPr>
        <w:pStyle w:val="3"/>
        <w:ind w:firstLine="420"/>
        <w:rPr>
          <w:lang w:val="en-US"/>
        </w:rPr>
      </w:pPr>
      <w:bookmarkStart w:id="8" w:name="项目概况"/>
      <w:bookmarkEnd w:id="8"/>
    </w:p>
    <w:p>
      <w:pPr>
        <w:pStyle w:val="4"/>
      </w:pPr>
      <w:bookmarkStart w:id="9" w:name="_Toc13735909"/>
      <w:bookmarkStart w:id="10" w:name="_Toc58243667"/>
      <w:bookmarkStart w:id="11" w:name="_Toc452108760"/>
      <w:bookmarkStart w:id="12" w:name="_Toc50050012"/>
      <w:bookmarkStart w:id="13" w:name="平面图2"/>
      <w:bookmarkStart w:id="67" w:name="_GoBack"/>
      <w:bookmarkEnd w:id="67"/>
      <w:r>
        <w:t>平面图</w:t>
      </w:r>
      <w:bookmarkEnd w:id="9"/>
      <w:bookmarkEnd w:id="10"/>
      <w:bookmarkEnd w:id="11"/>
      <w:bookmarkEnd w:id="12"/>
    </w:p>
    <w:p>
      <w:pPr>
        <w:pStyle w:val="3"/>
        <w:ind w:firstLine="0" w:firstLineChars="0"/>
        <w:jc w:val="center"/>
        <w:rPr>
          <w:lang w:val="en-US"/>
        </w:rPr>
      </w:pPr>
      <w:bookmarkStart w:id="14" w:name="平面图"/>
      <w:bookmarkEnd w:id="14"/>
      <w:r>
        <w:drawing>
          <wp:inline distT="0" distB="0" distL="0" distR="0">
            <wp:extent cx="5667375" cy="59340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9"/>
                    <a:stretch>
                      <a:fillRect/>
                    </a:stretch>
                  </pic:blipFill>
                  <pic:spPr>
                    <a:xfrm>
                      <a:off x="0" y="0"/>
                      <a:ext cx="5667375" cy="59340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34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0"/>
                    <a:stretch>
                      <a:fillRect/>
                    </a:stretch>
                  </pic:blipFill>
                  <pic:spPr>
                    <a:xfrm>
                      <a:off x="0" y="0"/>
                      <a:ext cx="5667375" cy="734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71056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1"/>
                    <a:stretch>
                      <a:fillRect/>
                    </a:stretch>
                  </pic:blipFill>
                  <pic:spPr>
                    <a:xfrm>
                      <a:off x="0" y="0"/>
                      <a:ext cx="5667375" cy="71056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79152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2"/>
                    <a:stretch>
                      <a:fillRect/>
                    </a:stretch>
                  </pic:blipFill>
                  <pic:spPr>
                    <a:xfrm>
                      <a:off x="0" y="0"/>
                      <a:ext cx="5667375" cy="791527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732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3"/>
                    <a:stretch>
                      <a:fillRect/>
                    </a:stretch>
                  </pic:blipFill>
                  <pic:spPr>
                    <a:xfrm>
                      <a:off x="0" y="0"/>
                      <a:ext cx="5667375" cy="73247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13"/>
    <w:p>
      <w:pPr>
        <w:pStyle w:val="3"/>
        <w:ind w:firstLine="0" w:firstLineChars="0"/>
        <w:jc w:val="center"/>
        <w:rPr>
          <w:lang w:val="en-US"/>
        </w:rPr>
      </w:pPr>
    </w:p>
    <w:p>
      <w:pPr>
        <w:pStyle w:val="4"/>
      </w:pPr>
      <w:bookmarkStart w:id="15" w:name="_Toc50050013"/>
      <w:bookmarkStart w:id="16" w:name="_Toc452108761"/>
      <w:bookmarkStart w:id="17" w:name="_Toc58243668"/>
      <w:bookmarkStart w:id="18" w:name="_Toc13735910"/>
      <w:r>
        <w:rPr>
          <w:rFonts w:hint="eastAsia"/>
        </w:rPr>
        <w:t>三</w:t>
      </w:r>
      <w:r>
        <w:t>维视图</w:t>
      </w:r>
      <w:bookmarkEnd w:id="15"/>
      <w:bookmarkEnd w:id="16"/>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58243669"/>
      <w:bookmarkStart w:id="22" w:name="_Toc50050014"/>
      <w:r>
        <w:rPr>
          <w:rFonts w:hint="eastAsia"/>
        </w:rPr>
        <w:t>计算</w:t>
      </w:r>
      <w:r>
        <w:t>依据</w:t>
      </w:r>
      <w:bookmarkEnd w:id="6"/>
      <w:bookmarkEnd w:id="7"/>
      <w:bookmarkEnd w:id="21"/>
      <w:bookmarkEnd w:id="22"/>
    </w:p>
    <w:p>
      <w:pPr>
        <w:pStyle w:val="3"/>
        <w:ind w:firstLine="199" w:firstLineChars="95"/>
        <w:rPr>
          <w:lang w:val="en-US"/>
        </w:rPr>
      </w:pPr>
      <w:bookmarkStart w:id="23" w:name="_Toc452108763"/>
      <w:r>
        <w:rPr>
          <w:rFonts w:hint="eastAsia"/>
          <w:lang w:val="en-US"/>
        </w:rPr>
        <w:t>本项目主要参照资料为：</w:t>
      </w:r>
    </w:p>
    <w:p>
      <w:pPr>
        <w:pStyle w:val="3"/>
        <w:numPr>
          <w:ilvl w:val="0"/>
          <w:numId w:val="2"/>
        </w:numPr>
        <w:ind w:left="0" w:firstLine="200" w:firstLineChars="0"/>
        <w:rPr>
          <w:lang w:val="en-US"/>
        </w:rPr>
      </w:pPr>
      <w:bookmarkStart w:id="24" w:name="参考标准名称1"/>
      <w:r>
        <w:rPr>
          <w:rFonts w:hint="eastAsia"/>
          <w:lang w:val="en-US"/>
        </w:rPr>
        <w:t>《绿色建筑评价标准》GB/T50378-2019</w:t>
      </w:r>
      <w:bookmarkEnd w:id="2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25" w:name="_Toc58243670"/>
      <w:bookmarkStart w:id="26" w:name="_Toc50050015"/>
      <w:r>
        <w:rPr>
          <w:rFonts w:hint="eastAsia"/>
        </w:rPr>
        <w:t>参考</w:t>
      </w:r>
      <w:r>
        <w:t>标准</w:t>
      </w:r>
      <w:bookmarkEnd w:id="23"/>
      <w:bookmarkEnd w:id="25"/>
      <w:bookmarkEnd w:id="26"/>
    </w:p>
    <w:p>
      <w:pPr>
        <w:pStyle w:val="3"/>
        <w:ind w:firstLine="420"/>
        <w:rPr>
          <w:lang w:val="en-US"/>
        </w:rPr>
      </w:pPr>
      <w:bookmarkStart w:id="27" w:name="_Toc452108764"/>
      <w:bookmarkStart w:id="28" w:name="_Toc451698935"/>
      <w:bookmarkStart w:id="29" w:name="_Toc451436145"/>
      <w:r>
        <w:rPr>
          <w:rFonts w:hint="eastAsia"/>
          <w:lang w:val="en-US"/>
        </w:rPr>
        <w:t>室内气流组织评价的主要依据为</w:t>
      </w:r>
      <w:bookmarkStart w:id="30" w:name="参考标准名称2"/>
      <w:r>
        <w:rPr>
          <w:rFonts w:hint="eastAsia"/>
          <w:lang w:val="en-US"/>
        </w:rPr>
        <w:t>《绿色建筑评价标准》GB/T50378-2019</w:t>
      </w:r>
      <w:bookmarkEnd w:id="30"/>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1" w:name="_Toc58243671"/>
      <w:bookmarkStart w:id="32" w:name="_Toc50050016"/>
      <w:r>
        <w:rPr>
          <w:rFonts w:hint="eastAsia"/>
        </w:rPr>
        <w:t>技术措施</w:t>
      </w:r>
      <w:bookmarkEnd w:id="31"/>
      <w:bookmarkEnd w:id="32"/>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打印复印室</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地下车库</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垃圾房</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33" w:name="技术措施"/>
      <w:bookmarkEnd w:id="33"/>
    </w:p>
    <w:p>
      <w:pPr>
        <w:pStyle w:val="2"/>
      </w:pPr>
      <w:bookmarkStart w:id="34" w:name="_Toc50050017"/>
      <w:bookmarkStart w:id="35" w:name="_Toc58243672"/>
      <w:r>
        <w:rPr>
          <w:rFonts w:hint="eastAsia"/>
        </w:rPr>
        <w:t>计算</w:t>
      </w:r>
      <w:bookmarkEnd w:id="27"/>
      <w:bookmarkEnd w:id="28"/>
      <w:r>
        <w:rPr>
          <w:rFonts w:hint="eastAsia"/>
        </w:rPr>
        <w:t>方法</w:t>
      </w:r>
      <w:bookmarkEnd w:id="34"/>
      <w:bookmarkEnd w:id="35"/>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36" w:name="_Toc50050018"/>
      <w:bookmarkStart w:id="37" w:name="_Toc58243673"/>
      <w:r>
        <w:t>CFD</w:t>
      </w:r>
      <w:r>
        <w:rPr>
          <w:rFonts w:hint="eastAsia"/>
        </w:rPr>
        <w:t>计算原理</w:t>
      </w:r>
      <w:bookmarkEnd w:id="36"/>
      <w:bookmarkEnd w:id="37"/>
    </w:p>
    <w:p>
      <w:pPr>
        <w:pStyle w:val="5"/>
      </w:pPr>
      <w:bookmarkStart w:id="38" w:name="_Toc50050019"/>
      <w:bookmarkStart w:id="39" w:name="_Toc58243674"/>
      <w:bookmarkStart w:id="40" w:name="_Toc451698937"/>
      <w:bookmarkStart w:id="41" w:name="_Toc452108765"/>
      <w:r>
        <w:rPr>
          <w:rFonts w:hint="eastAsia"/>
        </w:rPr>
        <w:t>湍流模型</w:t>
      </w:r>
      <w:bookmarkEnd w:id="38"/>
      <w:bookmarkEnd w:id="39"/>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2" w:name="_Toc452108766"/>
      <w:bookmarkStart w:id="43" w:name="_Toc8151"/>
      <w:bookmarkStart w:id="44" w:name="_Toc451698938"/>
      <w:bookmarkStart w:id="45" w:name="_Toc50050020"/>
      <w:bookmarkStart w:id="46" w:name="_Toc58243675"/>
      <w:r>
        <w:rPr>
          <w:rFonts w:hint="eastAsia"/>
        </w:rPr>
        <w:t>边界条件</w:t>
      </w:r>
      <w:bookmarkEnd w:id="42"/>
      <w:bookmarkEnd w:id="43"/>
      <w:bookmarkEnd w:id="44"/>
      <w:bookmarkEnd w:id="45"/>
      <w:bookmarkEnd w:id="46"/>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47" w:name="_Toc451698939"/>
      <w:bookmarkStart w:id="48" w:name="_Toc50050021"/>
      <w:bookmarkStart w:id="49" w:name="_Toc452108767"/>
      <w:bookmarkStart w:id="50" w:name="_Toc23583"/>
      <w:bookmarkStart w:id="51" w:name="_Toc58243676"/>
      <w:r>
        <w:rPr>
          <w:rFonts w:hint="eastAsia"/>
        </w:rPr>
        <w:t>求解计算</w:t>
      </w:r>
      <w:bookmarkEnd w:id="47"/>
      <w:bookmarkEnd w:id="48"/>
      <w:bookmarkEnd w:id="49"/>
      <w:bookmarkEnd w:id="50"/>
      <w:bookmarkEnd w:id="5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4" w:name="_Toc50050022"/>
      <w:bookmarkStart w:id="55" w:name="_Toc3745"/>
      <w:bookmarkStart w:id="56" w:name="_Toc58243677"/>
      <w:bookmarkStart w:id="57" w:name="_Toc452108768"/>
      <w:r>
        <w:rPr>
          <w:rFonts w:hint="eastAsia"/>
        </w:rPr>
        <w:t>结果</w:t>
      </w:r>
      <w:r>
        <w:t>分析</w:t>
      </w:r>
      <w:bookmarkEnd w:id="54"/>
      <w:bookmarkEnd w:id="55"/>
      <w:bookmarkEnd w:id="56"/>
      <w:bookmarkEnd w:id="57"/>
    </w:p>
    <w:p>
      <w:pPr>
        <w:pStyle w:val="4"/>
      </w:pPr>
      <w:bookmarkStart w:id="58" w:name="_Toc50050023"/>
      <w:bookmarkStart w:id="59" w:name="_Toc58243678"/>
      <w:r>
        <w:rPr>
          <w:rFonts w:hint="eastAsia"/>
        </w:rPr>
        <w:t>室内速度场分布</w:t>
      </w:r>
      <w:bookmarkEnd w:id="58"/>
      <w:bookmarkEnd w:id="59"/>
    </w:p>
    <w:p>
      <w:pPr>
        <w:pStyle w:val="3"/>
        <w:ind w:firstLine="0" w:firstLineChars="0"/>
        <w:jc w:val="center"/>
        <w:rPr>
          <w:lang w:val="en-US"/>
        </w:rPr>
      </w:pPr>
      <w:bookmarkStart w:id="60" w:name="速度云图"/>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0"/>
    <w:p>
      <w:pPr>
        <w:pStyle w:val="4"/>
      </w:pPr>
      <w:bookmarkStart w:id="61" w:name="_Toc50050024"/>
      <w:bookmarkStart w:id="62" w:name="_Toc58243679"/>
      <w:r>
        <w:rPr>
          <w:rFonts w:hint="eastAsia"/>
        </w:rPr>
        <w:t>室内风速矢量图</w:t>
      </w:r>
      <w:bookmarkEnd w:id="61"/>
      <w:bookmarkEnd w:id="62"/>
    </w:p>
    <w:p>
      <w:pPr>
        <w:pStyle w:val="3"/>
        <w:ind w:firstLine="0" w:firstLineChars="0"/>
        <w:jc w:val="center"/>
        <w:rPr>
          <w:lang w:val="en-US"/>
        </w:rPr>
      </w:pPr>
      <w:bookmarkStart w:id="63" w:name="速度矢量图"/>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63"/>
    <w:p>
      <w:pPr>
        <w:pStyle w:val="4"/>
      </w:pPr>
      <w:bookmarkStart w:id="64" w:name="_Toc50050025"/>
      <w:bookmarkStart w:id="65" w:name="_Toc58243680"/>
      <w:r>
        <w:rPr>
          <w:rFonts w:hint="eastAsia"/>
        </w:rPr>
        <w:t>流线图</w:t>
      </w:r>
    </w:p>
    <w:p>
      <w:pPr>
        <w:pStyle w:val="3"/>
        <w:ind w:firstLine="420"/>
        <w:jc w:val="center"/>
        <w:rPr>
          <w:lang w:val="en-US"/>
        </w:rPr>
      </w:pPr>
      <w:bookmarkStart w:id="66" w:name="流线图"/>
      <w:bookmarkEnd w:id="66"/>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64"/>
      <w:bookmarkEnd w:id="65"/>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29"/>
    <w:bookmarkEnd w:id="40"/>
    <w:bookmarkEnd w:id="41"/>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3MzRkMWYwN2UwNjJkNDYzMmMwM2NjNTczMDc3NjQifQ=="/>
  </w:docVars>
  <w:rsids>
    <w:rsidRoot w:val="00766A6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6D12"/>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66A6C"/>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0B5B"/>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15E2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qFormat/>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tmp7</Template>
  <Company>ths</Company>
  <Pages>15</Pages>
  <Words>486</Words>
  <Characters>2771</Characters>
  <Lines>23</Lines>
  <Paragraphs>6</Paragraphs>
  <TotalTime>1</TotalTime>
  <ScaleCrop>false</ScaleCrop>
  <LinksUpToDate>false</LinksUpToDate>
  <CharactersWithSpaces>3251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2023-12-11T13:38:00Z</dcterms:created>
  <dc:creator>G</dc:creator>
  <cp:lastModifiedBy>因与神明交错而发光的少女</cp:lastModifiedBy>
  <cp:lastPrinted>1900-12-31T16:00:00Z</cp:lastPrinted>
  <dcterms:modified xsi:type="dcterms:W3CDTF">2023-12-13T09:33:04Z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64CBA916F6DC46429930788DC87CA2A4_12</vt:lpwstr>
  </property>
</Properties>
</file>