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Pr="00AC2DC3" w:rsidRDefault="00DE5AEF" w:rsidP="00811489">
      <w:pPr>
        <w:spacing w:beforeLines="100" w:line="180" w:lineRule="atLeast"/>
        <w:ind w:left="840" w:right="180" w:firstLine="420"/>
        <w:jc w:val="left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:rsidR="00DD33B1" w:rsidRPr="00AC2DC3" w:rsidRDefault="00DD33B1" w:rsidP="00811489">
      <w:pPr>
        <w:spacing w:line="180" w:lineRule="atLeast"/>
        <w:ind w:right="180"/>
        <w:jc w:val="both"/>
        <w:rPr>
          <w:b/>
          <w:bCs/>
          <w:szCs w:val="21"/>
          <w:lang w:val="en-US"/>
        </w:rPr>
      </w:pPr>
    </w:p>
    <w:p w:rsidR="00083664" w:rsidRPr="00AC2DC3" w:rsidRDefault="00083664" w:rsidP="0055044E">
      <w:pPr>
        <w:pStyle w:val="ad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8E13D2" w:rsidRPr="00D40158" w:rsidTr="0032238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8E13D2" w:rsidRPr="00D40158" w:rsidRDefault="008E13D2" w:rsidP="0032238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 w:rsidRPr="00D40158">
              <w:rPr>
                <w:rFonts w:ascii="宋体" w:hAnsi="宋体" w:hint="eastAsia"/>
                <w:sz w:val="21"/>
                <w:szCs w:val="21"/>
                <w:lang w:eastAsia="zh-CN"/>
              </w:rPr>
              <w:t>工程名称</w:t>
            </w:r>
          </w:p>
        </w:tc>
        <w:tc>
          <w:tcPr>
            <w:tcW w:w="3780" w:type="dxa"/>
          </w:tcPr>
          <w:p w:rsidR="008E13D2" w:rsidRPr="00D40158" w:rsidRDefault="008E13D2" w:rsidP="00322386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阳新供水城东调度中心建设工程 2#候工楼</w:t>
            </w:r>
            <w:bookmarkEnd w:id="0"/>
          </w:p>
        </w:tc>
      </w:tr>
      <w:tr w:rsidR="008E13D2" w:rsidRPr="00D40158" w:rsidTr="0032238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1" w:name="地理位置"/>
            <w:r>
              <w:t>湖北-黄石</w:t>
            </w:r>
            <w:bookmarkEnd w:id="1"/>
          </w:p>
        </w:tc>
      </w:tr>
      <w:tr w:rsidR="008E13D2" w:rsidRPr="00D40158" w:rsidTr="0032238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设计编号"/>
            <w:r w:rsidRPr="00D40158">
              <w:rPr>
                <w:rFonts w:ascii="宋体" w:hAnsi="宋体" w:hint="eastAsia"/>
                <w:szCs w:val="21"/>
              </w:rPr>
              <w:t>2023Z</w:t>
            </w:r>
            <w:r w:rsidRPr="00D40158">
              <w:rPr>
                <w:rFonts w:ascii="宋体" w:hAnsi="宋体" w:hint="eastAsia"/>
                <w:szCs w:val="21"/>
              </w:rPr>
              <w:t>—</w:t>
            </w:r>
            <w:r w:rsidRPr="00D40158">
              <w:rPr>
                <w:rFonts w:ascii="宋体" w:hAnsi="宋体" w:hint="eastAsia"/>
                <w:szCs w:val="21"/>
              </w:rPr>
              <w:t>11</w:t>
            </w:r>
            <w:r w:rsidRPr="00D40158">
              <w:rPr>
                <w:rFonts w:ascii="宋体" w:hAnsi="宋体" w:hint="eastAsia"/>
                <w:szCs w:val="21"/>
              </w:rPr>
              <w:t>—</w:t>
            </w:r>
            <w:r w:rsidRPr="00D40158">
              <w:rPr>
                <w:rFonts w:ascii="宋体" w:hAnsi="宋体" w:hint="eastAsia"/>
                <w:szCs w:val="21"/>
              </w:rPr>
              <w:t>1002</w:t>
            </w:r>
            <w:r w:rsidRPr="00D40158">
              <w:rPr>
                <w:rFonts w:ascii="宋体" w:hAnsi="宋体" w:hint="eastAsia"/>
                <w:szCs w:val="21"/>
              </w:rPr>
              <w:t>—</w:t>
            </w:r>
            <w:r w:rsidRPr="00D40158">
              <w:rPr>
                <w:rFonts w:ascii="宋体" w:hAnsi="宋体" w:hint="eastAsia"/>
                <w:szCs w:val="21"/>
              </w:rPr>
              <w:t>02</w:t>
            </w:r>
            <w:bookmarkEnd w:id="2"/>
          </w:p>
        </w:tc>
      </w:tr>
      <w:tr w:rsidR="008E13D2" w:rsidRPr="00D40158" w:rsidTr="0032238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建设单位"/>
            <w:r w:rsidRPr="00D40158">
              <w:rPr>
                <w:rFonts w:ascii="宋体" w:hAnsi="宋体" w:hint="eastAsia"/>
                <w:szCs w:val="21"/>
              </w:rPr>
              <w:t>阳新县城发水务有限公司</w:t>
            </w:r>
            <w:bookmarkEnd w:id="3"/>
          </w:p>
        </w:tc>
      </w:tr>
      <w:tr w:rsidR="008E13D2" w:rsidRPr="00D40158" w:rsidTr="0032238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单位"/>
            <w:r w:rsidRPr="00D40158">
              <w:rPr>
                <w:rFonts w:ascii="宋体" w:hAnsi="宋体" w:hint="eastAsia"/>
                <w:szCs w:val="21"/>
              </w:rPr>
              <w:t>中唐工程设计有限公司</w:t>
            </w:r>
            <w:bookmarkEnd w:id="4"/>
          </w:p>
        </w:tc>
      </w:tr>
      <w:tr w:rsidR="008E13D2" w:rsidRPr="00D40158" w:rsidTr="0032238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程伟栋</w:t>
            </w:r>
          </w:p>
        </w:tc>
      </w:tr>
      <w:tr w:rsidR="008E13D2" w:rsidRPr="00D40158" w:rsidTr="0032238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梅青青</w:t>
            </w:r>
          </w:p>
        </w:tc>
      </w:tr>
      <w:tr w:rsidR="008E13D2" w:rsidRPr="00D40158" w:rsidTr="0032238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8E13D2" w:rsidRPr="00D40158" w:rsidRDefault="008E13D2" w:rsidP="0032238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周诗雅</w:t>
            </w:r>
          </w:p>
        </w:tc>
      </w:tr>
    </w:tbl>
    <w:p w:rsidR="00CE28AA" w:rsidRPr="00AC2DC3" w:rsidRDefault="00CE28AA" w:rsidP="0055044E">
      <w:pPr>
        <w:pStyle w:val="ad"/>
        <w:rPr>
          <w:sz w:val="30"/>
          <w:szCs w:val="32"/>
        </w:rPr>
      </w:pPr>
    </w:p>
    <w:p w:rsidR="00F11B75" w:rsidRPr="00AC2DC3" w:rsidRDefault="00A750D6" w:rsidP="0055044E">
      <w:pPr>
        <w:pStyle w:val="ad"/>
        <w:jc w:val="center"/>
        <w:rPr>
          <w:sz w:val="30"/>
          <w:szCs w:val="32"/>
        </w:rPr>
      </w:pPr>
      <w:bookmarkStart w:id="5" w:name="二维码"/>
      <w:bookmarkEnd w:id="5"/>
      <w:r w:rsidRPr="00A750D6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95pt;height:158.95pt;visibility:visible;mso-wrap-style:square">
            <v:imagedata r:id="rId8" o:title=""/>
          </v:shape>
        </w:pict>
      </w:r>
    </w:p>
    <w:p w:rsidR="00DB262A" w:rsidRDefault="00DB262A">
      <w:pPr>
        <w:pStyle w:val="ad"/>
        <w:jc w:val="center"/>
        <w:rPr>
          <w:sz w:val="30"/>
          <w:szCs w:val="32"/>
        </w:rPr>
      </w:pPr>
    </w:p>
    <w:p w:rsidR="00F11B75" w:rsidRPr="00AC2DC3" w:rsidRDefault="00F11B75" w:rsidP="0055044E">
      <w:pPr>
        <w:pStyle w:val="ad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</w:pPr>
            <w:bookmarkStart w:id="6" w:name="采用软件"/>
            <w:r w:rsidRPr="00AC2DC3">
              <w:rPr>
                <w:rFonts w:hint="eastAsia"/>
              </w:rPr>
              <w:t>采光分析DALI2023维尔采光分析</w:t>
            </w:r>
            <w:r w:rsidR="00C15DF5" w:rsidRPr="00AC2DC3">
              <w:rPr>
                <w:rFonts w:hint="eastAsia"/>
              </w:rPr>
              <w:t>DALI</w:t>
            </w:r>
            <w:bookmarkEnd w:id="6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  <w:rPr>
                <w:szCs w:val="18"/>
              </w:rPr>
            </w:pPr>
            <w:bookmarkStart w:id="7" w:name="软件版本"/>
            <w:r w:rsidRPr="00AC2DC3">
              <w:rPr>
                <w:szCs w:val="18"/>
              </w:rPr>
              <w:t>20220401</w:t>
            </w:r>
            <w:bookmarkEnd w:id="7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</w:t>
            </w:r>
            <w:r w:rsidR="00F03F19">
              <w:rPr>
                <w:rFonts w:hint="eastAsia"/>
                <w:szCs w:val="18"/>
              </w:rPr>
              <w:t>股份</w:t>
            </w:r>
            <w:r w:rsidRPr="00AC2DC3">
              <w:rPr>
                <w:rFonts w:hint="eastAsia"/>
                <w:szCs w:val="18"/>
              </w:rPr>
              <w:t>有限公司</w:t>
            </w:r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  <w:rPr>
                <w:szCs w:val="18"/>
              </w:rPr>
            </w:pPr>
            <w:bookmarkStart w:id="8" w:name="正版授权码"/>
            <w:r>
              <w:t>P4A3C3975</w:t>
            </w:r>
            <w:bookmarkEnd w:id="8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AC2DC3" w:rsidRDefault="001B14CC" w:rsidP="0055044E">
            <w:pPr>
              <w:pStyle w:val="ad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9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:rsidR="00CE075F" w:rsidRPr="00587963" w:rsidRDefault="00A750D6">
      <w:pPr>
        <w:pStyle w:val="10"/>
        <w:rPr>
          <w:rFonts w:ascii="Calibri" w:eastAsia="宋体" w:hAnsi="Calibri"/>
          <w:b w:val="0"/>
          <w:bCs w:val="0"/>
          <w:szCs w:val="22"/>
        </w:rPr>
      </w:pPr>
      <w:r w:rsidRPr="00A750D6">
        <w:rPr>
          <w:sz w:val="28"/>
          <w:szCs w:val="28"/>
        </w:rPr>
        <w:fldChar w:fldCharType="begin"/>
      </w:r>
      <w:r w:rsidR="008439F8" w:rsidRPr="00AC2DC3">
        <w:rPr>
          <w:sz w:val="28"/>
          <w:szCs w:val="28"/>
        </w:rPr>
        <w:instrText xml:space="preserve"> </w:instrText>
      </w:r>
      <w:r w:rsidR="008439F8" w:rsidRPr="00AC2DC3">
        <w:rPr>
          <w:rFonts w:hint="eastAsia"/>
          <w:sz w:val="28"/>
          <w:szCs w:val="28"/>
        </w:rPr>
        <w:instrText>TOC \o "1-3" \h \z \u</w:instrText>
      </w:r>
      <w:r w:rsidR="008439F8" w:rsidRPr="00AC2DC3">
        <w:rPr>
          <w:sz w:val="28"/>
          <w:szCs w:val="28"/>
        </w:rPr>
        <w:instrText xml:space="preserve"> </w:instrText>
      </w:r>
      <w:r w:rsidRPr="00A750D6">
        <w:rPr>
          <w:sz w:val="28"/>
          <w:szCs w:val="28"/>
        </w:rPr>
        <w:fldChar w:fldCharType="separate"/>
      </w:r>
      <w:hyperlink w:anchor="_Toc123313933" w:history="1">
        <w:r w:rsidR="00CE075F" w:rsidRPr="00931CC8">
          <w:rPr>
            <w:rStyle w:val="a6"/>
          </w:rPr>
          <w:t>1.</w:t>
        </w:r>
        <w:r w:rsidR="00CE075F" w:rsidRPr="00587963">
          <w:rPr>
            <w:rFonts w:ascii="Calibri" w:eastAsia="宋体" w:hAnsi="Calibri"/>
            <w:b w:val="0"/>
            <w:bCs w:val="0"/>
            <w:szCs w:val="22"/>
          </w:rPr>
          <w:tab/>
        </w:r>
        <w:r w:rsidR="00CE075F" w:rsidRPr="00931CC8">
          <w:rPr>
            <w:rStyle w:val="a6"/>
            <w:rFonts w:hint="eastAsia"/>
          </w:rPr>
          <w:t>建筑概况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10"/>
        <w:rPr>
          <w:rFonts w:ascii="Calibri" w:eastAsia="宋体" w:hAnsi="Calibri"/>
          <w:b w:val="0"/>
          <w:bCs w:val="0"/>
          <w:szCs w:val="22"/>
        </w:rPr>
      </w:pPr>
      <w:hyperlink w:anchor="_Toc123313934" w:history="1">
        <w:r w:rsidR="00CE075F" w:rsidRPr="00931CC8">
          <w:rPr>
            <w:rStyle w:val="a6"/>
          </w:rPr>
          <w:t>2.</w:t>
        </w:r>
        <w:r w:rsidR="00CE075F" w:rsidRPr="00587963">
          <w:rPr>
            <w:rFonts w:ascii="Calibri" w:eastAsia="宋体" w:hAnsi="Calibri"/>
            <w:b w:val="0"/>
            <w:bCs w:val="0"/>
            <w:szCs w:val="22"/>
          </w:rPr>
          <w:tab/>
        </w:r>
        <w:r w:rsidR="00CE075F" w:rsidRPr="00931CC8">
          <w:rPr>
            <w:rStyle w:val="a6"/>
            <w:rFonts w:hint="eastAsia"/>
          </w:rPr>
          <w:t>分析目的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10"/>
        <w:rPr>
          <w:rFonts w:ascii="Calibri" w:eastAsia="宋体" w:hAnsi="Calibri"/>
          <w:b w:val="0"/>
          <w:bCs w:val="0"/>
          <w:szCs w:val="22"/>
        </w:rPr>
      </w:pPr>
      <w:hyperlink w:anchor="_Toc123313935" w:history="1">
        <w:r w:rsidR="00CE075F" w:rsidRPr="00931CC8">
          <w:rPr>
            <w:rStyle w:val="a6"/>
          </w:rPr>
          <w:t>3.</w:t>
        </w:r>
        <w:r w:rsidR="00CE075F" w:rsidRPr="00587963">
          <w:rPr>
            <w:rFonts w:ascii="Calibri" w:eastAsia="宋体" w:hAnsi="Calibri"/>
            <w:b w:val="0"/>
            <w:bCs w:val="0"/>
            <w:szCs w:val="22"/>
          </w:rPr>
          <w:tab/>
        </w:r>
        <w:r w:rsidR="00CE075F" w:rsidRPr="00931CC8">
          <w:rPr>
            <w:rStyle w:val="a6"/>
            <w:rFonts w:hint="eastAsia"/>
          </w:rPr>
          <w:t>分析依据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20"/>
        <w:rPr>
          <w:rFonts w:ascii="Calibri" w:eastAsia="宋体" w:hAnsi="Calibri"/>
          <w:szCs w:val="22"/>
        </w:rPr>
      </w:pPr>
      <w:hyperlink w:anchor="_Toc123313936" w:history="1">
        <w:r w:rsidR="00CE075F" w:rsidRPr="00931CC8">
          <w:rPr>
            <w:rStyle w:val="a6"/>
            <w:lang w:val="en-GB"/>
          </w:rPr>
          <w:t>3.1</w:t>
        </w:r>
        <w:r w:rsidR="00CE075F" w:rsidRPr="00587963">
          <w:rPr>
            <w:rFonts w:ascii="Calibri" w:eastAsia="宋体" w:hAnsi="Calibri"/>
            <w:szCs w:val="22"/>
          </w:rPr>
          <w:tab/>
        </w:r>
        <w:r w:rsidR="00CE075F" w:rsidRPr="00931CC8">
          <w:rPr>
            <w:rStyle w:val="a6"/>
            <w:rFonts w:hint="eastAsia"/>
          </w:rPr>
          <w:t>标准依据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20"/>
        <w:rPr>
          <w:rFonts w:ascii="Calibri" w:eastAsia="宋体" w:hAnsi="Calibri"/>
          <w:szCs w:val="22"/>
        </w:rPr>
      </w:pPr>
      <w:hyperlink w:anchor="_Toc123313937" w:history="1">
        <w:r w:rsidR="00CE075F" w:rsidRPr="00931CC8">
          <w:rPr>
            <w:rStyle w:val="a6"/>
            <w:lang w:val="en-GB"/>
          </w:rPr>
          <w:t>3.2</w:t>
        </w:r>
        <w:r w:rsidR="00CE075F" w:rsidRPr="00587963">
          <w:rPr>
            <w:rFonts w:ascii="Calibri" w:eastAsia="宋体" w:hAnsi="Calibri"/>
            <w:szCs w:val="22"/>
          </w:rPr>
          <w:tab/>
        </w:r>
        <w:r w:rsidR="00CE075F" w:rsidRPr="00931CC8">
          <w:rPr>
            <w:rStyle w:val="a6"/>
            <w:rFonts w:hint="eastAsia"/>
          </w:rPr>
          <w:t>标准要求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10"/>
        <w:rPr>
          <w:rFonts w:ascii="Calibri" w:eastAsia="宋体" w:hAnsi="Calibri"/>
          <w:b w:val="0"/>
          <w:bCs w:val="0"/>
          <w:szCs w:val="22"/>
        </w:rPr>
      </w:pPr>
      <w:hyperlink w:anchor="_Toc123313938" w:history="1">
        <w:r w:rsidR="00CE075F" w:rsidRPr="00931CC8">
          <w:rPr>
            <w:rStyle w:val="a6"/>
          </w:rPr>
          <w:t>4.</w:t>
        </w:r>
        <w:r w:rsidR="00CE075F" w:rsidRPr="00587963">
          <w:rPr>
            <w:rFonts w:ascii="Calibri" w:eastAsia="宋体" w:hAnsi="Calibri"/>
            <w:b w:val="0"/>
            <w:bCs w:val="0"/>
            <w:szCs w:val="22"/>
          </w:rPr>
          <w:tab/>
        </w:r>
        <w:r w:rsidR="00CE075F" w:rsidRPr="00931CC8">
          <w:rPr>
            <w:rStyle w:val="a6"/>
            <w:rFonts w:hint="eastAsia"/>
          </w:rPr>
          <w:t>应用软件与计算方法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20"/>
        <w:rPr>
          <w:rFonts w:ascii="Calibri" w:eastAsia="宋体" w:hAnsi="Calibri"/>
          <w:szCs w:val="22"/>
        </w:rPr>
      </w:pPr>
      <w:hyperlink w:anchor="_Toc123313939" w:history="1">
        <w:r w:rsidR="00CE075F" w:rsidRPr="00931CC8">
          <w:rPr>
            <w:rStyle w:val="a6"/>
            <w:lang w:val="en-GB"/>
          </w:rPr>
          <w:t>4.1</w:t>
        </w:r>
        <w:r w:rsidR="00CE075F" w:rsidRPr="00587963">
          <w:rPr>
            <w:rFonts w:ascii="Calibri" w:eastAsia="宋体" w:hAnsi="Calibri"/>
            <w:szCs w:val="22"/>
          </w:rPr>
          <w:tab/>
        </w:r>
        <w:r w:rsidR="00CE075F" w:rsidRPr="00931CC8">
          <w:rPr>
            <w:rStyle w:val="a6"/>
            <w:rFonts w:hint="eastAsia"/>
          </w:rPr>
          <w:t>软件选用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20"/>
        <w:rPr>
          <w:rFonts w:ascii="Calibri" w:eastAsia="宋体" w:hAnsi="Calibri"/>
          <w:szCs w:val="22"/>
        </w:rPr>
      </w:pPr>
      <w:hyperlink w:anchor="_Toc123313940" w:history="1">
        <w:r w:rsidR="00CE075F" w:rsidRPr="00931CC8">
          <w:rPr>
            <w:rStyle w:val="a6"/>
            <w:lang w:val="en-GB"/>
          </w:rPr>
          <w:t>4.2</w:t>
        </w:r>
        <w:r w:rsidR="00CE075F" w:rsidRPr="00587963">
          <w:rPr>
            <w:rFonts w:ascii="Calibri" w:eastAsia="宋体" w:hAnsi="Calibri"/>
            <w:szCs w:val="22"/>
          </w:rPr>
          <w:tab/>
        </w:r>
        <w:r w:rsidR="00CE075F" w:rsidRPr="00931CC8">
          <w:rPr>
            <w:rStyle w:val="a6"/>
            <w:rFonts w:hint="eastAsia"/>
          </w:rPr>
          <w:t>计算原理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10"/>
        <w:rPr>
          <w:rFonts w:ascii="Calibri" w:eastAsia="宋体" w:hAnsi="Calibri"/>
          <w:b w:val="0"/>
          <w:bCs w:val="0"/>
          <w:szCs w:val="22"/>
        </w:rPr>
      </w:pPr>
      <w:hyperlink w:anchor="_Toc123313941" w:history="1">
        <w:r w:rsidR="00CE075F" w:rsidRPr="00931CC8">
          <w:rPr>
            <w:rStyle w:val="a6"/>
          </w:rPr>
          <w:t>5.</w:t>
        </w:r>
        <w:r w:rsidR="00CE075F" w:rsidRPr="00587963">
          <w:rPr>
            <w:rFonts w:ascii="Calibri" w:eastAsia="宋体" w:hAnsi="Calibri"/>
            <w:b w:val="0"/>
            <w:bCs w:val="0"/>
            <w:szCs w:val="22"/>
          </w:rPr>
          <w:tab/>
        </w:r>
        <w:r w:rsidR="00CE075F" w:rsidRPr="00931CC8">
          <w:rPr>
            <w:rStyle w:val="a6"/>
            <w:rFonts w:hint="eastAsia"/>
          </w:rPr>
          <w:t>计算参数选用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20"/>
        <w:rPr>
          <w:rFonts w:ascii="Calibri" w:eastAsia="宋体" w:hAnsi="Calibri"/>
          <w:szCs w:val="22"/>
        </w:rPr>
      </w:pPr>
      <w:hyperlink w:anchor="_Toc123313942" w:history="1">
        <w:r w:rsidR="00CE075F" w:rsidRPr="00931CC8">
          <w:rPr>
            <w:rStyle w:val="a6"/>
            <w:lang w:val="en-GB"/>
          </w:rPr>
          <w:t>5.1</w:t>
        </w:r>
        <w:r w:rsidR="00CE075F" w:rsidRPr="00587963">
          <w:rPr>
            <w:rFonts w:ascii="Calibri" w:eastAsia="宋体" w:hAnsi="Calibri"/>
            <w:szCs w:val="22"/>
          </w:rPr>
          <w:tab/>
        </w:r>
        <w:r w:rsidR="00CE075F" w:rsidRPr="00931CC8">
          <w:rPr>
            <w:rStyle w:val="a6"/>
            <w:rFonts w:hint="eastAsia"/>
          </w:rPr>
          <w:t>模拟条件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20"/>
        <w:rPr>
          <w:rFonts w:ascii="Calibri" w:eastAsia="宋体" w:hAnsi="Calibri"/>
          <w:szCs w:val="22"/>
        </w:rPr>
      </w:pPr>
      <w:hyperlink w:anchor="_Toc123313943" w:history="1">
        <w:r w:rsidR="00CE075F" w:rsidRPr="00931CC8">
          <w:rPr>
            <w:rStyle w:val="a6"/>
            <w:lang w:val="en-GB"/>
          </w:rPr>
          <w:t>5.2</w:t>
        </w:r>
        <w:r w:rsidR="00CE075F" w:rsidRPr="00587963">
          <w:rPr>
            <w:rFonts w:ascii="Calibri" w:eastAsia="宋体" w:hAnsi="Calibri"/>
            <w:szCs w:val="22"/>
          </w:rPr>
          <w:tab/>
        </w:r>
        <w:r w:rsidR="00CE075F" w:rsidRPr="00931CC8">
          <w:rPr>
            <w:rStyle w:val="a6"/>
            <w:rFonts w:hint="eastAsia"/>
          </w:rPr>
          <w:t>建筑饰面材料参数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20"/>
        <w:rPr>
          <w:rFonts w:ascii="Calibri" w:eastAsia="宋体" w:hAnsi="Calibri"/>
          <w:szCs w:val="22"/>
        </w:rPr>
      </w:pPr>
      <w:hyperlink w:anchor="_Toc123313944" w:history="1">
        <w:r w:rsidR="00CE075F" w:rsidRPr="00931CC8">
          <w:rPr>
            <w:rStyle w:val="a6"/>
            <w:lang w:val="en-GB"/>
          </w:rPr>
          <w:t>5.3</w:t>
        </w:r>
        <w:r w:rsidR="00CE075F" w:rsidRPr="00587963">
          <w:rPr>
            <w:rFonts w:ascii="Calibri" w:eastAsia="宋体" w:hAnsi="Calibri"/>
            <w:szCs w:val="22"/>
          </w:rPr>
          <w:tab/>
        </w:r>
        <w:r w:rsidR="00CE075F" w:rsidRPr="00931CC8">
          <w:rPr>
            <w:rStyle w:val="a6"/>
            <w:rFonts w:hint="eastAsia"/>
          </w:rPr>
          <w:t>门窗类型参数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30"/>
        <w:rPr>
          <w:rFonts w:ascii="Calibri" w:eastAsia="宋体" w:hAnsi="Calibri"/>
          <w:szCs w:val="22"/>
        </w:rPr>
      </w:pPr>
      <w:hyperlink w:anchor="_Toc123313945" w:history="1">
        <w:r w:rsidR="00CE075F" w:rsidRPr="00931CC8">
          <w:rPr>
            <w:rStyle w:val="a6"/>
            <w:lang w:val="en-GB"/>
          </w:rPr>
          <w:t>5.3.1</w:t>
        </w:r>
        <w:r w:rsidR="00CE075F" w:rsidRPr="00587963">
          <w:rPr>
            <w:rFonts w:ascii="Calibri" w:eastAsia="宋体" w:hAnsi="Calibri"/>
            <w:szCs w:val="22"/>
          </w:rPr>
          <w:tab/>
        </w:r>
        <w:r w:rsidR="00CE075F" w:rsidRPr="00931CC8">
          <w:rPr>
            <w:rStyle w:val="a6"/>
            <w:rFonts w:hint="eastAsia"/>
          </w:rPr>
          <w:t>普通窗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10"/>
        <w:rPr>
          <w:rFonts w:ascii="Calibri" w:eastAsia="宋体" w:hAnsi="Calibri"/>
          <w:b w:val="0"/>
          <w:bCs w:val="0"/>
          <w:szCs w:val="22"/>
        </w:rPr>
      </w:pPr>
      <w:hyperlink w:anchor="_Toc123313946" w:history="1">
        <w:r w:rsidR="00CE075F" w:rsidRPr="00931CC8">
          <w:rPr>
            <w:rStyle w:val="a6"/>
          </w:rPr>
          <w:t>6.</w:t>
        </w:r>
        <w:r w:rsidR="00CE075F" w:rsidRPr="00587963">
          <w:rPr>
            <w:rFonts w:ascii="Calibri" w:eastAsia="宋体" w:hAnsi="Calibri"/>
            <w:b w:val="0"/>
            <w:bCs w:val="0"/>
            <w:szCs w:val="22"/>
          </w:rPr>
          <w:tab/>
        </w:r>
        <w:r w:rsidR="00CE075F" w:rsidRPr="00931CC8">
          <w:rPr>
            <w:rStyle w:val="a6"/>
            <w:rFonts w:hint="eastAsia"/>
          </w:rPr>
          <w:t>眩光分析结果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20"/>
        <w:rPr>
          <w:rFonts w:ascii="Calibri" w:eastAsia="宋体" w:hAnsi="Calibri"/>
          <w:szCs w:val="22"/>
        </w:rPr>
      </w:pPr>
      <w:hyperlink w:anchor="_Toc123313947" w:history="1">
        <w:r w:rsidR="00CE075F" w:rsidRPr="00931CC8">
          <w:rPr>
            <w:rStyle w:val="a6"/>
            <w:lang w:val="en-GB"/>
          </w:rPr>
          <w:t>6.1</w:t>
        </w:r>
        <w:r w:rsidR="00CE075F" w:rsidRPr="00587963">
          <w:rPr>
            <w:rFonts w:ascii="Calibri" w:eastAsia="宋体" w:hAnsi="Calibri"/>
            <w:szCs w:val="22"/>
          </w:rPr>
          <w:tab/>
        </w:r>
        <w:r w:rsidR="00CE075F" w:rsidRPr="00931CC8">
          <w:rPr>
            <w:rStyle w:val="a6"/>
            <w:rFonts w:hint="eastAsia"/>
          </w:rPr>
          <w:t>眩光指数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20"/>
        <w:rPr>
          <w:rFonts w:ascii="Calibri" w:eastAsia="宋体" w:hAnsi="Calibri"/>
          <w:szCs w:val="22"/>
        </w:rPr>
      </w:pPr>
      <w:hyperlink w:anchor="_Toc123313948" w:history="1">
        <w:r w:rsidR="00CE075F" w:rsidRPr="00931CC8">
          <w:rPr>
            <w:rStyle w:val="a6"/>
            <w:lang w:val="en-GB"/>
          </w:rPr>
          <w:t>6.2</w:t>
        </w:r>
        <w:r w:rsidR="00CE075F" w:rsidRPr="00587963">
          <w:rPr>
            <w:rFonts w:ascii="Calibri" w:eastAsia="宋体" w:hAnsi="Calibri"/>
            <w:szCs w:val="22"/>
          </w:rPr>
          <w:tab/>
        </w:r>
        <w:r w:rsidR="00CE075F" w:rsidRPr="00931CC8">
          <w:rPr>
            <w:rStyle w:val="a6"/>
            <w:rFonts w:hint="eastAsia"/>
          </w:rPr>
          <w:t>采光均匀度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10"/>
        <w:rPr>
          <w:rFonts w:ascii="Calibri" w:eastAsia="宋体" w:hAnsi="Calibri"/>
          <w:b w:val="0"/>
          <w:bCs w:val="0"/>
          <w:szCs w:val="22"/>
        </w:rPr>
      </w:pPr>
      <w:hyperlink w:anchor="_Toc123313949" w:history="1">
        <w:r w:rsidR="00CE075F" w:rsidRPr="00931CC8">
          <w:rPr>
            <w:rStyle w:val="a6"/>
          </w:rPr>
          <w:t>7.</w:t>
        </w:r>
        <w:r w:rsidR="00CE075F" w:rsidRPr="00587963">
          <w:rPr>
            <w:rFonts w:ascii="Calibri" w:eastAsia="宋体" w:hAnsi="Calibri"/>
            <w:b w:val="0"/>
            <w:bCs w:val="0"/>
            <w:szCs w:val="22"/>
          </w:rPr>
          <w:tab/>
        </w:r>
        <w:r w:rsidR="00CE075F" w:rsidRPr="00931CC8">
          <w:rPr>
            <w:rStyle w:val="a6"/>
            <w:rFonts w:hint="eastAsia"/>
          </w:rPr>
          <w:t>评价结论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E075F" w:rsidRPr="00587963" w:rsidRDefault="00A750D6">
      <w:pPr>
        <w:pStyle w:val="10"/>
        <w:rPr>
          <w:rFonts w:ascii="Calibri" w:eastAsia="宋体" w:hAnsi="Calibri"/>
          <w:b w:val="0"/>
          <w:bCs w:val="0"/>
          <w:szCs w:val="22"/>
        </w:rPr>
      </w:pPr>
      <w:hyperlink w:anchor="_Toc123313950" w:history="1">
        <w:r w:rsidR="00CE075F" w:rsidRPr="00931CC8">
          <w:rPr>
            <w:rStyle w:val="a6"/>
          </w:rPr>
          <w:t>8.</w:t>
        </w:r>
        <w:r w:rsidR="00CE075F" w:rsidRPr="00587963">
          <w:rPr>
            <w:rFonts w:ascii="Calibri" w:eastAsia="宋体" w:hAnsi="Calibri"/>
            <w:b w:val="0"/>
            <w:bCs w:val="0"/>
            <w:szCs w:val="22"/>
          </w:rPr>
          <w:tab/>
        </w:r>
        <w:r w:rsidR="00CE075F" w:rsidRPr="00931CC8">
          <w:rPr>
            <w:rStyle w:val="a6"/>
            <w:rFonts w:hint="eastAsia"/>
          </w:rPr>
          <w:t>附：项目总平面图</w:t>
        </w:r>
        <w:r w:rsidR="00CE075F">
          <w:rPr>
            <w:webHidden/>
          </w:rPr>
          <w:tab/>
        </w:r>
        <w:r>
          <w:rPr>
            <w:webHidden/>
          </w:rPr>
          <w:fldChar w:fldCharType="begin"/>
        </w:r>
        <w:r w:rsidR="00CE075F">
          <w:rPr>
            <w:webHidden/>
          </w:rPr>
          <w:instrText xml:space="preserve"> PAGEREF _Toc123313950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075F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439F8" w:rsidRPr="00AC2DC3" w:rsidRDefault="00A750D6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9"/>
    </w:p>
    <w:p w:rsidR="001B14CC" w:rsidRPr="00AC2DC3" w:rsidRDefault="001B14CC" w:rsidP="004F57F1">
      <w:pPr>
        <w:pStyle w:val="1"/>
        <w:rPr>
          <w:rFonts w:ascii="微软雅黑" w:hAnsi="微软雅黑"/>
        </w:rPr>
      </w:pPr>
      <w:bookmarkStart w:id="10" w:name="_Toc123313933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0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448"/>
        <w:gridCol w:w="2700"/>
        <w:gridCol w:w="1800"/>
        <w:gridCol w:w="2124"/>
      </w:tblGrid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bookmarkStart w:id="11" w:name="光气候分区"/>
            <w:r w:rsidRPr="00AC2DC3">
              <w:rPr>
                <w:lang w:val="en-US"/>
              </w:rPr>
              <w:t>IV</w:t>
            </w:r>
            <w:bookmarkEnd w:id="11"/>
          </w:p>
        </w:tc>
        <w:tc>
          <w:tcPr>
            <w:tcW w:w="1800" w:type="dxa"/>
            <w:shd w:val="clear" w:color="auto" w:fill="E0E0E0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bookmarkStart w:id="12" w:name="光气候系数K"/>
            <w:r w:rsidRPr="00AC2DC3">
              <w:rPr>
                <w:lang w:val="en-US"/>
              </w:rPr>
              <w:t>1.10</w:t>
            </w:r>
            <w:bookmarkEnd w:id="12"/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8E13D2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r w:rsidR="008E13D2">
              <w:rPr>
                <w:rFonts w:hint="eastAsia"/>
                <w:lang w:val="en-US"/>
              </w:rPr>
              <w:t>1749.79</w:t>
            </w:r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3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3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r w:rsidR="0050090F">
              <w:rPr>
                <w:rFonts w:hint="eastAsia"/>
                <w:lang w:val="en-US"/>
              </w:rPr>
              <w:t>2</w:t>
            </w:r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4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4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r w:rsidR="0050090F">
              <w:rPr>
                <w:rFonts w:hint="eastAsia"/>
                <w:lang w:val="en-US"/>
              </w:rPr>
              <w:t>16.50</w:t>
            </w:r>
            <w:bookmarkStart w:id="15" w:name="_GoBack"/>
            <w:bookmarkEnd w:id="15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16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</w:p>
        </w:tc>
      </w:tr>
    </w:tbl>
    <w:p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:rsidR="00837670" w:rsidRPr="00AC2DC3" w:rsidRDefault="00837670" w:rsidP="004F57F1">
      <w:pPr>
        <w:pStyle w:val="1"/>
        <w:rPr>
          <w:rFonts w:ascii="微软雅黑" w:hAnsi="微软雅黑"/>
        </w:rPr>
      </w:pPr>
      <w:bookmarkStart w:id="17" w:name="_Toc123313934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17"/>
    </w:p>
    <w:p w:rsidR="00393106" w:rsidRPr="00AC2DC3" w:rsidRDefault="00393106" w:rsidP="0055044E">
      <w:pPr>
        <w:pStyle w:val="ad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:rsidR="00BF5975" w:rsidRPr="00AC2DC3" w:rsidRDefault="008138E5" w:rsidP="0055044E">
      <w:pPr>
        <w:pStyle w:val="ad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:rsidR="00B86B1C" w:rsidRPr="00AC2DC3" w:rsidRDefault="00180509" w:rsidP="004F57F1">
      <w:pPr>
        <w:pStyle w:val="1"/>
        <w:rPr>
          <w:rFonts w:ascii="微软雅黑" w:hAnsi="微软雅黑"/>
        </w:rPr>
      </w:pPr>
      <w:bookmarkStart w:id="18" w:name="_Toc123313935"/>
      <w:r w:rsidRPr="00AC2DC3">
        <w:rPr>
          <w:rFonts w:ascii="微软雅黑" w:hAnsi="微软雅黑" w:hint="eastAsia"/>
        </w:rPr>
        <w:t>分析依据</w:t>
      </w:r>
      <w:bookmarkEnd w:id="18"/>
    </w:p>
    <w:p w:rsidR="000A6EC1" w:rsidRPr="00AC2DC3" w:rsidRDefault="0078389D" w:rsidP="006D1684">
      <w:pPr>
        <w:pStyle w:val="2"/>
        <w:rPr>
          <w:rFonts w:ascii="微软雅黑" w:hAnsi="微软雅黑"/>
        </w:rPr>
      </w:pPr>
      <w:bookmarkStart w:id="19" w:name="_Toc123313936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19"/>
    </w:p>
    <w:p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:rsidR="00D02D59" w:rsidRPr="00AC2DC3" w:rsidRDefault="002A4519" w:rsidP="006D1684">
      <w:pPr>
        <w:pStyle w:val="2"/>
        <w:rPr>
          <w:rFonts w:ascii="微软雅黑" w:hAnsi="微软雅黑"/>
        </w:rPr>
      </w:pPr>
      <w:bookmarkStart w:id="20" w:name="_Toc123313937"/>
      <w:r w:rsidRPr="00AC2DC3">
        <w:rPr>
          <w:rFonts w:ascii="微软雅黑" w:hAnsi="微软雅黑" w:hint="eastAsia"/>
        </w:rPr>
        <w:t>标准要求</w:t>
      </w:r>
      <w:bookmarkEnd w:id="20"/>
    </w:p>
    <w:p w:rsidR="00D02D59" w:rsidRPr="00AC2DC3" w:rsidRDefault="00D02D59" w:rsidP="0055044E">
      <w:pPr>
        <w:pStyle w:val="ad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:rsidR="008138E5" w:rsidRPr="00AC2DC3" w:rsidRDefault="006E2DB9" w:rsidP="008138E5">
      <w:pPr>
        <w:pStyle w:val="a9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《建筑采光设计标准》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:rsidR="008138E5" w:rsidRPr="00AC2DC3" w:rsidRDefault="008138E5" w:rsidP="0055044E">
      <w:pPr>
        <w:pStyle w:val="ad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:rsidR="008138E5" w:rsidRPr="00AC2DC3" w:rsidRDefault="008138E5" w:rsidP="0055044E">
      <w:pPr>
        <w:pStyle w:val="ad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1"/>
        <w:gridCol w:w="4401"/>
      </w:tblGrid>
      <w:tr w:rsidR="008138E5" w:rsidRPr="00AC2DC3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20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23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25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28</w:t>
            </w:r>
          </w:p>
        </w:tc>
      </w:tr>
    </w:tbl>
    <w:p w:rsidR="008138E5" w:rsidRPr="00AC2DC3" w:rsidRDefault="008138E5" w:rsidP="008138E5">
      <w:pPr>
        <w:pStyle w:val="a9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:rsidR="00725EDE" w:rsidRPr="00AC2DC3" w:rsidRDefault="00725EDE" w:rsidP="0055044E">
      <w:pPr>
        <w:pStyle w:val="ad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:rsidR="00725EDE" w:rsidRPr="00AC2DC3" w:rsidRDefault="00725EDE" w:rsidP="0055044E">
      <w:pPr>
        <w:pStyle w:val="ad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d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:rsidR="00725EDE" w:rsidRPr="00AC2DC3" w:rsidRDefault="00725EDE" w:rsidP="0055044E">
      <w:pPr>
        <w:pStyle w:val="ad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25EDE" w:rsidP="0055044E">
      <w:pPr>
        <w:pStyle w:val="ad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25EDE" w:rsidP="0055044E">
      <w:pPr>
        <w:pStyle w:val="ad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d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1" w:name="眩光评价分值"/>
      <w:r w:rsidRPr="00AC2DC3">
        <w:t>3</w:t>
      </w:r>
      <w:bookmarkEnd w:id="21"/>
      <w:r w:rsidRPr="00AC2DC3">
        <w:t xml:space="preserve"> </w:t>
      </w:r>
      <w:r w:rsidRPr="00AC2DC3">
        <w:rPr>
          <w:rFonts w:hint="eastAsia"/>
        </w:rPr>
        <w:t>分。</w:t>
      </w:r>
    </w:p>
    <w:p w:rsidR="00301B3E" w:rsidRPr="00AC2DC3" w:rsidRDefault="00301B3E" w:rsidP="00301B3E">
      <w:pPr>
        <w:ind w:leftChars="300" w:left="630" w:right="180"/>
        <w:rPr>
          <w:szCs w:val="21"/>
        </w:rPr>
      </w:pPr>
    </w:p>
    <w:p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:rsidR="00301B3E" w:rsidRPr="00AC2DC3" w:rsidRDefault="00301B3E" w:rsidP="0055044E">
      <w:pPr>
        <w:pStyle w:val="ad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2" w:name="最大光均匀度要求"/>
      <w:r w:rsidRPr="00AC2DC3">
        <w:rPr>
          <w:rFonts w:hint="eastAsia"/>
          <w:lang w:val="en-US"/>
        </w:rPr>
        <w:t>6</w:t>
      </w:r>
      <w:bookmarkEnd w:id="22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:rsidR="004A008B" w:rsidRPr="00AC2DC3" w:rsidRDefault="004A008B" w:rsidP="004F57F1">
      <w:pPr>
        <w:pStyle w:val="1"/>
        <w:rPr>
          <w:rFonts w:ascii="微软雅黑" w:hAnsi="微软雅黑"/>
        </w:rPr>
      </w:pPr>
      <w:bookmarkStart w:id="23" w:name="_Toc123313938"/>
      <w:r w:rsidRPr="00AC2DC3">
        <w:rPr>
          <w:rFonts w:ascii="微软雅黑" w:hAnsi="微软雅黑" w:hint="eastAsia"/>
        </w:rPr>
        <w:t>应用软件与计算方法</w:t>
      </w:r>
      <w:bookmarkEnd w:id="23"/>
    </w:p>
    <w:p w:rsidR="004A008B" w:rsidRPr="00AC2DC3" w:rsidRDefault="004A008B" w:rsidP="006D1684">
      <w:pPr>
        <w:pStyle w:val="2"/>
        <w:rPr>
          <w:rFonts w:ascii="微软雅黑" w:hAnsi="微软雅黑"/>
        </w:rPr>
      </w:pPr>
      <w:bookmarkStart w:id="24" w:name="_Toc123313939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4"/>
    </w:p>
    <w:p w:rsidR="00F20DE5" w:rsidRPr="00AC2DC3" w:rsidRDefault="00F20DE5" w:rsidP="0055044E">
      <w:pPr>
        <w:pStyle w:val="ad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:rsidR="00F20DE5" w:rsidRPr="00AC2DC3" w:rsidRDefault="00C15DF5" w:rsidP="0055044E">
      <w:pPr>
        <w:pStyle w:val="ad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25" w:name="_Toc123313940"/>
      <w:r w:rsidRPr="00AC2DC3">
        <w:rPr>
          <w:rFonts w:ascii="微软雅黑" w:hAnsi="微软雅黑" w:hint="eastAsia"/>
        </w:rPr>
        <w:t>计算原理</w:t>
      </w:r>
      <w:bookmarkEnd w:id="25"/>
    </w:p>
    <w:p w:rsidR="001463F5" w:rsidRPr="00AC2DC3" w:rsidRDefault="001463F5" w:rsidP="001463F5">
      <w:pPr>
        <w:pStyle w:val="a9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>■</w:t>
      </w:r>
      <w:r w:rsidRPr="00AC2DC3">
        <w:rPr>
          <w:rFonts w:ascii="微软雅黑" w:hAnsi="微软雅黑" w:hint="eastAsia"/>
          <w:b/>
          <w:sz w:val="21"/>
          <w:szCs w:val="21"/>
        </w:rPr>
        <w:t xml:space="preserve">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:rsidR="008138E5" w:rsidRPr="00AC2DC3" w:rsidRDefault="008138E5" w:rsidP="00A1367E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>
          <v:shape id="_x0000_i1026" type="#_x0000_t75" style="width:89.65pt;height:20.4pt" o:ole="">
            <v:imagedata r:id="rId14" o:title=""/>
          </v:shape>
          <o:OLEObject Type="Embed" ProgID="Equations" ShapeID="_x0000_i1026" DrawAspect="Content" ObjectID="_1755002614" r:id="rId15"/>
        </w:object>
      </w:r>
    </w:p>
    <w:p w:rsidR="008138E5" w:rsidRPr="00AC2DC3" w:rsidRDefault="008138E5" w:rsidP="00A1367E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>
          <v:shape id="_x0000_i1027" type="#_x0000_t75" style="width:135.85pt;height:36.7pt" o:ole="">
            <v:imagedata r:id="rId16" o:title=""/>
          </v:shape>
          <o:OLEObject Type="Embed" ProgID="Equations" ShapeID="_x0000_i1027" DrawAspect="Content" ObjectID="_1755002615" r:id="rId17"/>
        </w:object>
      </w:r>
    </w:p>
    <w:p w:rsidR="008138E5" w:rsidRPr="00AC2DC3" w:rsidRDefault="008138E5" w:rsidP="00A1367E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>
          <v:shape id="_x0000_i1028" type="#_x0000_t75" style="width:49.6pt;height:33.3pt" o:ole="">
            <v:imagedata r:id="rId18" o:title=""/>
          </v:shape>
          <o:OLEObject Type="Embed" ProgID="Equations" ShapeID="_x0000_i1028" DrawAspect="Content" ObjectID="_1755002616" r:id="rId19"/>
        </w:object>
      </w:r>
    </w:p>
    <w:p w:rsidR="00F20DE5" w:rsidRPr="00AC2DC3" w:rsidRDefault="008138E5" w:rsidP="00F20DE5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>
          <v:shape id="_x0000_i1029" type="#_x0000_t75" style="width:419.1pt;height:19.7pt" o:ole="">
            <v:imagedata r:id="rId20" o:title=""/>
          </v:shape>
          <o:OLEObject Type="Embed" ProgID="Equations" ShapeID="_x0000_i1029" DrawAspect="Content" ObjectID="_1755002617" r:id="rId21"/>
        </w:object>
      </w:r>
    </w:p>
    <w:p w:rsidR="00916196" w:rsidRPr="00AC2DC3" w:rsidRDefault="008138E5" w:rsidP="0055044E">
      <w:pPr>
        <w:pStyle w:val="ad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:rsidR="00916196" w:rsidRPr="00AC2DC3" w:rsidRDefault="008138E5" w:rsidP="0055044E">
      <w:pPr>
        <w:pStyle w:val="ad"/>
        <w:ind w:leftChars="300" w:left="630"/>
        <w:rPr>
          <w:sz w:val="20"/>
        </w:rPr>
      </w:pPr>
      <w:proofErr w:type="spellStart"/>
      <w:r w:rsidRPr="00AC2DC3">
        <w:rPr>
          <w:sz w:val="20"/>
        </w:rPr>
        <w:t>Gn</w:t>
      </w:r>
      <w:proofErr w:type="spellEnd"/>
      <w:r w:rsidRPr="00AC2DC3">
        <w:rPr>
          <w:sz w:val="20"/>
        </w:rPr>
        <w:t>----眩光常数；</w:t>
      </w:r>
    </w:p>
    <w:p w:rsidR="00916196" w:rsidRPr="00AC2DC3" w:rsidRDefault="008138E5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916196" w:rsidRPr="00AC2DC3" w:rsidRDefault="00916196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ω----窗对计算点形成的立体角（</w:t>
      </w:r>
      <w:proofErr w:type="spellStart"/>
      <w:r w:rsidRPr="00AC2DC3">
        <w:rPr>
          <w:sz w:val="20"/>
        </w:rPr>
        <w:t>sr</w:t>
      </w:r>
      <w:proofErr w:type="spellEnd"/>
      <w:r w:rsidRPr="00AC2DC3">
        <w:rPr>
          <w:sz w:val="20"/>
        </w:rPr>
        <w:t>）；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Ω----考虑窗位置修正的立体角（</w:t>
      </w:r>
      <w:proofErr w:type="spellStart"/>
      <w:r w:rsidRPr="00AC2DC3">
        <w:rPr>
          <w:sz w:val="20"/>
        </w:rPr>
        <w:t>sr</w:t>
      </w:r>
      <w:proofErr w:type="spellEnd"/>
      <w:r w:rsidRPr="00AC2DC3">
        <w:rPr>
          <w:sz w:val="20"/>
        </w:rPr>
        <w:t>）；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:rsidR="00C865E9" w:rsidRPr="00AC2DC3" w:rsidRDefault="00C865E9" w:rsidP="0055044E">
      <w:pPr>
        <w:pStyle w:val="ad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:rsidR="00BC17B9" w:rsidRPr="00AC2DC3" w:rsidRDefault="00811489" w:rsidP="00BC17B9">
      <w:pPr>
        <w:pStyle w:val="a9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 w:rsidRPr="00A750D6">
        <w:rPr>
          <w:rFonts w:ascii="微软雅黑" w:hAnsi="微软雅黑"/>
          <w:noProof/>
        </w:rPr>
        <w:pict>
          <v:shape id="图片 1" o:spid="_x0000_i1030" type="#_x0000_t75" style="width:220.1pt;height:197.65pt;visibility:visible;mso-wrap-style:square">
            <v:imagedata r:id="rId22" o:title=""/>
          </v:shape>
        </w:pict>
      </w:r>
    </w:p>
    <w:p w:rsidR="00BC17B9" w:rsidRPr="00AC2DC3" w:rsidRDefault="00BC17B9" w:rsidP="00BC17B9">
      <w:pPr>
        <w:pStyle w:val="a9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:rsidR="00B86B1C" w:rsidRPr="00AC2DC3" w:rsidRDefault="00A47585" w:rsidP="004F57F1">
      <w:pPr>
        <w:pStyle w:val="1"/>
        <w:rPr>
          <w:rFonts w:ascii="微软雅黑" w:hAnsi="微软雅黑"/>
        </w:rPr>
      </w:pPr>
      <w:bookmarkStart w:id="26" w:name="_Toc123313941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26"/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27" w:name="_Toc123313942"/>
      <w:r w:rsidRPr="00AC2DC3">
        <w:rPr>
          <w:rFonts w:ascii="微软雅黑" w:hAnsi="微软雅黑" w:hint="eastAsia"/>
        </w:rPr>
        <w:t>模拟条件</w:t>
      </w:r>
      <w:bookmarkEnd w:id="27"/>
    </w:p>
    <w:p w:rsidR="00DE15EB" w:rsidRPr="00AC2DC3" w:rsidRDefault="00DE15EB" w:rsidP="0055044E">
      <w:pPr>
        <w:pStyle w:val="ad"/>
        <w:ind w:leftChars="200" w:left="420"/>
      </w:pPr>
      <w:r w:rsidRPr="00AC2DC3">
        <w:rPr>
          <w:rFonts w:hint="eastAsia"/>
        </w:rPr>
        <w:t>天空状态：</w:t>
      </w:r>
      <w:bookmarkStart w:id="28" w:name="天空模型"/>
      <w:r w:rsidR="00443A24" w:rsidRPr="00AC2DC3">
        <w:rPr>
          <w:rFonts w:hint="eastAsia"/>
        </w:rPr>
        <w:t>晴天－CIE12（大气清晰）：6月21日 16:00 考虑太阳直射</w:t>
      </w:r>
      <w:bookmarkEnd w:id="28"/>
    </w:p>
    <w:p w:rsidR="00DE15EB" w:rsidRPr="00AC2DC3" w:rsidRDefault="00DE15EB" w:rsidP="0055044E">
      <w:pPr>
        <w:pStyle w:val="ad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:rsidR="00DE15EB" w:rsidRPr="00AC2DC3" w:rsidRDefault="00443A24" w:rsidP="0055044E">
      <w:pPr>
        <w:pStyle w:val="ad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:rsidR="003A3E76" w:rsidRPr="00AC2DC3" w:rsidRDefault="003A3E76" w:rsidP="006D1684">
      <w:pPr>
        <w:pStyle w:val="2"/>
        <w:rPr>
          <w:rFonts w:ascii="微软雅黑" w:hAnsi="微软雅黑"/>
        </w:rPr>
      </w:pPr>
      <w:bookmarkStart w:id="29" w:name="_Toc123313943"/>
      <w:r w:rsidRPr="00AC2DC3">
        <w:rPr>
          <w:rFonts w:ascii="微软雅黑" w:hAnsi="微软雅黑" w:hint="eastAsia"/>
        </w:rPr>
        <w:t>建筑饰面材料参数</w:t>
      </w:r>
      <w:bookmarkEnd w:id="29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3464"/>
        <w:gridCol w:w="3531"/>
      </w:tblGrid>
      <w:tr w:rsidR="00804362" w:rsidRPr="00AC2DC3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0" w:name="顶棚反射比"/>
            <w:r w:rsidRPr="00AC2DC3">
              <w:rPr>
                <w:rFonts w:hint="eastAsia"/>
              </w:rPr>
              <w:t>0.75</w:t>
            </w:r>
            <w:bookmarkEnd w:id="30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1" w:name="地面反射比"/>
            <w:r w:rsidRPr="00AC2DC3">
              <w:rPr>
                <w:rFonts w:hint="eastAsia"/>
              </w:rPr>
              <w:t>0.30</w:t>
            </w:r>
            <w:bookmarkEnd w:id="31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2" w:name="墙面反射比"/>
            <w:r w:rsidRPr="00AC2DC3">
              <w:rPr>
                <w:rFonts w:hint="eastAsia"/>
              </w:rPr>
              <w:t>0.60</w:t>
            </w:r>
            <w:bookmarkEnd w:id="32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3" w:name="外表面反射比"/>
            <w:r w:rsidRPr="00AC2DC3">
              <w:rPr>
                <w:rFonts w:hint="eastAsia"/>
              </w:rPr>
              <w:t>0.50</w:t>
            </w:r>
            <w:bookmarkEnd w:id="33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</w:tbl>
    <w:p w:rsidR="003A3E76" w:rsidRPr="00AC2DC3" w:rsidRDefault="003A3E76" w:rsidP="003A3E76">
      <w:pPr>
        <w:pStyle w:val="a9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</w:t>
      </w:r>
      <w:r w:rsidRPr="00AC2DC3">
        <w:rPr>
          <w:rFonts w:ascii="微软雅黑" w:hAnsi="微软雅黑" w:hint="eastAsia"/>
          <w:sz w:val="18"/>
          <w:szCs w:val="18"/>
        </w:rPr>
        <w:t>表</w:t>
      </w:r>
      <w:r w:rsidRPr="00AC2DC3">
        <w:rPr>
          <w:rFonts w:ascii="微软雅黑" w:hAnsi="微软雅黑" w:hint="eastAsia"/>
          <w:sz w:val="18"/>
          <w:szCs w:val="18"/>
        </w:rPr>
        <w:t>D.0.5</w:t>
      </w:r>
      <w:r w:rsidRPr="00AC2DC3">
        <w:rPr>
          <w:rFonts w:ascii="微软雅黑" w:hAnsi="微软雅黑" w:hint="eastAsia"/>
          <w:sz w:val="18"/>
          <w:szCs w:val="18"/>
        </w:rPr>
        <w:t>；</w:t>
      </w:r>
      <w:r w:rsidRPr="00AC2DC3">
        <w:rPr>
          <w:rFonts w:ascii="微软雅黑" w:hAnsi="微软雅黑" w:hint="eastAsia"/>
          <w:szCs w:val="21"/>
        </w:rPr>
        <w:tab/>
      </w:r>
    </w:p>
    <w:p w:rsidR="005544E9" w:rsidRPr="00AC2DC3" w:rsidRDefault="003A3E76" w:rsidP="006D1684">
      <w:pPr>
        <w:pStyle w:val="2"/>
        <w:rPr>
          <w:rFonts w:ascii="微软雅黑" w:hAnsi="微软雅黑"/>
        </w:rPr>
      </w:pPr>
      <w:bookmarkStart w:id="34" w:name="_Toc123313944"/>
      <w:r w:rsidRPr="00AC2DC3">
        <w:rPr>
          <w:rFonts w:ascii="微软雅黑" w:hAnsi="微软雅黑" w:hint="eastAsia"/>
        </w:rPr>
        <w:t>门窗类型参数</w:t>
      </w:r>
      <w:bookmarkEnd w:id="34"/>
    </w:p>
    <w:p w:rsidR="00A6610F" w:rsidRPr="00AC2DC3" w:rsidRDefault="00A6610F" w:rsidP="0055044E">
      <w:pPr>
        <w:pStyle w:val="ad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0805DC" w:rsidP="004F57F1">
      <w:pPr>
        <w:pStyle w:val="3"/>
        <w:rPr>
          <w:rFonts w:ascii="微软雅黑" w:hAnsi="微软雅黑"/>
        </w:rPr>
      </w:pPr>
      <w:bookmarkStart w:id="35" w:name="_Toc123313945"/>
      <w:bookmarkStart w:id="36" w:name="窗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DB262A" w:rsidTr="008E13D2">
        <w:tc>
          <w:tcPr>
            <w:tcW w:w="1359" w:type="dxa"/>
            <w:shd w:val="clear" w:color="auto" w:fill="E6E6E6"/>
            <w:vAlign w:val="center"/>
          </w:tcPr>
          <w:bookmarkEnd w:id="36"/>
          <w:p w:rsidR="00DB262A" w:rsidRDefault="00183929">
            <w:r>
              <w:t>门窗编号</w:t>
            </w:r>
          </w:p>
        </w:tc>
        <w:tc>
          <w:tcPr>
            <w:tcW w:w="1246" w:type="dxa"/>
            <w:shd w:val="clear" w:color="auto" w:fill="E6E6E6"/>
            <w:vAlign w:val="center"/>
          </w:tcPr>
          <w:p w:rsidR="00DB262A" w:rsidRDefault="00183929">
            <w:r>
              <w:t>宽度(mm)</w:t>
            </w:r>
          </w:p>
        </w:tc>
        <w:tc>
          <w:tcPr>
            <w:tcW w:w="1246" w:type="dxa"/>
            <w:shd w:val="clear" w:color="auto" w:fill="E6E6E6"/>
            <w:vAlign w:val="center"/>
          </w:tcPr>
          <w:p w:rsidR="00DB262A" w:rsidRDefault="00183929"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DB262A" w:rsidRDefault="00183929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DB262A" w:rsidRDefault="00183929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DB262A" w:rsidRDefault="00183929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DB262A" w:rsidRDefault="00183929">
            <w:r>
              <w:t>玻璃反射比</w:t>
            </w:r>
          </w:p>
        </w:tc>
      </w:tr>
      <w:tr w:rsidR="00DB262A" w:rsidTr="008E13D2">
        <w:tc>
          <w:tcPr>
            <w:tcW w:w="1359" w:type="dxa"/>
            <w:vAlign w:val="center"/>
          </w:tcPr>
          <w:p w:rsidR="00DB262A" w:rsidRDefault="00183929">
            <w:r>
              <w:t>C1232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1200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1800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单层铝窗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普通玻璃</w:t>
            </w:r>
          </w:p>
        </w:tc>
        <w:tc>
          <w:tcPr>
            <w:tcW w:w="1516" w:type="dxa"/>
            <w:vAlign w:val="center"/>
          </w:tcPr>
          <w:p w:rsidR="00DB262A" w:rsidRDefault="00183929">
            <w:r>
              <w:t>0.89</w:t>
            </w:r>
          </w:p>
        </w:tc>
        <w:tc>
          <w:tcPr>
            <w:tcW w:w="1358" w:type="dxa"/>
            <w:vAlign w:val="center"/>
          </w:tcPr>
          <w:p w:rsidR="00DB262A" w:rsidRDefault="00183929">
            <w:r>
              <w:t>0.08</w:t>
            </w:r>
          </w:p>
        </w:tc>
      </w:tr>
      <w:tr w:rsidR="00DB262A" w:rsidTr="008E13D2">
        <w:tc>
          <w:tcPr>
            <w:tcW w:w="1359" w:type="dxa"/>
            <w:vAlign w:val="center"/>
          </w:tcPr>
          <w:p w:rsidR="00DB262A" w:rsidRDefault="00183929">
            <w:r>
              <w:t>C1232A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1200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1800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单层铝窗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普通玻璃</w:t>
            </w:r>
          </w:p>
        </w:tc>
        <w:tc>
          <w:tcPr>
            <w:tcW w:w="1516" w:type="dxa"/>
            <w:vAlign w:val="center"/>
          </w:tcPr>
          <w:p w:rsidR="00DB262A" w:rsidRDefault="00183929">
            <w:r>
              <w:t>0.89</w:t>
            </w:r>
          </w:p>
        </w:tc>
        <w:tc>
          <w:tcPr>
            <w:tcW w:w="1358" w:type="dxa"/>
            <w:vAlign w:val="center"/>
          </w:tcPr>
          <w:p w:rsidR="00DB262A" w:rsidRDefault="00183929">
            <w:r>
              <w:t>0.08</w:t>
            </w:r>
          </w:p>
        </w:tc>
      </w:tr>
      <w:tr w:rsidR="00DB262A" w:rsidTr="008E13D2">
        <w:tc>
          <w:tcPr>
            <w:tcW w:w="1359" w:type="dxa"/>
            <w:vAlign w:val="center"/>
          </w:tcPr>
          <w:p w:rsidR="00DB262A" w:rsidRDefault="00183929">
            <w:r>
              <w:t>C1232B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1200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1800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单层铝窗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普通玻璃</w:t>
            </w:r>
          </w:p>
        </w:tc>
        <w:tc>
          <w:tcPr>
            <w:tcW w:w="1516" w:type="dxa"/>
            <w:vAlign w:val="center"/>
          </w:tcPr>
          <w:p w:rsidR="00DB262A" w:rsidRDefault="00183929">
            <w:r>
              <w:t>0.89</w:t>
            </w:r>
          </w:p>
        </w:tc>
        <w:tc>
          <w:tcPr>
            <w:tcW w:w="1358" w:type="dxa"/>
            <w:vAlign w:val="center"/>
          </w:tcPr>
          <w:p w:rsidR="00DB262A" w:rsidRDefault="00183929">
            <w:r>
              <w:t>0.08</w:t>
            </w:r>
          </w:p>
        </w:tc>
      </w:tr>
      <w:tr w:rsidR="00DB262A" w:rsidTr="008E13D2">
        <w:tc>
          <w:tcPr>
            <w:tcW w:w="1359" w:type="dxa"/>
            <w:vAlign w:val="center"/>
          </w:tcPr>
          <w:p w:rsidR="00DB262A" w:rsidRDefault="00183929">
            <w:r>
              <w:t>C1832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1800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1800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单层铝窗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普通玻璃</w:t>
            </w:r>
          </w:p>
        </w:tc>
        <w:tc>
          <w:tcPr>
            <w:tcW w:w="1516" w:type="dxa"/>
            <w:vAlign w:val="center"/>
          </w:tcPr>
          <w:p w:rsidR="00DB262A" w:rsidRDefault="00183929">
            <w:r>
              <w:t>0.89</w:t>
            </w:r>
          </w:p>
        </w:tc>
        <w:tc>
          <w:tcPr>
            <w:tcW w:w="1358" w:type="dxa"/>
            <w:vAlign w:val="center"/>
          </w:tcPr>
          <w:p w:rsidR="00DB262A" w:rsidRDefault="00183929">
            <w:r>
              <w:t>0.08</w:t>
            </w:r>
          </w:p>
        </w:tc>
      </w:tr>
      <w:tr w:rsidR="00DB262A" w:rsidTr="008E13D2">
        <w:tc>
          <w:tcPr>
            <w:tcW w:w="1359" w:type="dxa"/>
            <w:vAlign w:val="center"/>
          </w:tcPr>
          <w:p w:rsidR="00DB262A" w:rsidRDefault="00183929">
            <w:r>
              <w:t>C1832A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1800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1800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单层铝窗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普通玻璃</w:t>
            </w:r>
          </w:p>
        </w:tc>
        <w:tc>
          <w:tcPr>
            <w:tcW w:w="1516" w:type="dxa"/>
            <w:vAlign w:val="center"/>
          </w:tcPr>
          <w:p w:rsidR="00DB262A" w:rsidRDefault="00183929">
            <w:r>
              <w:t>0.89</w:t>
            </w:r>
          </w:p>
        </w:tc>
        <w:tc>
          <w:tcPr>
            <w:tcW w:w="1358" w:type="dxa"/>
            <w:vAlign w:val="center"/>
          </w:tcPr>
          <w:p w:rsidR="00DB262A" w:rsidRDefault="00183929">
            <w:r>
              <w:t>0.08</w:t>
            </w:r>
          </w:p>
        </w:tc>
      </w:tr>
      <w:tr w:rsidR="00DB262A" w:rsidTr="008E13D2">
        <w:tc>
          <w:tcPr>
            <w:tcW w:w="1359" w:type="dxa"/>
            <w:vAlign w:val="center"/>
          </w:tcPr>
          <w:p w:rsidR="00DB262A" w:rsidRDefault="00183929">
            <w:r>
              <w:t>C2432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2400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1800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单层铝窗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普通玻璃</w:t>
            </w:r>
          </w:p>
        </w:tc>
        <w:tc>
          <w:tcPr>
            <w:tcW w:w="1516" w:type="dxa"/>
            <w:vAlign w:val="center"/>
          </w:tcPr>
          <w:p w:rsidR="00DB262A" w:rsidRDefault="00183929">
            <w:r>
              <w:t>0.89</w:t>
            </w:r>
          </w:p>
        </w:tc>
        <w:tc>
          <w:tcPr>
            <w:tcW w:w="1358" w:type="dxa"/>
            <w:vAlign w:val="center"/>
          </w:tcPr>
          <w:p w:rsidR="00DB262A" w:rsidRDefault="00183929">
            <w:r>
              <w:t>0.08</w:t>
            </w:r>
          </w:p>
        </w:tc>
      </w:tr>
      <w:tr w:rsidR="00DB262A" w:rsidTr="008E13D2">
        <w:tc>
          <w:tcPr>
            <w:tcW w:w="1359" w:type="dxa"/>
            <w:vAlign w:val="center"/>
          </w:tcPr>
          <w:p w:rsidR="00DB262A" w:rsidRDefault="00183929">
            <w:r>
              <w:t>C2432A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2400</w:t>
            </w:r>
          </w:p>
        </w:tc>
        <w:tc>
          <w:tcPr>
            <w:tcW w:w="1246" w:type="dxa"/>
            <w:vAlign w:val="center"/>
          </w:tcPr>
          <w:p w:rsidR="00DB262A" w:rsidRDefault="00183929">
            <w:r>
              <w:t>1800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单层铝窗</w:t>
            </w:r>
          </w:p>
        </w:tc>
        <w:tc>
          <w:tcPr>
            <w:tcW w:w="1301" w:type="dxa"/>
            <w:vAlign w:val="center"/>
          </w:tcPr>
          <w:p w:rsidR="00DB262A" w:rsidRDefault="00183929">
            <w:r>
              <w:t>普通玻璃</w:t>
            </w:r>
          </w:p>
        </w:tc>
        <w:tc>
          <w:tcPr>
            <w:tcW w:w="1516" w:type="dxa"/>
            <w:vAlign w:val="center"/>
          </w:tcPr>
          <w:p w:rsidR="00DB262A" w:rsidRDefault="00183929">
            <w:r>
              <w:t>0.89</w:t>
            </w:r>
          </w:p>
        </w:tc>
        <w:tc>
          <w:tcPr>
            <w:tcW w:w="1358" w:type="dxa"/>
            <w:vAlign w:val="center"/>
          </w:tcPr>
          <w:p w:rsidR="00DB262A" w:rsidRDefault="00183929">
            <w:r>
              <w:t>0.08</w:t>
            </w:r>
          </w:p>
        </w:tc>
      </w:tr>
    </w:tbl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:rsidR="002A7369" w:rsidRPr="00AC2DC3" w:rsidRDefault="00196F57" w:rsidP="004F57F1">
      <w:pPr>
        <w:pStyle w:val="1"/>
        <w:rPr>
          <w:rFonts w:ascii="微软雅黑" w:hAnsi="微软雅黑"/>
        </w:rPr>
      </w:pPr>
      <w:bookmarkStart w:id="37" w:name="_Toc123313946"/>
      <w:r w:rsidRPr="00AC2DC3">
        <w:rPr>
          <w:rFonts w:ascii="微软雅黑" w:hAnsi="微软雅黑" w:hint="eastAsia"/>
        </w:rPr>
        <w:lastRenderedPageBreak/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37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38" w:name="_Toc123313947"/>
      <w:r w:rsidRPr="00AC2DC3">
        <w:rPr>
          <w:rFonts w:ascii="微软雅黑" w:hAnsi="微软雅黑" w:hint="eastAsia"/>
        </w:rPr>
        <w:t>眩光指数</w:t>
      </w:r>
      <w:bookmarkEnd w:id="38"/>
    </w:p>
    <w:p w:rsidR="00623194" w:rsidRPr="00AC2DC3" w:rsidRDefault="00623194" w:rsidP="0055044E">
      <w:pPr>
        <w:pStyle w:val="ad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DB262A">
        <w:tc>
          <w:tcPr>
            <w:tcW w:w="1075" w:type="dxa"/>
            <w:shd w:val="clear" w:color="auto" w:fill="E6E6E6"/>
            <w:vAlign w:val="center"/>
          </w:tcPr>
          <w:p w:rsidR="00DB262A" w:rsidRDefault="00183929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262A" w:rsidRDefault="00183929"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262A" w:rsidRDefault="00183929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262A" w:rsidRDefault="00183929"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262A" w:rsidRDefault="00183929"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DB262A" w:rsidRDefault="00183929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262A" w:rsidRDefault="00183929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262A" w:rsidRDefault="00183929"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B262A" w:rsidRDefault="00183929">
            <w:r>
              <w:t>结论</w:t>
            </w:r>
          </w:p>
        </w:tc>
      </w:tr>
      <w:tr w:rsidR="00DB262A">
        <w:tc>
          <w:tcPr>
            <w:tcW w:w="1075" w:type="dxa"/>
            <w:vMerge w:val="restart"/>
            <w:vAlign w:val="center"/>
          </w:tcPr>
          <w:p w:rsidR="00DB262A" w:rsidRDefault="00183929">
            <w:r>
              <w:t>1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1001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餐厅</w:t>
            </w:r>
          </w:p>
        </w:tc>
        <w:tc>
          <w:tcPr>
            <w:tcW w:w="707" w:type="dxa"/>
            <w:vAlign w:val="center"/>
          </w:tcPr>
          <w:p w:rsidR="00DB262A" w:rsidRDefault="00183929">
            <w:r>
              <w:t>IV</w:t>
            </w:r>
          </w:p>
        </w:tc>
        <w:tc>
          <w:tcPr>
            <w:tcW w:w="707" w:type="dxa"/>
            <w:vAlign w:val="center"/>
          </w:tcPr>
          <w:p w:rsidR="00DB262A" w:rsidRDefault="00183929">
            <w:r>
              <w:t>侧面</w:t>
            </w:r>
          </w:p>
        </w:tc>
        <w:tc>
          <w:tcPr>
            <w:tcW w:w="1443" w:type="dxa"/>
            <w:vAlign w:val="center"/>
          </w:tcPr>
          <w:p w:rsidR="00DB262A" w:rsidRDefault="00183929">
            <w:r>
              <w:t>218.17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19.6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27</w:t>
            </w:r>
          </w:p>
        </w:tc>
        <w:tc>
          <w:tcPr>
            <w:tcW w:w="990" w:type="dxa"/>
            <w:vAlign w:val="center"/>
          </w:tcPr>
          <w:p w:rsidR="00DB262A" w:rsidRDefault="00183929">
            <w:r>
              <w:t>满足</w:t>
            </w:r>
          </w:p>
        </w:tc>
      </w:tr>
      <w:tr w:rsidR="00DB262A">
        <w:tc>
          <w:tcPr>
            <w:tcW w:w="1075" w:type="dxa"/>
            <w:vMerge/>
            <w:vAlign w:val="center"/>
          </w:tcPr>
          <w:p w:rsidR="00DB262A" w:rsidRDefault="00DB262A"/>
        </w:tc>
        <w:tc>
          <w:tcPr>
            <w:tcW w:w="1075" w:type="dxa"/>
            <w:vAlign w:val="center"/>
          </w:tcPr>
          <w:p w:rsidR="00DB262A" w:rsidRDefault="00183929">
            <w:r>
              <w:t>1009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餐厅</w:t>
            </w:r>
          </w:p>
        </w:tc>
        <w:tc>
          <w:tcPr>
            <w:tcW w:w="707" w:type="dxa"/>
            <w:vAlign w:val="center"/>
          </w:tcPr>
          <w:p w:rsidR="00DB262A" w:rsidRDefault="00183929">
            <w:r>
              <w:t>IV</w:t>
            </w:r>
          </w:p>
        </w:tc>
        <w:tc>
          <w:tcPr>
            <w:tcW w:w="707" w:type="dxa"/>
            <w:vAlign w:val="center"/>
          </w:tcPr>
          <w:p w:rsidR="00DB262A" w:rsidRDefault="00183929">
            <w:r>
              <w:t>侧面</w:t>
            </w:r>
          </w:p>
        </w:tc>
        <w:tc>
          <w:tcPr>
            <w:tcW w:w="1443" w:type="dxa"/>
            <w:vAlign w:val="center"/>
          </w:tcPr>
          <w:p w:rsidR="00DB262A" w:rsidRDefault="00183929">
            <w:r>
              <w:t>18.22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17.3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27</w:t>
            </w:r>
          </w:p>
        </w:tc>
        <w:tc>
          <w:tcPr>
            <w:tcW w:w="990" w:type="dxa"/>
            <w:vAlign w:val="center"/>
          </w:tcPr>
          <w:p w:rsidR="00DB262A" w:rsidRDefault="00183929">
            <w:r>
              <w:t>满足</w:t>
            </w:r>
          </w:p>
        </w:tc>
      </w:tr>
      <w:tr w:rsidR="00DB262A">
        <w:tc>
          <w:tcPr>
            <w:tcW w:w="1075" w:type="dxa"/>
            <w:vMerge/>
            <w:vAlign w:val="center"/>
          </w:tcPr>
          <w:p w:rsidR="00DB262A" w:rsidRDefault="00DB262A"/>
        </w:tc>
        <w:tc>
          <w:tcPr>
            <w:tcW w:w="1075" w:type="dxa"/>
            <w:vAlign w:val="center"/>
          </w:tcPr>
          <w:p w:rsidR="00DB262A" w:rsidRDefault="00183929">
            <w:r>
              <w:t>1005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餐厅</w:t>
            </w:r>
          </w:p>
        </w:tc>
        <w:tc>
          <w:tcPr>
            <w:tcW w:w="707" w:type="dxa"/>
            <w:vAlign w:val="center"/>
          </w:tcPr>
          <w:p w:rsidR="00DB262A" w:rsidRDefault="00183929">
            <w:r>
              <w:t>IV</w:t>
            </w:r>
          </w:p>
        </w:tc>
        <w:tc>
          <w:tcPr>
            <w:tcW w:w="707" w:type="dxa"/>
            <w:vAlign w:val="center"/>
          </w:tcPr>
          <w:p w:rsidR="00DB262A" w:rsidRDefault="00183929">
            <w:r>
              <w:t>侧面</w:t>
            </w:r>
          </w:p>
        </w:tc>
        <w:tc>
          <w:tcPr>
            <w:tcW w:w="1443" w:type="dxa"/>
            <w:vAlign w:val="center"/>
          </w:tcPr>
          <w:p w:rsidR="00DB262A" w:rsidRDefault="00183929">
            <w:r>
              <w:t>37.16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18.6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27</w:t>
            </w:r>
          </w:p>
        </w:tc>
        <w:tc>
          <w:tcPr>
            <w:tcW w:w="990" w:type="dxa"/>
            <w:vAlign w:val="center"/>
          </w:tcPr>
          <w:p w:rsidR="00DB262A" w:rsidRDefault="00183929">
            <w:r>
              <w:t>满足</w:t>
            </w:r>
          </w:p>
        </w:tc>
      </w:tr>
      <w:tr w:rsidR="00DB262A">
        <w:tc>
          <w:tcPr>
            <w:tcW w:w="1075" w:type="dxa"/>
            <w:vMerge/>
            <w:vAlign w:val="center"/>
          </w:tcPr>
          <w:p w:rsidR="00DB262A" w:rsidRDefault="00DB262A"/>
        </w:tc>
        <w:tc>
          <w:tcPr>
            <w:tcW w:w="1075" w:type="dxa"/>
            <w:vAlign w:val="center"/>
          </w:tcPr>
          <w:p w:rsidR="00DB262A" w:rsidRDefault="00183929">
            <w:r>
              <w:t>1003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餐厅</w:t>
            </w:r>
          </w:p>
        </w:tc>
        <w:tc>
          <w:tcPr>
            <w:tcW w:w="707" w:type="dxa"/>
            <w:vAlign w:val="center"/>
          </w:tcPr>
          <w:p w:rsidR="00DB262A" w:rsidRDefault="00183929">
            <w:r>
              <w:t>IV</w:t>
            </w:r>
          </w:p>
        </w:tc>
        <w:tc>
          <w:tcPr>
            <w:tcW w:w="707" w:type="dxa"/>
            <w:vAlign w:val="center"/>
          </w:tcPr>
          <w:p w:rsidR="00DB262A" w:rsidRDefault="00183929">
            <w:r>
              <w:t>侧面</w:t>
            </w:r>
          </w:p>
        </w:tc>
        <w:tc>
          <w:tcPr>
            <w:tcW w:w="1443" w:type="dxa"/>
            <w:vAlign w:val="center"/>
          </w:tcPr>
          <w:p w:rsidR="00DB262A" w:rsidRDefault="00183929">
            <w:r>
              <w:t>54.18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20.1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27</w:t>
            </w:r>
          </w:p>
        </w:tc>
        <w:tc>
          <w:tcPr>
            <w:tcW w:w="990" w:type="dxa"/>
            <w:vAlign w:val="center"/>
          </w:tcPr>
          <w:p w:rsidR="00DB262A" w:rsidRDefault="00183929">
            <w:r>
              <w:t>满足</w:t>
            </w:r>
          </w:p>
        </w:tc>
      </w:tr>
      <w:tr w:rsidR="00DB262A">
        <w:tc>
          <w:tcPr>
            <w:tcW w:w="1075" w:type="dxa"/>
            <w:vAlign w:val="center"/>
          </w:tcPr>
          <w:p w:rsidR="00DB262A" w:rsidRDefault="00183929">
            <w:r>
              <w:t>2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2001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体育馆场地</w:t>
            </w:r>
          </w:p>
        </w:tc>
        <w:tc>
          <w:tcPr>
            <w:tcW w:w="707" w:type="dxa"/>
            <w:vAlign w:val="center"/>
          </w:tcPr>
          <w:p w:rsidR="00DB262A" w:rsidRDefault="00183929">
            <w:r>
              <w:t>IV</w:t>
            </w:r>
          </w:p>
        </w:tc>
        <w:tc>
          <w:tcPr>
            <w:tcW w:w="707" w:type="dxa"/>
            <w:vAlign w:val="center"/>
          </w:tcPr>
          <w:p w:rsidR="00DB262A" w:rsidRDefault="00183929">
            <w:r>
              <w:t>侧面</w:t>
            </w:r>
          </w:p>
        </w:tc>
        <w:tc>
          <w:tcPr>
            <w:tcW w:w="1443" w:type="dxa"/>
            <w:vAlign w:val="center"/>
          </w:tcPr>
          <w:p w:rsidR="00DB262A" w:rsidRDefault="00183929">
            <w:r>
              <w:t>516.51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20.8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27</w:t>
            </w:r>
          </w:p>
        </w:tc>
        <w:tc>
          <w:tcPr>
            <w:tcW w:w="990" w:type="dxa"/>
            <w:vAlign w:val="center"/>
          </w:tcPr>
          <w:p w:rsidR="00DB262A" w:rsidRDefault="00183929">
            <w:r>
              <w:t>满足</w:t>
            </w:r>
          </w:p>
        </w:tc>
      </w:tr>
    </w:tbl>
    <w:p w:rsidR="0007642D" w:rsidRPr="00AC2DC3" w:rsidRDefault="0007642D" w:rsidP="004524AC">
      <w:pPr>
        <w:ind w:left="180" w:right="180"/>
        <w:rPr>
          <w:lang w:val="en-US"/>
        </w:rPr>
      </w:pPr>
      <w:bookmarkStart w:id="39" w:name="房间眩光表"/>
      <w:bookmarkEnd w:id="39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0" w:name="_Toc123313948"/>
      <w:r w:rsidRPr="00AC2DC3">
        <w:rPr>
          <w:rFonts w:ascii="微软雅黑" w:hAnsi="微软雅黑" w:hint="eastAsia"/>
        </w:rPr>
        <w:t>采光均匀度</w:t>
      </w:r>
      <w:bookmarkEnd w:id="40"/>
    </w:p>
    <w:p w:rsidR="00301B3E" w:rsidRPr="00AC2DC3" w:rsidRDefault="00301B3E" w:rsidP="0055044E">
      <w:pPr>
        <w:pStyle w:val="ad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DB262A">
        <w:tc>
          <w:tcPr>
            <w:tcW w:w="1075" w:type="dxa"/>
            <w:shd w:val="clear" w:color="auto" w:fill="E6E6E6"/>
            <w:vAlign w:val="center"/>
          </w:tcPr>
          <w:p w:rsidR="00DB262A" w:rsidRDefault="00183929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262A" w:rsidRDefault="00183929"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DB262A" w:rsidRDefault="00183929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DB262A" w:rsidRDefault="00183929"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262A" w:rsidRDefault="00183929"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262A" w:rsidRDefault="00183929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262A" w:rsidRDefault="00183929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262A" w:rsidRDefault="00183929"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B262A" w:rsidRDefault="00183929">
            <w:r>
              <w:t>结论</w:t>
            </w:r>
          </w:p>
        </w:tc>
      </w:tr>
      <w:tr w:rsidR="00DB262A">
        <w:tc>
          <w:tcPr>
            <w:tcW w:w="1075" w:type="dxa"/>
            <w:vMerge w:val="restart"/>
            <w:vAlign w:val="center"/>
          </w:tcPr>
          <w:p w:rsidR="00DB262A" w:rsidRDefault="00183929">
            <w:r>
              <w:t>1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1001</w:t>
            </w:r>
          </w:p>
        </w:tc>
        <w:tc>
          <w:tcPr>
            <w:tcW w:w="1245" w:type="dxa"/>
            <w:vAlign w:val="center"/>
          </w:tcPr>
          <w:p w:rsidR="00DB262A" w:rsidRDefault="00183929">
            <w:r>
              <w:t>餐厅</w:t>
            </w:r>
          </w:p>
        </w:tc>
        <w:tc>
          <w:tcPr>
            <w:tcW w:w="792" w:type="dxa"/>
            <w:vAlign w:val="center"/>
          </w:tcPr>
          <w:p w:rsidR="00DB262A" w:rsidRDefault="00183929">
            <w:r>
              <w:t>IV</w:t>
            </w:r>
          </w:p>
        </w:tc>
        <w:tc>
          <w:tcPr>
            <w:tcW w:w="848" w:type="dxa"/>
            <w:vAlign w:val="center"/>
          </w:tcPr>
          <w:p w:rsidR="00DB262A" w:rsidRDefault="00183929">
            <w:r>
              <w:t>侧面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6.29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2.32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2.70</w:t>
            </w:r>
          </w:p>
        </w:tc>
        <w:tc>
          <w:tcPr>
            <w:tcW w:w="990" w:type="dxa"/>
            <w:vAlign w:val="center"/>
          </w:tcPr>
          <w:p w:rsidR="00DB262A" w:rsidRDefault="00183929">
            <w:r>
              <w:t>满足</w:t>
            </w:r>
          </w:p>
        </w:tc>
      </w:tr>
      <w:tr w:rsidR="00DB262A">
        <w:tc>
          <w:tcPr>
            <w:tcW w:w="1075" w:type="dxa"/>
            <w:vMerge/>
            <w:vAlign w:val="center"/>
          </w:tcPr>
          <w:p w:rsidR="00DB262A" w:rsidRDefault="00DB262A"/>
        </w:tc>
        <w:tc>
          <w:tcPr>
            <w:tcW w:w="1075" w:type="dxa"/>
            <w:vAlign w:val="center"/>
          </w:tcPr>
          <w:p w:rsidR="00DB262A" w:rsidRDefault="00183929">
            <w:r>
              <w:t>1003</w:t>
            </w:r>
          </w:p>
        </w:tc>
        <w:tc>
          <w:tcPr>
            <w:tcW w:w="1245" w:type="dxa"/>
            <w:vAlign w:val="center"/>
          </w:tcPr>
          <w:p w:rsidR="00DB262A" w:rsidRDefault="00183929">
            <w:r>
              <w:t>餐厅</w:t>
            </w:r>
          </w:p>
        </w:tc>
        <w:tc>
          <w:tcPr>
            <w:tcW w:w="792" w:type="dxa"/>
            <w:vAlign w:val="center"/>
          </w:tcPr>
          <w:p w:rsidR="00DB262A" w:rsidRDefault="00183929">
            <w:r>
              <w:t>IV</w:t>
            </w:r>
          </w:p>
        </w:tc>
        <w:tc>
          <w:tcPr>
            <w:tcW w:w="848" w:type="dxa"/>
            <w:vAlign w:val="center"/>
          </w:tcPr>
          <w:p w:rsidR="00DB262A" w:rsidRDefault="00183929">
            <w:r>
              <w:t>侧面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5.48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3.57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1.54</w:t>
            </w:r>
          </w:p>
        </w:tc>
        <w:tc>
          <w:tcPr>
            <w:tcW w:w="990" w:type="dxa"/>
            <w:vAlign w:val="center"/>
          </w:tcPr>
          <w:p w:rsidR="00DB262A" w:rsidRDefault="00183929">
            <w:r>
              <w:t>满足</w:t>
            </w:r>
          </w:p>
        </w:tc>
      </w:tr>
      <w:tr w:rsidR="00DB262A">
        <w:tc>
          <w:tcPr>
            <w:tcW w:w="1075" w:type="dxa"/>
            <w:vMerge/>
            <w:vAlign w:val="center"/>
          </w:tcPr>
          <w:p w:rsidR="00DB262A" w:rsidRDefault="00DB262A"/>
        </w:tc>
        <w:tc>
          <w:tcPr>
            <w:tcW w:w="1075" w:type="dxa"/>
            <w:vAlign w:val="center"/>
          </w:tcPr>
          <w:p w:rsidR="00DB262A" w:rsidRDefault="00183929">
            <w:r>
              <w:t>1005</w:t>
            </w:r>
          </w:p>
        </w:tc>
        <w:tc>
          <w:tcPr>
            <w:tcW w:w="1245" w:type="dxa"/>
            <w:vAlign w:val="center"/>
          </w:tcPr>
          <w:p w:rsidR="00DB262A" w:rsidRDefault="00183929">
            <w:r>
              <w:t>餐厅</w:t>
            </w:r>
          </w:p>
        </w:tc>
        <w:tc>
          <w:tcPr>
            <w:tcW w:w="792" w:type="dxa"/>
            <w:vAlign w:val="center"/>
          </w:tcPr>
          <w:p w:rsidR="00DB262A" w:rsidRDefault="00183929">
            <w:r>
              <w:t>IV</w:t>
            </w:r>
          </w:p>
        </w:tc>
        <w:tc>
          <w:tcPr>
            <w:tcW w:w="848" w:type="dxa"/>
            <w:vAlign w:val="center"/>
          </w:tcPr>
          <w:p w:rsidR="00DB262A" w:rsidRDefault="00183929">
            <w:r>
              <w:t>侧面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6.09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2.64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2.30</w:t>
            </w:r>
          </w:p>
        </w:tc>
        <w:tc>
          <w:tcPr>
            <w:tcW w:w="990" w:type="dxa"/>
            <w:vAlign w:val="center"/>
          </w:tcPr>
          <w:p w:rsidR="00DB262A" w:rsidRDefault="00183929">
            <w:r>
              <w:t>满足</w:t>
            </w:r>
          </w:p>
        </w:tc>
      </w:tr>
      <w:tr w:rsidR="00DB262A">
        <w:tc>
          <w:tcPr>
            <w:tcW w:w="1075" w:type="dxa"/>
            <w:vMerge/>
            <w:vAlign w:val="center"/>
          </w:tcPr>
          <w:p w:rsidR="00DB262A" w:rsidRDefault="00DB262A"/>
        </w:tc>
        <w:tc>
          <w:tcPr>
            <w:tcW w:w="1075" w:type="dxa"/>
            <w:vAlign w:val="center"/>
          </w:tcPr>
          <w:p w:rsidR="00DB262A" w:rsidRDefault="00183929">
            <w:r>
              <w:t>1009</w:t>
            </w:r>
          </w:p>
        </w:tc>
        <w:tc>
          <w:tcPr>
            <w:tcW w:w="1245" w:type="dxa"/>
            <w:vAlign w:val="center"/>
          </w:tcPr>
          <w:p w:rsidR="00DB262A" w:rsidRDefault="00183929">
            <w:r>
              <w:t>餐厅</w:t>
            </w:r>
          </w:p>
        </w:tc>
        <w:tc>
          <w:tcPr>
            <w:tcW w:w="792" w:type="dxa"/>
            <w:vAlign w:val="center"/>
          </w:tcPr>
          <w:p w:rsidR="00DB262A" w:rsidRDefault="00183929">
            <w:r>
              <w:t>IV</w:t>
            </w:r>
          </w:p>
        </w:tc>
        <w:tc>
          <w:tcPr>
            <w:tcW w:w="848" w:type="dxa"/>
            <w:vAlign w:val="center"/>
          </w:tcPr>
          <w:p w:rsidR="00DB262A" w:rsidRDefault="00183929">
            <w:r>
              <w:t>侧面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7.38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3.84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1.92</w:t>
            </w:r>
          </w:p>
        </w:tc>
        <w:tc>
          <w:tcPr>
            <w:tcW w:w="990" w:type="dxa"/>
            <w:vAlign w:val="center"/>
          </w:tcPr>
          <w:p w:rsidR="00DB262A" w:rsidRDefault="00183929">
            <w:r>
              <w:t>满足</w:t>
            </w:r>
          </w:p>
        </w:tc>
      </w:tr>
      <w:tr w:rsidR="00DB262A">
        <w:tc>
          <w:tcPr>
            <w:tcW w:w="1075" w:type="dxa"/>
            <w:vAlign w:val="center"/>
          </w:tcPr>
          <w:p w:rsidR="00DB262A" w:rsidRDefault="00183929">
            <w:r>
              <w:t>2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2001</w:t>
            </w:r>
          </w:p>
        </w:tc>
        <w:tc>
          <w:tcPr>
            <w:tcW w:w="1245" w:type="dxa"/>
            <w:vAlign w:val="center"/>
          </w:tcPr>
          <w:p w:rsidR="00DB262A" w:rsidRDefault="00183929">
            <w:r>
              <w:t>体育馆场地</w:t>
            </w:r>
          </w:p>
        </w:tc>
        <w:tc>
          <w:tcPr>
            <w:tcW w:w="792" w:type="dxa"/>
            <w:vAlign w:val="center"/>
          </w:tcPr>
          <w:p w:rsidR="00DB262A" w:rsidRDefault="00183929">
            <w:r>
              <w:t>IV</w:t>
            </w:r>
          </w:p>
        </w:tc>
        <w:tc>
          <w:tcPr>
            <w:tcW w:w="848" w:type="dxa"/>
            <w:vAlign w:val="center"/>
          </w:tcPr>
          <w:p w:rsidR="00DB262A" w:rsidRDefault="00183929">
            <w:r>
              <w:t>侧面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5.52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2.24</w:t>
            </w:r>
          </w:p>
        </w:tc>
        <w:tc>
          <w:tcPr>
            <w:tcW w:w="1075" w:type="dxa"/>
            <w:vAlign w:val="center"/>
          </w:tcPr>
          <w:p w:rsidR="00DB262A" w:rsidRDefault="00183929">
            <w:r>
              <w:t>2.47</w:t>
            </w:r>
          </w:p>
        </w:tc>
        <w:tc>
          <w:tcPr>
            <w:tcW w:w="990" w:type="dxa"/>
            <w:vAlign w:val="center"/>
          </w:tcPr>
          <w:p w:rsidR="00DB262A" w:rsidRDefault="00183929">
            <w:r>
              <w:t>满足</w:t>
            </w:r>
          </w:p>
        </w:tc>
      </w:tr>
    </w:tbl>
    <w:p w:rsidR="00301B3E" w:rsidRPr="00AC2DC3" w:rsidRDefault="00301B3E" w:rsidP="004524AC">
      <w:pPr>
        <w:ind w:left="180" w:right="180"/>
        <w:rPr>
          <w:lang w:val="en-US"/>
        </w:rPr>
      </w:pPr>
      <w:bookmarkStart w:id="41" w:name="光均匀度表"/>
      <w:bookmarkEnd w:id="41"/>
    </w:p>
    <w:p w:rsidR="007859D0" w:rsidRPr="00AC2DC3" w:rsidRDefault="00E55FF6" w:rsidP="004F57F1">
      <w:pPr>
        <w:pStyle w:val="1"/>
        <w:rPr>
          <w:rFonts w:ascii="微软雅黑" w:hAnsi="微软雅黑"/>
        </w:rPr>
      </w:pPr>
      <w:bookmarkStart w:id="42" w:name="_Toc123313949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42"/>
    </w:p>
    <w:p w:rsidR="00D63FD0" w:rsidRPr="00AC2DC3" w:rsidRDefault="00D63FD0" w:rsidP="0055044E">
      <w:pPr>
        <w:pStyle w:val="ad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43" w:name="眩光评价房间数"/>
      <w:r w:rsidR="00196F57" w:rsidRPr="00AC2DC3">
        <w:rPr>
          <w:u w:val="single"/>
        </w:rPr>
        <w:t>5</w:t>
      </w:r>
      <w:bookmarkEnd w:id="43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44" w:name="眩光不达标房间数"/>
      <w:r w:rsidR="00196F57" w:rsidRPr="00AC2DC3">
        <w:rPr>
          <w:u w:val="single"/>
        </w:rPr>
        <w:t>0</w:t>
      </w:r>
      <w:bookmarkEnd w:id="44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45" w:name="光均匀度不达标房间数"/>
      <w:r w:rsidRPr="00AC2DC3">
        <w:rPr>
          <w:u w:val="single"/>
        </w:rPr>
        <w:t>0</w:t>
      </w:r>
      <w:bookmarkEnd w:id="45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:rsidR="00817D75" w:rsidRPr="008E13D2" w:rsidRDefault="00391613" w:rsidP="008E13D2">
      <w:pPr>
        <w:pStyle w:val="ad"/>
        <w:ind w:firstLineChars="200" w:firstLine="420"/>
        <w:rPr>
          <w:sz w:val="28"/>
          <w:szCs w:val="28"/>
          <w:lang w:val="en-US"/>
        </w:rPr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46" w:name="眩光评价得分"/>
      <w:r w:rsidR="00196F57" w:rsidRPr="00AC2DC3">
        <w:rPr>
          <w:u w:val="single"/>
        </w:rPr>
        <w:t>3</w:t>
      </w:r>
      <w:bookmarkEnd w:id="46"/>
      <w:r w:rsidR="007C190A" w:rsidRPr="00AC2DC3">
        <w:rPr>
          <w:u w:val="single"/>
        </w:rPr>
        <w:t xml:space="preserve"> </w:t>
      </w:r>
      <w:r w:rsidR="00196F57" w:rsidRPr="00AC2DC3">
        <w:t>分。</w:t>
      </w:r>
      <w:bookmarkStart w:id="47" w:name="总平面图"/>
      <w:bookmarkEnd w:id="47"/>
    </w:p>
    <w:sectPr w:rsidR="00817D75" w:rsidRPr="008E13D2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FA" w:rsidRDefault="00A772FA" w:rsidP="00203A7D">
      <w:pPr>
        <w:ind w:left="180" w:right="180" w:firstLine="420"/>
      </w:pPr>
      <w:r>
        <w:separator/>
      </w:r>
    </w:p>
  </w:endnote>
  <w:endnote w:type="continuationSeparator" w:id="0">
    <w:p w:rsidR="00A772FA" w:rsidRDefault="00A772FA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AC" w:rsidRDefault="004524AC">
    <w:pPr>
      <w:pStyle w:val="a5"/>
      <w:ind w:left="180" w:right="1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EF" w:rsidRDefault="00A750D6" w:rsidP="00DE5AEF">
    <w:pPr>
      <w:pStyle w:val="a5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6"/>
          <w:u w:val="none"/>
        </w:rPr>
        <w:t>http://www.gbsware.cn/</w:t>
      </w:r>
    </w:hyperlink>
    <w:r w:rsidR="00DE5AEF">
      <w:tab/>
    </w:r>
    <w:r>
      <w:fldChar w:fldCharType="begin"/>
    </w:r>
    <w:r w:rsidR="00DE5AEF">
      <w:instrText xml:space="preserve"> PAGE  \* Arabic  \* MERGEFORMAT </w:instrText>
    </w:r>
    <w:r>
      <w:fldChar w:fldCharType="separate"/>
    </w:r>
    <w:r w:rsidR="00811489">
      <w:rPr>
        <w:noProof/>
      </w:rPr>
      <w:t>4</w:t>
    </w:r>
    <w:r>
      <w:fldChar w:fldCharType="end"/>
    </w:r>
    <w:r w:rsidR="00DE5AEF" w:rsidRPr="00FE6907">
      <w:rPr>
        <w:b/>
      </w:rPr>
      <w:t>/</w:t>
    </w:r>
    <w:fldSimple w:instr=" NUMPAGES  \* Arabic  \* MERGEFORMAT ">
      <w:r w:rsidR="00811489">
        <w:rPr>
          <w:noProof/>
        </w:rPr>
        <w:t>7</w:t>
      </w:r>
    </w:fldSimple>
    <w:r w:rsidR="00DE5AEF"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AC" w:rsidRDefault="004524AC">
    <w:pPr>
      <w:pStyle w:val="a5"/>
      <w:ind w:left="180" w:right="1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FA" w:rsidRDefault="00A772FA" w:rsidP="00203A7D">
      <w:pPr>
        <w:ind w:left="180" w:right="180" w:firstLine="420"/>
      </w:pPr>
      <w:r>
        <w:separator/>
      </w:r>
    </w:p>
  </w:footnote>
  <w:footnote w:type="continuationSeparator" w:id="0">
    <w:p w:rsidR="00A772FA" w:rsidRDefault="00A772FA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AC" w:rsidRDefault="004524AC">
    <w:pPr>
      <w:pStyle w:val="a4"/>
      <w:ind w:left="180" w:right="1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EF" w:rsidRPr="00062C97" w:rsidRDefault="00A750D6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 w:rsidRPr="00A750D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" o:spid="_x0000_i1031" type="#_x0000_t75" style="width:76.75pt;height:20.4pt;visibility:visible;mso-wrap-style:square">
          <v:imagedata r:id="rId1" o:title=""/>
        </v:shape>
      </w:pict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  <w:num w:numId="44">
    <w:abstractNumId w:val="11"/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attachedTemplate r:id="rId1"/>
  <w:stylePaneFormatFilter w:val="3F01"/>
  <w:doNotTrackMove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929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83929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090F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87963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1489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E13D2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750D6"/>
    <w:rsid w:val="00A772FA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47E44"/>
    <w:rsid w:val="00B55B22"/>
    <w:rsid w:val="00B60841"/>
    <w:rsid w:val="00B6166B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075F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38D"/>
    <w:rsid w:val="00D85A78"/>
    <w:rsid w:val="00DA28E0"/>
    <w:rsid w:val="00DA543D"/>
    <w:rsid w:val="00DB1F7E"/>
    <w:rsid w:val="00DB262A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46F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3F19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rFonts w:ascii="Times New Roman" w:hAnsi="Times New Roman"/>
      <w:sz w:val="18"/>
      <w:szCs w:val="18"/>
      <w:lang/>
    </w:rPr>
  </w:style>
  <w:style w:type="paragraph" w:styleId="a5">
    <w:name w:val="footer"/>
    <w:basedOn w:val="a"/>
    <w:link w:val="Char0"/>
    <w:rsid w:val="00D40158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Body Text Indent"/>
    <w:basedOn w:val="a"/>
    <w:link w:val="Char1"/>
    <w:rsid w:val="0042654D"/>
    <w:pPr>
      <w:widowControl w:val="0"/>
      <w:spacing w:line="400" w:lineRule="exact"/>
      <w:ind w:firstLine="480"/>
      <w:jc w:val="both"/>
    </w:pPr>
    <w:rPr>
      <w:rFonts w:ascii="宋体" w:eastAsia="宋体" w:hAnsi="宋体"/>
      <w:kern w:val="2"/>
      <w:sz w:val="24"/>
      <w:szCs w:val="24"/>
      <w:lang w:val="en-US"/>
    </w:rPr>
  </w:style>
  <w:style w:type="character" w:customStyle="1" w:styleId="Char1">
    <w:name w:val="正文文本缩进 Char"/>
    <w:link w:val="a9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a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Char0">
    <w:name w:val="页脚 Char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b">
    <w:name w:val="FollowedHyperlink"/>
    <w:rsid w:val="004D4831"/>
    <w:rPr>
      <w:color w:val="800080"/>
      <w:u w:val="single"/>
    </w:rPr>
  </w:style>
  <w:style w:type="character" w:styleId="ac">
    <w:name w:val="page number"/>
    <w:basedOn w:val="a1"/>
    <w:rsid w:val="00294F67"/>
  </w:style>
  <w:style w:type="paragraph" w:styleId="ad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e">
    <w:name w:val="Subtle Emphasis"/>
    <w:uiPriority w:val="19"/>
    <w:qFormat/>
    <w:rsid w:val="005544E9"/>
    <w:rPr>
      <w:i/>
      <w:iCs/>
      <w:color w:val="404040"/>
    </w:rPr>
  </w:style>
  <w:style w:type="character" w:customStyle="1" w:styleId="2Char">
    <w:name w:val="标题 2 Char"/>
    <w:link w:val="2"/>
    <w:rsid w:val="006D1684"/>
    <w:rPr>
      <w:rFonts w:ascii="宋体" w:eastAsia="微软雅黑"/>
      <w:b/>
      <w:bCs/>
      <w:iCs/>
      <w:color w:val="000000"/>
      <w:sz w:val="24"/>
      <w:szCs w:val="24"/>
      <w:lang w:bidi="ar-SA"/>
    </w:rPr>
  </w:style>
  <w:style w:type="character" w:customStyle="1" w:styleId="Char">
    <w:name w:val="页眉 Char"/>
    <w:link w:val="a4"/>
    <w:uiPriority w:val="99"/>
    <w:rsid w:val="00DA28E0"/>
    <w:rPr>
      <w:rFonts w:eastAsia="微软雅黑"/>
      <w:sz w:val="18"/>
      <w:szCs w:val="18"/>
      <w:lang w:val="en-GB"/>
    </w:rPr>
  </w:style>
  <w:style w:type="paragraph" w:styleId="af">
    <w:name w:val="Balloon Text"/>
    <w:basedOn w:val="a"/>
    <w:link w:val="Char2"/>
    <w:rsid w:val="00CE075F"/>
    <w:rPr>
      <w:sz w:val="18"/>
      <w:szCs w:val="18"/>
      <w:lang/>
    </w:rPr>
  </w:style>
  <w:style w:type="character" w:customStyle="1" w:styleId="Char2">
    <w:name w:val="批注框文本 Char"/>
    <w:link w:val="af"/>
    <w:rsid w:val="00CE075F"/>
    <w:rPr>
      <w:rFonts w:ascii="微软雅黑" w:eastAsia="微软雅黑" w:hAnsi="微软雅黑"/>
      <w:sz w:val="18"/>
      <w:szCs w:val="18"/>
      <w:lang w:val="en-GB"/>
    </w:rPr>
  </w:style>
  <w:style w:type="character" w:customStyle="1" w:styleId="Char10">
    <w:name w:val="页眉 Char1"/>
    <w:rsid w:val="008E13D2"/>
    <w:rPr>
      <w:rFonts w:ascii="Times New Roman" w:eastAsia="宋体" w:hAnsi="Times New Roman"/>
      <w:kern w:val="2"/>
      <w:sz w:val="18"/>
      <w:szCs w:val="18"/>
    </w:rPr>
  </w:style>
  <w:style w:type="character" w:customStyle="1" w:styleId="Char11">
    <w:name w:val="页脚 Char1"/>
    <w:uiPriority w:val="99"/>
    <w:rsid w:val="008E13D2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D4AB-B7A2-4470-BF3D-3A22C08A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0</TotalTime>
  <Pages>1</Pages>
  <Words>721</Words>
  <Characters>4115</Characters>
  <Application>Microsoft Office Word</Application>
  <DocSecurity>0</DocSecurity>
  <Lines>34</Lines>
  <Paragraphs>9</Paragraphs>
  <ScaleCrop>false</ScaleCrop>
  <Company>gbsware</Company>
  <LinksUpToDate>false</LinksUpToDate>
  <CharactersWithSpaces>4827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creator>Administrator</dc:creator>
  <cp:lastModifiedBy>Administrator</cp:lastModifiedBy>
  <cp:revision>4</cp:revision>
  <cp:lastPrinted>1900-12-31T16:00:00Z</cp:lastPrinted>
  <dcterms:created xsi:type="dcterms:W3CDTF">2023-08-27T07:32:00Z</dcterms:created>
  <dcterms:modified xsi:type="dcterms:W3CDTF">2023-08-31T07:57:00Z</dcterms:modified>
</cp:coreProperties>
</file>