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 w:val="0"/>
        <w:numPr>
          <w:numId w:val="0"/>
        </w:numPr>
        <w:ind w:leftChars="0"/>
        <w:jc w:val="both"/>
        <w:rPr>
          <w:color w:val="000000"/>
          <w:kern w:val="2"/>
          <w:szCs w:val="24"/>
        </w:rPr>
      </w:pPr>
      <w:bookmarkStart w:id="0" w:name="_Toc155383590"/>
      <w:r>
        <w:rPr>
          <w:color w:val="000000"/>
          <w:kern w:val="2"/>
          <w:szCs w:val="24"/>
        </w:rPr>
        <w:t>窗墙比</w:t>
      </w:r>
      <w:bookmarkEnd w:id="0"/>
      <w:bookmarkStart w:id="1" w:name="_GoBack"/>
      <w:bookmarkEnd w:id="1"/>
    </w:p>
    <w:tbl>
      <w:tblPr>
        <w:tblStyle w:val="4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96"/>
        <w:gridCol w:w="1585"/>
        <w:gridCol w:w="1585"/>
        <w:gridCol w:w="1132"/>
        <w:gridCol w:w="1019"/>
        <w:gridCol w:w="15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tcW w:w="1296" w:type="dxa"/>
            <w:shd w:val="clear" w:color="auto" w:fill="E6E6E6"/>
            <w:vAlign w:val="center"/>
          </w:tcPr>
          <w:p>
            <w:pPr>
              <w:jc w:val="center"/>
            </w:pPr>
            <w:r>
              <w:t>立面</w:t>
            </w:r>
          </w:p>
        </w:tc>
        <w:tc>
          <w:tcPr>
            <w:tcW w:w="1584" w:type="dxa"/>
            <w:shd w:val="clear" w:color="auto" w:fill="E6E6E6"/>
            <w:vAlign w:val="center"/>
          </w:tcPr>
          <w:p>
            <w:pPr>
              <w:jc w:val="center"/>
            </w:pPr>
            <w:r>
              <w:t>窗面积(㎡)</w:t>
            </w:r>
          </w:p>
        </w:tc>
        <w:tc>
          <w:tcPr>
            <w:tcW w:w="1584" w:type="dxa"/>
            <w:shd w:val="clear" w:color="auto" w:fill="E6E6E6"/>
            <w:vAlign w:val="center"/>
          </w:tcPr>
          <w:p>
            <w:pPr>
              <w:jc w:val="center"/>
            </w:pPr>
            <w:r>
              <w:t>墙面积(㎡)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窗墙比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限值</w:t>
            </w:r>
          </w:p>
        </w:tc>
        <w:tc>
          <w:tcPr>
            <w:tcW w:w="1584" w:type="dxa"/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r>
              <w:t>南向</w:t>
            </w:r>
          </w:p>
        </w:tc>
        <w:tc>
          <w:tcPr>
            <w:tcW w:w="1296" w:type="dxa"/>
            <w:vAlign w:val="center"/>
          </w:tcPr>
          <w:p>
            <w:r>
              <w:t>南-默认立面</w:t>
            </w:r>
          </w:p>
        </w:tc>
        <w:tc>
          <w:tcPr>
            <w:tcW w:w="1584" w:type="dxa"/>
            <w:vAlign w:val="center"/>
          </w:tcPr>
          <w:p>
            <w:r>
              <w:t>102.42</w:t>
            </w:r>
          </w:p>
        </w:tc>
        <w:tc>
          <w:tcPr>
            <w:tcW w:w="1584" w:type="dxa"/>
            <w:vAlign w:val="center"/>
          </w:tcPr>
          <w:p>
            <w:r>
              <w:t>253.80</w:t>
            </w:r>
          </w:p>
        </w:tc>
        <w:tc>
          <w:tcPr>
            <w:tcW w:w="1131" w:type="dxa"/>
            <w:vAlign w:val="center"/>
          </w:tcPr>
          <w:p>
            <w:r>
              <w:t>0.40</w:t>
            </w:r>
          </w:p>
        </w:tc>
        <w:tc>
          <w:tcPr>
            <w:tcW w:w="1018" w:type="dxa"/>
            <w:vAlign w:val="center"/>
          </w:tcPr>
          <w:p>
            <w:r>
              <w:t>0.70</w:t>
            </w:r>
          </w:p>
        </w:tc>
        <w:tc>
          <w:tcPr>
            <w:tcW w:w="1584" w:type="dxa"/>
            <w:vAlign w:val="center"/>
          </w:tcPr>
          <w:p>
            <w:r>
              <w:t>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r>
              <w:t>北向</w:t>
            </w:r>
          </w:p>
        </w:tc>
        <w:tc>
          <w:tcPr>
            <w:tcW w:w="1296" w:type="dxa"/>
            <w:vAlign w:val="center"/>
          </w:tcPr>
          <w:p>
            <w:r>
              <w:t>北-默认立面</w:t>
            </w:r>
          </w:p>
        </w:tc>
        <w:tc>
          <w:tcPr>
            <w:tcW w:w="1584" w:type="dxa"/>
            <w:vAlign w:val="center"/>
          </w:tcPr>
          <w:p>
            <w:r>
              <w:t>123.23</w:t>
            </w:r>
          </w:p>
        </w:tc>
        <w:tc>
          <w:tcPr>
            <w:tcW w:w="1584" w:type="dxa"/>
            <w:vAlign w:val="center"/>
          </w:tcPr>
          <w:p>
            <w:r>
              <w:t>320.39</w:t>
            </w:r>
          </w:p>
        </w:tc>
        <w:tc>
          <w:tcPr>
            <w:tcW w:w="1131" w:type="dxa"/>
            <w:vAlign w:val="center"/>
          </w:tcPr>
          <w:p>
            <w:r>
              <w:t>0.38</w:t>
            </w:r>
          </w:p>
        </w:tc>
        <w:tc>
          <w:tcPr>
            <w:tcW w:w="1018" w:type="dxa"/>
            <w:vAlign w:val="center"/>
          </w:tcPr>
          <w:p>
            <w:r>
              <w:t>0.70</w:t>
            </w:r>
          </w:p>
        </w:tc>
        <w:tc>
          <w:tcPr>
            <w:tcW w:w="1584" w:type="dxa"/>
            <w:vAlign w:val="center"/>
          </w:tcPr>
          <w:p>
            <w:r>
              <w:t>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r>
              <w:t>东向</w:t>
            </w:r>
          </w:p>
        </w:tc>
        <w:tc>
          <w:tcPr>
            <w:tcW w:w="1296" w:type="dxa"/>
            <w:vAlign w:val="center"/>
          </w:tcPr>
          <w:p>
            <w:r>
              <w:t>东-默认立面</w:t>
            </w:r>
          </w:p>
        </w:tc>
        <w:tc>
          <w:tcPr>
            <w:tcW w:w="1584" w:type="dxa"/>
            <w:vAlign w:val="center"/>
          </w:tcPr>
          <w:p>
            <w:r>
              <w:t>15.33</w:t>
            </w:r>
          </w:p>
        </w:tc>
        <w:tc>
          <w:tcPr>
            <w:tcW w:w="1584" w:type="dxa"/>
            <w:vAlign w:val="center"/>
          </w:tcPr>
          <w:p>
            <w:r>
              <w:t>158.22</w:t>
            </w:r>
          </w:p>
        </w:tc>
        <w:tc>
          <w:tcPr>
            <w:tcW w:w="1131" w:type="dxa"/>
            <w:vAlign w:val="center"/>
          </w:tcPr>
          <w:p>
            <w:r>
              <w:t>0.10</w:t>
            </w:r>
          </w:p>
        </w:tc>
        <w:tc>
          <w:tcPr>
            <w:tcW w:w="1018" w:type="dxa"/>
            <w:vAlign w:val="center"/>
          </w:tcPr>
          <w:p>
            <w:r>
              <w:t>0.70</w:t>
            </w:r>
          </w:p>
        </w:tc>
        <w:tc>
          <w:tcPr>
            <w:tcW w:w="1584" w:type="dxa"/>
            <w:vAlign w:val="center"/>
          </w:tcPr>
          <w:p>
            <w:r>
              <w:t>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r>
              <w:t>西向</w:t>
            </w:r>
          </w:p>
        </w:tc>
        <w:tc>
          <w:tcPr>
            <w:tcW w:w="1296" w:type="dxa"/>
            <w:vAlign w:val="center"/>
          </w:tcPr>
          <w:p>
            <w:r>
              <w:t>西-默认立面</w:t>
            </w:r>
          </w:p>
        </w:tc>
        <w:tc>
          <w:tcPr>
            <w:tcW w:w="1584" w:type="dxa"/>
            <w:vAlign w:val="center"/>
          </w:tcPr>
          <w:p>
            <w:r>
              <w:t>39.54</w:t>
            </w:r>
          </w:p>
        </w:tc>
        <w:tc>
          <w:tcPr>
            <w:tcW w:w="1584" w:type="dxa"/>
            <w:vAlign w:val="center"/>
          </w:tcPr>
          <w:p>
            <w:r>
              <w:t>158.22</w:t>
            </w:r>
          </w:p>
        </w:tc>
        <w:tc>
          <w:tcPr>
            <w:tcW w:w="1131" w:type="dxa"/>
            <w:vAlign w:val="center"/>
          </w:tcPr>
          <w:p>
            <w:r>
              <w:t>0.25</w:t>
            </w:r>
          </w:p>
        </w:tc>
        <w:tc>
          <w:tcPr>
            <w:tcW w:w="1018" w:type="dxa"/>
            <w:vAlign w:val="center"/>
          </w:tcPr>
          <w:p>
            <w:r>
              <w:t>0.70</w:t>
            </w:r>
          </w:p>
        </w:tc>
        <w:tc>
          <w:tcPr>
            <w:tcW w:w="1584" w:type="dxa"/>
            <w:vAlign w:val="center"/>
          </w:tcPr>
          <w:p>
            <w:r>
              <w:t>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7" w:type="dxa"/>
            <w:gridSpan w:val="2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6901" w:type="dxa"/>
            <w:gridSpan w:val="5"/>
            <w:vAlign w:val="center"/>
          </w:tcPr>
          <w:p>
            <w:r>
              <w:t>《公共建筑节能设计标准》(GB50189-2015)第3.2.2条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7" w:type="dxa"/>
            <w:gridSpan w:val="2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6901" w:type="dxa"/>
            <w:gridSpan w:val="5"/>
            <w:vAlign w:val="center"/>
          </w:tcPr>
          <w:p>
            <w:r>
              <w:t>寒冷地区甲类公共建筑各单一立面窗墙面积比 (包括透光幕墙 )均不宜大于0.70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7" w:type="dxa"/>
            <w:gridSpan w:val="2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6901" w:type="dxa"/>
            <w:gridSpan w:val="5"/>
            <w:vAlign w:val="center"/>
          </w:tcPr>
          <w:p>
            <w:r>
              <w:t>适宜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2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2OGRhYTI1YjQ5NjZlMmE2MDkzNWUyZmE2NjljODcifQ=="/>
  </w:docVars>
  <w:rsids>
    <w:rsidRoot w:val="00000000"/>
    <w:rsid w:val="47DB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3"/>
    <w:next w:val="3"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2024-03-11T10:21:53Z</dcterms:created>
  <dc:creator>申博</dc:creator>
  <cp:lastModifiedBy>.</cp:lastModifiedBy>
  <dcterms:modified xsi:type="dcterms:W3CDTF">2024-03-11T10:22:14Z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CAB29D0063034CDB92D82BCA34769AA4_12</vt:lpwstr>
  </property>
</Properties>
</file>