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乡村振兴背景下关中地区低碳乡村公共建筑设计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围护结构提高14%或负荷降低12%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115.0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67.0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总得分：Q=（Q0+Q1+Q2+Q3+Q4+Q5+QA）/10=86.0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81.0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