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乡村振兴背景下关中地区低碳乡村公共建筑设计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项目名称：乡村振兴背景下关中地区低碳乡村公共建筑设计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围护结构提高14%或负荷降低12%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