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分析报告书</w:t>
      </w:r>
    </w:p>
    <w:p>
      <w:pPr>
        <w:spacing w:before="312" w:beforeLines="100" w:line="180" w:lineRule="atLeast"/>
        <w:rPr>
          <w:rFonts w:ascii="宋体" w:hAnsi="宋体"/>
          <w:bCs/>
          <w:sz w:val="44"/>
          <w:szCs w:val="44"/>
        </w:rPr>
      </w:pPr>
    </w:p>
    <w:p>
      <w:pPr>
        <w:spacing w:line="180" w:lineRule="exact"/>
        <w:jc w:val="center"/>
        <w:rPr>
          <w:rFonts w:ascii="宋体" w:hAnsi="宋体"/>
          <w:b/>
          <w:bCs/>
          <w:szCs w:val="21"/>
        </w:rPr>
      </w:pPr>
    </w:p>
    <w:p>
      <w:pPr>
        <w:spacing w:line="180" w:lineRule="exact"/>
        <w:jc w:val="center"/>
        <w:rPr>
          <w:rFonts w:ascii="宋体" w:hAnsi="宋体"/>
          <w:b/>
          <w:bCs/>
          <w:szCs w:val="21"/>
        </w:rPr>
      </w:pPr>
    </w:p>
    <w:p>
      <w:pPr>
        <w:rPr>
          <w:rFonts w:ascii="宋体" w:hAnsi="宋体"/>
          <w:sz w:val="18"/>
          <w:szCs w:val="20"/>
        </w:rPr>
      </w:pPr>
    </w:p>
    <w:p>
      <w:pPr>
        <w:rPr>
          <w:rFonts w:ascii="宋体" w:hAnsi="宋体"/>
          <w:sz w:val="18"/>
          <w:szCs w:val="20"/>
        </w:rPr>
      </w:pPr>
    </w:p>
    <w:p>
      <w:pPr>
        <w:jc w:val="center"/>
        <w:rPr>
          <w:rFonts w:ascii="宋体" w:hAnsi="宋体"/>
        </w:rPr>
      </w:pPr>
      <w:bookmarkStart w:id="0" w:name="二维码"/>
    </w:p>
    <w:p>
      <w:pPr>
        <w:jc w:val="center"/>
        <w:rPr>
          <w:rFonts w:ascii="宋体" w:hAnsi="宋体"/>
        </w:rPr>
      </w:pPr>
    </w:p>
    <w:bookmarkEnd w:id="0"/>
    <w:p>
      <w:pPr>
        <w:jc w:val="center"/>
        <w:rPr>
          <w:rFonts w:ascii="宋体" w:hAnsi="宋体"/>
          <w:b/>
          <w:bCs/>
          <w:sz w:val="30"/>
          <w:szCs w:val="32"/>
          <w:lang w:val="en-GB"/>
        </w:rPr>
      </w:pPr>
    </w:p>
    <w:p>
      <w:pPr>
        <w:jc w:val="center"/>
        <w:rPr>
          <w:rFonts w:ascii="宋体" w:hAnsi="宋体"/>
          <w:b/>
          <w:bCs/>
          <w:sz w:val="30"/>
          <w:szCs w:val="32"/>
          <w:lang w:val="en-GB"/>
        </w:rPr>
      </w:pPr>
    </w:p>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1"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rPr>
          <w:rFonts w:asciiTheme="minorHAnsi" w:hAnsiTheme="minorHAnsi" w:eastAsiaTheme="minorEastAsia"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"_Toc152701664" </w:instrText>
      </w:r>
      <w:r>
        <w:fldChar w:fldCharType="separate"/>
      </w:r>
      <w:r>
        <w:rPr>
          <w:rStyle w:val="19"/>
        </w:rPr>
        <w:t>1.项目概况</w:t>
      </w:r>
      <w:r>
        <w:tab/>
      </w:r>
      <w:r>
        <w:fldChar w:fldCharType="begin"/>
      </w:r>
      <w:r>
        <w:instrText xml:space="preserve"> PAGEREF _Toc152701664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"_Toc152701665" </w:instrText>
      </w:r>
      <w:r>
        <w:fldChar w:fldCharType="separate"/>
      </w:r>
      <w:r>
        <w:rPr>
          <w:rStyle w:val="19"/>
        </w:rPr>
        <w:t>2.评价标准</w:t>
      </w:r>
      <w:r>
        <w:tab/>
      </w:r>
      <w:r>
        <w:fldChar w:fldCharType="begin"/>
      </w:r>
      <w:r>
        <w:instrText xml:space="preserve"> PAGEREF _Toc152701665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"_Toc152701666" </w:instrText>
      </w:r>
      <w:r>
        <w:fldChar w:fldCharType="separate"/>
      </w:r>
      <w:r>
        <w:rPr>
          <w:rStyle w:val="19"/>
        </w:rPr>
        <w:t>2.1评价依据</w:t>
      </w:r>
      <w:r>
        <w:tab/>
      </w:r>
      <w:r>
        <w:fldChar w:fldCharType="begin"/>
      </w:r>
      <w:r>
        <w:instrText xml:space="preserve"> PAGEREF _Toc152701666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"_Toc152701667" </w:instrText>
      </w:r>
      <w:r>
        <w:fldChar w:fldCharType="separate"/>
      </w:r>
      <w:r>
        <w:rPr>
          <w:rStyle w:val="19"/>
        </w:rPr>
        <w:t>2.2标准要求</w:t>
      </w:r>
      <w:r>
        <w:tab/>
      </w:r>
      <w:r>
        <w:fldChar w:fldCharType="begin"/>
      </w:r>
      <w:r>
        <w:instrText xml:space="preserve"> PAGEREF _Toc152701667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"_Toc152701668" </w:instrText>
      </w:r>
      <w:r>
        <w:fldChar w:fldCharType="separate"/>
      </w:r>
      <w:r>
        <w:rPr>
          <w:rStyle w:val="19"/>
        </w:rPr>
        <w:t>3.模拟方法</w:t>
      </w:r>
      <w:r>
        <w:tab/>
      </w:r>
      <w:r>
        <w:fldChar w:fldCharType="begin"/>
      </w:r>
      <w:r>
        <w:instrText xml:space="preserve"> PAGEREF _Toc152701668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"_Toc152701669" </w:instrText>
      </w:r>
      <w:r>
        <w:fldChar w:fldCharType="separate"/>
      </w:r>
      <w:r>
        <w:rPr>
          <w:rStyle w:val="19"/>
        </w:rPr>
        <w:t>3.1模拟软件</w:t>
      </w:r>
      <w:r>
        <w:tab/>
      </w:r>
      <w:r>
        <w:fldChar w:fldCharType="begin"/>
      </w:r>
      <w:r>
        <w:instrText xml:space="preserve"> PAGEREF _Toc152701669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"_Toc152701670" </w:instrText>
      </w:r>
      <w:r>
        <w:fldChar w:fldCharType="separate"/>
      </w:r>
      <w:r>
        <w:rPr>
          <w:rStyle w:val="19"/>
        </w:rPr>
        <w:t>3.2分析模型</w:t>
      </w:r>
      <w:r>
        <w:tab/>
      </w:r>
      <w:r>
        <w:fldChar w:fldCharType="begin"/>
      </w:r>
      <w:r>
        <w:instrText xml:space="preserve"> PAGEREF _Toc152701670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"_Toc152701671" </w:instrText>
      </w:r>
      <w:r>
        <w:fldChar w:fldCharType="separate"/>
      </w:r>
      <w:r>
        <w:rPr>
          <w:rStyle w:val="19"/>
        </w:rPr>
        <w:t>3.3计算条件</w:t>
      </w:r>
      <w:r>
        <w:tab/>
      </w:r>
      <w:r>
        <w:fldChar w:fldCharType="begin"/>
      </w:r>
      <w:r>
        <w:instrText xml:space="preserve"> PAGEREF _Toc152701671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"_Toc152701672" </w:instrText>
      </w:r>
      <w:r>
        <w:fldChar w:fldCharType="separate"/>
      </w:r>
      <w:r>
        <w:rPr>
          <w:rStyle w:val="19"/>
        </w:rPr>
        <w:t>3.4参数设置</w:t>
      </w:r>
      <w:r>
        <w:tab/>
      </w:r>
      <w:r>
        <w:fldChar w:fldCharType="begin"/>
      </w:r>
      <w:r>
        <w:instrText xml:space="preserve"> PAGEREF _Toc152701672 \h </w:instrText>
      </w:r>
      <w:r>
        <w:fldChar w:fldCharType="separate"/>
      </w:r>
      <w:r>
        <w:t>6</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"_Toc152701673" </w:instrText>
      </w:r>
      <w:r>
        <w:fldChar w:fldCharType="separate"/>
      </w:r>
      <w:r>
        <w:rPr>
          <w:rStyle w:val="19"/>
        </w:rPr>
        <w:t>4.模拟结果及分析</w:t>
      </w:r>
      <w:r>
        <w:tab/>
      </w:r>
      <w:r>
        <w:fldChar w:fldCharType="begin"/>
      </w:r>
      <w:r>
        <w:instrText xml:space="preserve"> PAGEREF _Toc152701673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"_Toc152701674" </w:instrText>
      </w:r>
      <w:r>
        <w:fldChar w:fldCharType="separate"/>
      </w:r>
      <w:r>
        <w:rPr>
          <w:rStyle w:val="19"/>
        </w:rPr>
        <w:t>4.1场地噪声分布</w:t>
      </w:r>
      <w:r>
        <w:tab/>
      </w:r>
      <w:r>
        <w:fldChar w:fldCharType="begin"/>
      </w:r>
      <w:r>
        <w:instrText xml:space="preserve"> PAGEREF _Toc152701674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"_Toc152701675" </w:instrText>
      </w:r>
      <w:r>
        <w:fldChar w:fldCharType="separate"/>
      </w:r>
      <w:r>
        <w:rPr>
          <w:rStyle w:val="19"/>
        </w:rPr>
        <w:t>4.2噪声敏感建筑噪声分布情况</w:t>
      </w:r>
      <w:r>
        <w:tab/>
      </w:r>
      <w:r>
        <w:fldChar w:fldCharType="begin"/>
      </w:r>
      <w:r>
        <w:instrText xml:space="preserve"> PAGEREF _Toc152701675 \h </w:instrText>
      </w:r>
      <w:r>
        <w:fldChar w:fldCharType="separate"/>
      </w:r>
      <w:r>
        <w:t>10</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"_Toc152701676" </w:instrText>
      </w:r>
      <w:r>
        <w:fldChar w:fldCharType="separate"/>
      </w:r>
      <w:r>
        <w:rPr>
          <w:rStyle w:val="19"/>
        </w:rPr>
        <w:t>5.结论</w:t>
      </w:r>
      <w:r>
        <w:tab/>
      </w:r>
      <w:r>
        <w:fldChar w:fldCharType="begin"/>
      </w:r>
      <w:r>
        <w:instrText xml:space="preserve"> PAGEREF _Toc152701676 \h </w:instrText>
      </w:r>
      <w:r>
        <w:fldChar w:fldCharType="separate"/>
      </w:r>
      <w:r>
        <w:t>13</w:t>
      </w:r>
      <w:r>
        <w:fldChar w:fldCharType="end"/>
      </w:r>
      <w:r>
        <w:fldChar w:fldCharType="end"/>
      </w:r>
    </w:p>
    <w:p>
      <w:pPr>
        <w:pStyle w:val="12"/>
      </w:pPr>
      <w:r>
        <w:fldChar w:fldCharType="end"/>
      </w:r>
      <w:bookmarkEnd w:id="1"/>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2" w:name="_Toc152701664"/>
      <w:bookmarkStart w:id="3" w:name="_Toc479326717"/>
      <w:r>
        <w:rPr>
          <w:rFonts w:hint="eastAsia" w:ascii="Times New Roman" w:hAnsi="Times New Roman"/>
          <w:sz w:val="28"/>
          <w:szCs w:val="28"/>
        </w:rPr>
        <w:t>1</w:t>
      </w:r>
      <w:r>
        <w:rPr>
          <w:rFonts w:ascii="Times New Roman" w:hAnsi="Times New Roman"/>
          <w:sz w:val="28"/>
          <w:szCs w:val="28"/>
        </w:rPr>
        <w:t>.</w:t>
      </w:r>
      <w:r>
        <w:rPr>
          <w:rFonts w:hint="eastAsia" w:ascii="Times New Roman" w:hAnsi="Times New Roman"/>
          <w:sz w:val="28"/>
          <w:szCs w:val="28"/>
        </w:rPr>
        <w:t>项目概况</w:t>
      </w:r>
      <w:bookmarkEnd w:id="2"/>
      <w:bookmarkEnd w:id="3"/>
    </w:p>
    <w:p>
      <w:r>
        <w:rPr>
          <w:rFonts w:hint="eastAsia"/>
        </w:rPr>
        <w:t>本项目参与计算的噪声敏感参评建筑物如下表所示：</w:t>
      </w:r>
    </w:p>
    <w:p>
      <w:pPr>
        <w:widowControl/>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7"/>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7" w:type="dxa"/>
            <w:shd w:val="clear" w:color="auto" w:fill="E6E6E6"/>
            <w:vAlign w:val="center"/>
          </w:tcPr>
          <w:p>
            <w:pPr>
              <w:jc w:val="center"/>
            </w:pPr>
            <w:r>
              <w:t>名称</w:t>
            </w:r>
          </w:p>
        </w:tc>
        <w:tc>
          <w:tcPr>
            <w:tcW w:w="2586" w:type="dxa"/>
            <w:shd w:val="clear" w:color="auto" w:fill="E6E6E6"/>
            <w:vAlign w:val="center"/>
          </w:tcPr>
          <w:p>
            <w:pPr>
              <w:jc w:val="center"/>
            </w:pPr>
            <w:r>
              <w:t>建筑高度(米)</w:t>
            </w:r>
          </w:p>
        </w:tc>
        <w:tc>
          <w:tcPr>
            <w:tcW w:w="2071" w:type="dxa"/>
            <w:shd w:val="clear" w:color="auto" w:fill="E6E6E6"/>
            <w:vAlign w:val="center"/>
          </w:tcPr>
          <w:p>
            <w:pPr>
              <w:jc w:val="center"/>
            </w:pPr>
            <w:r>
              <w:t>底标高(米)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7" w:type="dxa"/>
            <w:vAlign w:val="center"/>
          </w:tcPr>
          <w:p>
            <w:pPr>
              <w:jc w:val="center"/>
            </w:pPr>
            <w:r>
              <w:rPr>
                <w:rFonts w:hint="eastAsia"/>
              </w:rPr>
              <w:t>土木建筑工程学院楼</w:t>
            </w:r>
          </w:p>
        </w:tc>
        <w:tc>
          <w:tcPr>
            <w:tcW w:w="2586" w:type="dxa"/>
            <w:vAlign w:val="center"/>
          </w:tcPr>
          <w:p>
            <w:pPr>
              <w:jc w:val="center"/>
            </w:pPr>
            <w:r>
              <w:rPr>
                <w:rFonts w:hint="eastAsia"/>
              </w:rPr>
              <w:t>2</w:t>
            </w:r>
            <w:r>
              <w:t>7</w:t>
            </w:r>
          </w:p>
        </w:tc>
        <w:tc>
          <w:tcPr>
            <w:tcW w:w="2071" w:type="dxa"/>
            <w:vAlign w:val="center"/>
          </w:tcPr>
          <w:p>
            <w:pPr>
              <w:jc w:val="center"/>
            </w:pPr>
            <w:r>
              <w:rPr>
                <w:rFonts w:hint="eastAsia"/>
              </w:rPr>
              <w:t>0</w:t>
            </w:r>
          </w:p>
        </w:tc>
      </w:tr>
    </w:tbl>
    <w:p>
      <w:pPr>
        <w:jc w:val="center"/>
      </w:pPr>
      <w:bookmarkStart w:id="4" w:name="参评建筑信息表"/>
      <w:bookmarkEnd w:id="4"/>
    </w:p>
    <w:p>
      <w:pPr>
        <w:pStyle w:val="2"/>
        <w:rPr>
          <w:rFonts w:ascii="Times New Roman" w:hAnsi="Times New Roman"/>
          <w:sz w:val="28"/>
          <w:szCs w:val="28"/>
        </w:rPr>
      </w:pPr>
      <w:bookmarkStart w:id="5" w:name="_Toc479326718"/>
      <w:bookmarkStart w:id="6" w:name="_Toc152701665"/>
      <w:r>
        <w:rPr>
          <w:rFonts w:hint="eastAsia" w:ascii="Times New Roman" w:hAnsi="Times New Roman"/>
          <w:sz w:val="28"/>
          <w:szCs w:val="28"/>
        </w:rPr>
        <w:t>2.评价</w:t>
      </w:r>
      <w:r>
        <w:rPr>
          <w:rFonts w:ascii="Times New Roman" w:hAnsi="Times New Roman"/>
          <w:sz w:val="28"/>
          <w:szCs w:val="28"/>
        </w:rPr>
        <w:t>标准</w:t>
      </w:r>
      <w:bookmarkEnd w:id="5"/>
      <w:bookmarkEnd w:id="6"/>
    </w:p>
    <w:p>
      <w:pPr>
        <w:pStyle w:val="3"/>
        <w:rPr>
          <w:sz w:val="24"/>
          <w:szCs w:val="24"/>
        </w:rPr>
      </w:pPr>
      <w:bookmarkStart w:id="7" w:name="_Toc152701666"/>
      <w:bookmarkStart w:id="8" w:name="_Toc479326719"/>
      <w:r>
        <w:rPr>
          <w:rFonts w:hint="eastAsia"/>
          <w:sz w:val="24"/>
          <w:szCs w:val="24"/>
        </w:rPr>
        <w:t>2.1评价</w:t>
      </w:r>
      <w:r>
        <w:rPr>
          <w:sz w:val="24"/>
          <w:szCs w:val="24"/>
        </w:rPr>
        <w:t>依据</w:t>
      </w:r>
      <w:bookmarkEnd w:id="7"/>
      <w:bookmarkEnd w:id="8"/>
    </w:p>
    <w:p>
      <w:pPr>
        <w:pStyle w:val="25"/>
        <w:numPr>
          <w:ilvl w:val="0"/>
          <w:numId w:val="1"/>
        </w:numPr>
        <w:ind w:firstLineChars="0"/>
      </w:pPr>
      <w:bookmarkStart w:id="9" w:name="标准名称1"/>
      <w:bookmarkStart w:id="10" w:name="_Hlk13924517"/>
      <w:bookmarkStart w:id="11" w:name="_Toc479326720"/>
      <w:r>
        <w:rPr>
          <w:rFonts w:hint="eastAsia"/>
        </w:rPr>
        <w:t>黑龙江省《绿色建筑评价标准》DB 23/T 1642－2020</w:t>
      </w:r>
      <w:bookmarkEnd w:id="9"/>
    </w:p>
    <w:p>
      <w:pPr>
        <w:pStyle w:val="25"/>
        <w:numPr>
          <w:ilvl w:val="0"/>
          <w:numId w:val="1"/>
        </w:numPr>
        <w:ind w:firstLineChars="0"/>
      </w:pPr>
      <w:r>
        <w:rPr>
          <w:rFonts w:hint="eastAsia"/>
        </w:rPr>
        <w:t>《绿色建筑评价标准》</w:t>
      </w:r>
      <w:r>
        <w:t>GB</w:t>
      </w:r>
      <w:r>
        <w:rPr>
          <w:rFonts w:hint="eastAsia"/>
        </w:rPr>
        <w:t xml:space="preserve"> </w:t>
      </w:r>
      <w:r>
        <w:t>50378-2019</w:t>
      </w:r>
      <w:bookmarkEnd w:id="10"/>
      <w:r>
        <w:t xml:space="preserve"> </w:t>
      </w:r>
    </w:p>
    <w:p>
      <w:pPr>
        <w:pStyle w:val="25"/>
        <w:numPr>
          <w:ilvl w:val="0"/>
          <w:numId w:val="1"/>
        </w:numPr>
        <w:ind w:firstLineChars="0"/>
      </w:pPr>
      <w:r>
        <w:rPr>
          <w:rFonts w:hint="eastAsia"/>
        </w:rPr>
        <w:t>《绿色建筑评价</w:t>
      </w:r>
      <w:r>
        <w:t>技术细则</w:t>
      </w:r>
      <w:r>
        <w:rPr>
          <w:rFonts w:hint="eastAsia"/>
        </w:rPr>
        <w:t>》2019</w:t>
      </w:r>
    </w:p>
    <w:p>
      <w:pPr>
        <w:pStyle w:val="25"/>
        <w:numPr>
          <w:ilvl w:val="0"/>
          <w:numId w:val="1"/>
        </w:numPr>
        <w:ind w:firstLineChars="0"/>
      </w:pPr>
      <w:r>
        <w:rPr>
          <w:rFonts w:hint="eastAsia"/>
        </w:rPr>
        <w:t>《声环境质量标准》</w:t>
      </w:r>
      <w:r>
        <w:t xml:space="preserve">GB 3096-2008 </w:t>
      </w:r>
    </w:p>
    <w:p>
      <w:pPr>
        <w:pStyle w:val="25"/>
        <w:numPr>
          <w:ilvl w:val="0"/>
          <w:numId w:val="1"/>
        </w:numPr>
        <w:ind w:firstLineChars="0"/>
      </w:pPr>
      <w:r>
        <w:rPr>
          <w:rFonts w:hint="eastAsia"/>
        </w:rPr>
        <w:t>《环境</w:t>
      </w:r>
      <w:r>
        <w:t>影响评价技术</w:t>
      </w:r>
      <w:r>
        <w:rPr>
          <w:rFonts w:hint="eastAsia"/>
        </w:rPr>
        <w:t>导则 声环境》HJ</w:t>
      </w:r>
      <w:r>
        <w:t>2.4-2009</w:t>
      </w:r>
    </w:p>
    <w:p>
      <w:pPr>
        <w:pStyle w:val="25"/>
        <w:numPr>
          <w:ilvl w:val="0"/>
          <w:numId w:val="1"/>
        </w:numPr>
        <w:ind w:firstLineChars="0"/>
      </w:pPr>
      <w:r>
        <w:rPr>
          <w:rFonts w:hint="eastAsia"/>
        </w:rPr>
        <w:t>《声环境功能区划分技术规范》</w:t>
      </w:r>
      <w:r>
        <w:t>GB/T 15190-2014</w:t>
      </w:r>
    </w:p>
    <w:p>
      <w:pPr>
        <w:pStyle w:val="25"/>
        <w:numPr>
          <w:ilvl w:val="0"/>
          <w:numId w:val="1"/>
        </w:numPr>
        <w:ind w:firstLineChars="0"/>
      </w:pPr>
      <w:r>
        <w:rPr>
          <w:rFonts w:hint="eastAsia"/>
        </w:rPr>
        <w:t>《</w:t>
      </w:r>
      <w:r>
        <w:t>民用建筑绿色性能计算标准</w:t>
      </w:r>
      <w:r>
        <w:rPr>
          <w:rFonts w:hint="eastAsia"/>
        </w:rPr>
        <w:t>》</w:t>
      </w:r>
      <w:r>
        <w:t xml:space="preserve">JGJ/T 449-2018 </w:t>
      </w:r>
    </w:p>
    <w:p>
      <w:pPr>
        <w:pStyle w:val="3"/>
        <w:rPr>
          <w:sz w:val="24"/>
          <w:szCs w:val="24"/>
        </w:rPr>
      </w:pPr>
      <w:bookmarkStart w:id="12" w:name="_Toc152701667"/>
      <w:r>
        <w:rPr>
          <w:rFonts w:hint="eastAsia"/>
          <w:sz w:val="24"/>
          <w:szCs w:val="24"/>
        </w:rPr>
        <w:t>2.2标准</w:t>
      </w:r>
      <w:r>
        <w:rPr>
          <w:sz w:val="24"/>
          <w:szCs w:val="24"/>
        </w:rPr>
        <w:t>要求</w:t>
      </w:r>
      <w:bookmarkEnd w:id="11"/>
      <w:bookmarkEnd w:id="12"/>
    </w:p>
    <w:p>
      <w:pPr>
        <w:pStyle w:val="25"/>
        <w:numPr>
          <w:ilvl w:val="0"/>
          <w:numId w:val="2"/>
        </w:numPr>
        <w:ind w:firstLineChars="0"/>
      </w:pPr>
      <w:bookmarkStart w:id="13" w:name="标准名称2"/>
      <w:r>
        <w:rPr>
          <w:rFonts w:hint="eastAsia"/>
        </w:rPr>
        <w:t>黑龙江省《绿色建筑评价标准》DB 23/T 1642－2020</w:t>
      </w:r>
      <w:bookmarkEnd w:id="13"/>
      <w:r>
        <w:rPr>
          <w:rFonts w:hint="eastAsia"/>
        </w:rPr>
        <w:t>中规定：</w:t>
      </w:r>
    </w:p>
    <w:p>
      <w:pPr>
        <w:pStyle w:val="25"/>
        <w:ind w:left="420" w:firstLine="0" w:firstLineChars="0"/>
      </w:pPr>
      <w:bookmarkStart w:id="14" w:name="室外条文内容"/>
      <w:r>
        <w:t>8.2.6 场地内的环境噪声优于现行国家标准《声环境质量标准》GB 3096 的要求，评价总分值为 10 分，并按下列规则评分：</w:t>
      </w:r>
    </w:p>
    <w:p>
      <w:pPr>
        <w:pStyle w:val="25"/>
        <w:ind w:left="420" w:firstLine="0" w:firstLineChars="0"/>
      </w:pPr>
      <w:r>
        <w:t xml:space="preserve">    1 环境噪声值大于 2 类声环境功能区标准限值，且小于等于 3 类声环境功能区标准限值，得 5 分；</w:t>
      </w:r>
    </w:p>
    <w:p>
      <w:pPr>
        <w:pStyle w:val="25"/>
        <w:ind w:left="420" w:firstLine="0" w:firstLineChars="0"/>
      </w:pPr>
      <w:r>
        <w:t xml:space="preserve">    2 环境噪声值小于等于 2 类声环境功能区标准限值，得 10 分。</w:t>
      </w:r>
    </w:p>
    <w:bookmarkEnd w:id="14"/>
    <w:p>
      <w:pPr>
        <w:pStyle w:val="25"/>
        <w:numPr>
          <w:ilvl w:val="0"/>
          <w:numId w:val="3"/>
        </w:numPr>
        <w:ind w:firstLineChars="0"/>
      </w:pPr>
      <w:r>
        <w:rPr>
          <w:rFonts w:hint="eastAsia"/>
        </w:rPr>
        <w:t>《声环境质量标准》</w:t>
      </w:r>
      <w:r>
        <w:t>GB</w:t>
      </w:r>
      <w:r>
        <w:rPr>
          <w:rFonts w:hint="eastAsia"/>
        </w:rPr>
        <w:t xml:space="preserve"> </w:t>
      </w:r>
      <w:r>
        <w:t>3096-2008</w:t>
      </w:r>
      <w:r>
        <w:rPr>
          <w:rFonts w:hint="eastAsia"/>
        </w:rPr>
        <w:t>中规定了五类声环境功能区的环境噪声限值，如下表所示。</w:t>
      </w:r>
    </w:p>
    <w:p>
      <w:pPr>
        <w:widowControl/>
        <w:wordWrap w:val="0"/>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2"/>
        <w:rPr>
          <w:rFonts w:ascii="Times New Roman" w:hAnsi="Times New Roman"/>
          <w:sz w:val="28"/>
          <w:szCs w:val="28"/>
        </w:rPr>
      </w:pPr>
      <w:bookmarkStart w:id="15" w:name="声功能区类别表格"/>
      <w:bookmarkEnd w:id="15"/>
      <w:bookmarkStart w:id="16" w:name="_Toc479326721"/>
      <w:bookmarkStart w:id="17" w:name="_Toc152701668"/>
      <w:r>
        <w:rPr>
          <w:rFonts w:hint="eastAsia" w:ascii="Times New Roman" w:hAnsi="Times New Roman"/>
          <w:sz w:val="28"/>
          <w:szCs w:val="28"/>
        </w:rPr>
        <w:t>3.模拟</w:t>
      </w:r>
      <w:r>
        <w:rPr>
          <w:rFonts w:ascii="Times New Roman" w:hAnsi="Times New Roman"/>
          <w:sz w:val="28"/>
          <w:szCs w:val="28"/>
        </w:rPr>
        <w:t>方法</w:t>
      </w:r>
      <w:bookmarkEnd w:id="16"/>
      <w:bookmarkEnd w:id="17"/>
    </w:p>
    <w:p>
      <w:pPr>
        <w:pStyle w:val="3"/>
        <w:rPr>
          <w:sz w:val="24"/>
          <w:szCs w:val="24"/>
        </w:rPr>
      </w:pPr>
      <w:bookmarkStart w:id="18" w:name="_Toc479326722"/>
      <w:bookmarkStart w:id="19" w:name="_Toc152701669"/>
      <w:r>
        <w:rPr>
          <w:rFonts w:hint="eastAsia"/>
          <w:sz w:val="24"/>
          <w:szCs w:val="24"/>
        </w:rPr>
        <w:t>3.1模拟软件</w:t>
      </w:r>
      <w:bookmarkEnd w:id="18"/>
      <w:bookmarkEnd w:id="19"/>
    </w:p>
    <w:p>
      <w:pPr>
        <w:pStyle w:val="33"/>
        <w:spacing w:line="276" w:lineRule="auto"/>
        <w:ind w:firstLine="420"/>
        <w:rPr>
          <w:rFonts w:ascii="微软雅黑" w:hAnsi="微软雅黑" w:cs="Times New Roman"/>
          <w:sz w:val="21"/>
          <w:szCs w:val="21"/>
        </w:rPr>
      </w:pPr>
      <w:bookmarkStart w:id="20" w:name="_Toc479326723"/>
      <w:r>
        <w:rPr>
          <w:rFonts w:hint="eastAsia" w:ascii="微软雅黑" w:hAnsi="微软雅黑"/>
          <w:sz w:val="21"/>
          <w:szCs w:val="21"/>
        </w:rPr>
        <w:t>本报告采用建筑</w:t>
      </w:r>
      <w:r>
        <w:rPr>
          <w:rFonts w:ascii="微软雅黑" w:hAnsi="微软雅黑"/>
          <w:sz w:val="21"/>
          <w:szCs w:val="21"/>
        </w:rPr>
        <w:t>声环境分析软件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DU是一款可用</w:t>
      </w:r>
      <w:r>
        <w:rPr>
          <w:rFonts w:ascii="微软雅黑" w:hAnsi="微软雅黑"/>
          <w:sz w:val="21"/>
          <w:szCs w:val="21"/>
        </w:rPr>
        <w:t>于</w:t>
      </w:r>
      <w:r>
        <w:rPr>
          <w:rFonts w:hint="eastAsia" w:ascii="微软雅黑" w:hAnsi="微软雅黑"/>
          <w:sz w:val="21"/>
          <w:szCs w:val="21"/>
        </w:rPr>
        <w:t>噪声计算、评估和预测的软件，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GB/T15190-2019</w:t>
      </w:r>
      <w:r>
        <w:rPr>
          <w:rFonts w:hint="eastAsia" w:ascii="微软雅黑" w:hAnsi="微软雅黑"/>
          <w:sz w:val="21"/>
          <w:szCs w:val="21"/>
        </w:rPr>
        <w:t>，判断场地内环境噪声模拟结果是否满足《声环境质量标准》</w:t>
      </w:r>
      <w:r>
        <w:rPr>
          <w:rFonts w:ascii="微软雅黑" w:hAnsi="微软雅黑"/>
          <w:sz w:val="21"/>
          <w:szCs w:val="21"/>
        </w:rPr>
        <w:t>GB3096</w:t>
      </w:r>
      <w:r>
        <w:rPr>
          <w:rFonts w:hint="eastAsia" w:ascii="微软雅黑" w:hAnsi="微软雅黑"/>
          <w:sz w:val="21"/>
          <w:szCs w:val="21"/>
        </w:rPr>
        <w:t>和《绿色建筑评价标准》GB 50378的相关规定。</w:t>
      </w:r>
    </w:p>
    <w:p>
      <w:pPr>
        <w:pStyle w:val="3"/>
        <w:rPr>
          <w:sz w:val="24"/>
          <w:szCs w:val="24"/>
        </w:rPr>
      </w:pPr>
      <w:bookmarkStart w:id="21" w:name="_Toc152701670"/>
      <w:r>
        <w:rPr>
          <w:rFonts w:hint="eastAsia"/>
          <w:sz w:val="24"/>
          <w:szCs w:val="24"/>
        </w:rPr>
        <w:t>3.2分析</w:t>
      </w:r>
      <w:r>
        <w:rPr>
          <w:sz w:val="24"/>
          <w:szCs w:val="24"/>
        </w:rPr>
        <w:t>模</w:t>
      </w:r>
      <w:r>
        <w:rPr>
          <w:rFonts w:hint="eastAsia"/>
          <w:sz w:val="24"/>
          <w:szCs w:val="24"/>
        </w:rPr>
        <w:t>型</w:t>
      </w:r>
      <w:bookmarkEnd w:id="20"/>
      <w:bookmarkEnd w:id="21"/>
    </w:p>
    <w:p>
      <w:pPr>
        <w:spacing w:line="276" w:lineRule="auto"/>
        <w:ind w:firstLine="420" w:firstLineChars="200"/>
        <w:rPr>
          <w:rFonts w:ascii="Times New Roman" w:hAnsi="Times New Roman" w:cs="宋体"/>
          <w:szCs w:val="21"/>
        </w:rPr>
      </w:pPr>
      <w:r>
        <w:rPr>
          <w:rFonts w:hint="eastAsia" w:ascii="Times New Roman" w:hAnsi="Times New Roman" w:cs="宋体"/>
          <w:szCs w:val="21"/>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szCs w:val="21"/>
        </w:rPr>
      </w:pPr>
      <w:r>
        <w:rPr>
          <w:rFonts w:hint="eastAsia" w:ascii="Times New Roman" w:hAnsi="Times New Roman" w:cs="宋体"/>
          <w:szCs w:val="21"/>
        </w:rPr>
        <w:t>本项目</w:t>
      </w:r>
      <w:r>
        <w:rPr>
          <w:rFonts w:ascii="Times New Roman" w:hAnsi="Times New Roman" w:cs="宋体"/>
          <w:szCs w:val="21"/>
        </w:rPr>
        <w:t>噪声分析模型如下图所示：</w:t>
      </w:r>
    </w:p>
    <w:p>
      <w:pPr>
        <w:autoSpaceDE w:val="0"/>
        <w:autoSpaceDN w:val="0"/>
        <w:adjustRightInd w:val="0"/>
        <w:jc w:val="center"/>
        <w:rPr>
          <w:rFonts w:ascii="Times New Roman" w:hAnsi="Times New Roman"/>
          <w:color w:val="FF0000"/>
        </w:rPr>
      </w:pPr>
      <w:bookmarkStart w:id="22" w:name="建设项目室外声环境分析模型平面图"/>
      <w:bookmarkEnd w:id="22"/>
      <w:r>
        <mc:AlternateContent>
          <mc:Choice Requires="wps">
            <w:drawing>
              <wp:anchor distT="0" distB="0" distL="114300" distR="114300" simplePos="0" relativeHeight="251659264" behindDoc="0" locked="0" layoutInCell="1" allowOverlap="1">
                <wp:simplePos x="0" y="0"/>
                <wp:positionH relativeFrom="column">
                  <wp:posOffset>1536065</wp:posOffset>
                </wp:positionH>
                <wp:positionV relativeFrom="paragraph">
                  <wp:posOffset>703580</wp:posOffset>
                </wp:positionV>
                <wp:extent cx="1872615" cy="1104900"/>
                <wp:effectExtent l="0" t="0" r="13335" b="19050"/>
                <wp:wrapNone/>
                <wp:docPr id="2" name="矩形 2"/>
                <wp:cNvGraphicFramePr/>
                <a:graphic xmlns:a="http://schemas.openxmlformats.org/drawingml/2006/main">
                  <a:graphicData uri="http://schemas.microsoft.com/office/word/2010/wordprocessingShape">
                    <wps:wsp>
                      <wps:cNvSpPr/>
                      <wps:spPr>
                        <a:xfrm>
                          <a:off x="0" y="0"/>
                          <a:ext cx="1872809" cy="1105104"/>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0.95pt;margin-top:55.4pt;height:87pt;width:147.45pt;z-index:251659264;v-text-anchor:middle;mso-width-relative:page;mso-height-relative:page;" filled="f" stroked="t" coordsize="21600,21600" o:gfxdata="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Xvwjz2AAAAAsBAAAPAAAAAAAAAAEAIAAAACIAAABkcnMvZG93bnJldi54&#10;bWxQSwECFAAUAAAACACHTuJAYeikXWwCAADMBAAADgAAAAAAAAABACAAAAAnAQAAZHJzL2Uyb0Rv&#10;Yy54bWxQSwUGAAAAAAYABgBZAQAABQYAAAAA&#10;">
                <v:fill on="f" focussize="0,0"/>
                <v:stroke weight="1.5pt" color="#FF0000 [3204]" miterlimit="8" joinstyle="miter"/>
                <v:imagedata o:title=""/>
                <o:lock v:ext="edit" aspectratio="f"/>
              </v:rect>
            </w:pict>
          </mc:Fallback>
        </mc:AlternateContent>
      </w:r>
      <w:r>
        <w:drawing>
          <wp:inline distT="0" distB="0" distL="0" distR="0">
            <wp:extent cx="5667375" cy="3171825"/>
            <wp:effectExtent l="0" t="0" r="9525" b="9525"/>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
                    <a:stretch>
                      <a:fillRect/>
                    </a:stretch>
                  </pic:blipFill>
                  <pic:spPr>
                    <a:xfrm>
                      <a:off x="0" y="0"/>
                      <a:ext cx="5667375" cy="3171825"/>
                    </a:xfrm>
                    <a:prstGeom prst="rect">
                      <a:avLst/>
                    </a:prstGeom>
                  </pic:spPr>
                </pic:pic>
              </a:graphicData>
            </a:graphic>
          </wp:inline>
        </w:drawing>
      </w:r>
    </w:p>
    <w:p>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pPr>
        <w:pStyle w:val="3"/>
        <w:rPr>
          <w:rFonts w:ascii="宋体"/>
          <w:sz w:val="24"/>
          <w:szCs w:val="24"/>
        </w:rPr>
      </w:pPr>
      <w:bookmarkStart w:id="23" w:name="_Toc152701671"/>
      <w:bookmarkStart w:id="24" w:name="_Toc479326725"/>
      <w:r>
        <w:rPr>
          <w:rFonts w:hint="eastAsia"/>
          <w:sz w:val="24"/>
          <w:szCs w:val="24"/>
        </w:rPr>
        <w:t>3.</w:t>
      </w:r>
      <w:r>
        <w:rPr>
          <w:sz w:val="24"/>
          <w:szCs w:val="24"/>
        </w:rPr>
        <w:t>3</w:t>
      </w:r>
      <w:r>
        <w:rPr>
          <w:rFonts w:hint="eastAsia"/>
          <w:sz w:val="24"/>
          <w:szCs w:val="24"/>
        </w:rPr>
        <w:t>计算条件</w:t>
      </w:r>
      <w:bookmarkEnd w:id="23"/>
      <w:bookmarkEnd w:id="24"/>
    </w:p>
    <w:p>
      <w:pPr>
        <w:rPr>
          <w:b/>
        </w:rPr>
      </w:pPr>
      <w:bookmarkStart w:id="25" w:name="计算条件"/>
      <w:r>
        <w:rPr>
          <w:rFonts w:hint="eastAsia"/>
          <w:b/>
        </w:rPr>
        <w:t>■ 网格设置</w:t>
      </w:r>
    </w:p>
    <w:p>
      <w:pPr>
        <w:rPr>
          <w:b/>
        </w:rPr>
      </w:pPr>
      <w:r>
        <w:rPr>
          <w:b/>
          <w:color w:val="000000"/>
        </w:rPr>
        <w:t xml:space="preserve">  平面网格间距：20×20 米</w:t>
      </w:r>
      <w:bookmarkStart w:id="55" w:name="_GoBack"/>
      <w:bookmarkEnd w:id="55"/>
    </w:p>
    <w:p>
      <w:pPr>
        <w:rPr>
          <w:b/>
        </w:rPr>
      </w:pPr>
      <w:r>
        <w:rPr>
          <w:b/>
          <w:color w:val="000000"/>
        </w:rPr>
        <w:t xml:space="preserve">  平面网格离地高度：1.5 米</w:t>
      </w:r>
    </w:p>
    <w:p>
      <w:pPr>
        <w:rPr>
          <w:b/>
        </w:rPr>
      </w:pPr>
      <w:r>
        <w:rPr>
          <w:b/>
          <w:color w:val="000000"/>
        </w:rPr>
        <w:t xml:space="preserve">  立面网格间距：3×3 米</w:t>
      </w:r>
    </w:p>
    <w:p>
      <w:pPr>
        <w:rPr>
          <w:b/>
        </w:rPr>
      </w:pPr>
    </w:p>
    <w:p>
      <w:pPr>
        <w:rPr>
          <w:b/>
        </w:rPr>
      </w:pPr>
      <w:r>
        <w:rPr>
          <w:b/>
          <w:color w:val="000000"/>
        </w:rPr>
        <w:t>■ 地面效应</w:t>
      </w:r>
    </w:p>
    <w:p>
      <w:pPr>
        <w:rPr>
          <w:b/>
        </w:rPr>
      </w:pPr>
      <w:r>
        <w:rPr>
          <w:b/>
          <w:color w:val="000000"/>
        </w:rPr>
        <w:t xml:space="preserve">  地面高度：0 米</w:t>
      </w:r>
    </w:p>
    <w:p>
      <w:pPr>
        <w:rPr>
          <w:b/>
        </w:rPr>
      </w:pPr>
      <w:r>
        <w:rPr>
          <w:b/>
          <w:color w:val="000000"/>
        </w:rPr>
        <w:t xml:space="preserve">  计算考虑地面效应</w:t>
      </w:r>
    </w:p>
    <w:p>
      <w:pPr>
        <w:rPr>
          <w:b/>
        </w:rPr>
      </w:pPr>
      <w:r>
        <w:rPr>
          <w:b/>
          <w:color w:val="000000"/>
        </w:rPr>
        <w:t xml:space="preserve">  地面效应计算方法：导则算法</w:t>
      </w:r>
    </w:p>
    <w:p>
      <w:pPr>
        <w:rPr>
          <w:b/>
        </w:rPr>
      </w:pPr>
    </w:p>
    <w:p>
      <w:pPr>
        <w:rPr>
          <w:b/>
        </w:rPr>
      </w:pPr>
      <w:r>
        <w:rPr>
          <w:b/>
          <w:color w:val="000000"/>
        </w:rPr>
        <w:t>■ 噪声反射</w:t>
      </w:r>
    </w:p>
    <w:p>
      <w:pPr>
        <w:rPr>
          <w:b/>
        </w:rPr>
      </w:pPr>
      <w:r>
        <w:rPr>
          <w:b/>
          <w:color w:val="000000"/>
        </w:rPr>
        <w:t xml:space="preserve">  障碍物考虑的最大反射次数：1</w:t>
      </w:r>
    </w:p>
    <w:p>
      <w:pPr>
        <w:rPr>
          <w:b/>
        </w:rPr>
      </w:pPr>
    </w:p>
    <w:p>
      <w:pPr>
        <w:rPr>
          <w:b/>
        </w:rPr>
      </w:pPr>
      <w:r>
        <w:rPr>
          <w:b/>
          <w:color w:val="000000"/>
        </w:rPr>
        <w:t>■ 空气吸收</w:t>
      </w:r>
    </w:p>
    <w:p>
      <w:pPr>
        <w:rPr>
          <w:b/>
        </w:rPr>
      </w:pPr>
      <w:r>
        <w:rPr>
          <w:b/>
          <w:color w:val="000000"/>
        </w:rPr>
        <w:t xml:space="preserve">  气压：101325Pa  气温：16℃  湿度：30%</w:t>
      </w:r>
    </w:p>
    <w:p>
      <w:pPr>
        <w:rPr>
          <w:b/>
        </w:rPr>
      </w:pPr>
    </w:p>
    <w:p>
      <w:pPr>
        <w:rPr>
          <w:b/>
        </w:rPr>
      </w:pPr>
      <w:r>
        <w:rPr>
          <w:b/>
          <w:color w:val="000000"/>
        </w:rPr>
        <w:t>■ 达标统计</w:t>
      </w:r>
    </w:p>
    <w:p>
      <w:pPr>
        <w:rPr>
          <w:b/>
        </w:rPr>
      </w:pPr>
      <w:r>
        <w:rPr>
          <w:b/>
          <w:color w:val="000000"/>
        </w:rPr>
        <w:t xml:space="preserve">  建筑物噪声最大值统计方式</w:t>
      </w:r>
    </w:p>
    <w:p>
      <w:pPr>
        <w:rPr>
          <w:b/>
        </w:rPr>
      </w:pPr>
      <w:r>
        <w:rPr>
          <w:b/>
          <w:color w:val="000000"/>
        </w:rPr>
        <w:t xml:space="preserve">    取距离建筑物底标高1.5米沿线点</w:t>
      </w:r>
    </w:p>
    <w:p>
      <w:pPr>
        <w:rPr>
          <w:b/>
        </w:rPr>
      </w:pPr>
      <w:r>
        <w:rPr>
          <w:b/>
          <w:color w:val="000000"/>
        </w:rPr>
        <w:t xml:space="preserve">  场地环境噪声达标统计方式</w:t>
      </w:r>
    </w:p>
    <w:p>
      <w:pPr>
        <w:rPr>
          <w:b/>
        </w:rPr>
      </w:pPr>
      <w:r>
        <w:rPr>
          <w:b/>
          <w:color w:val="000000"/>
        </w:rPr>
        <w:t xml:space="preserve">    场地内命名参评建筑物全部达标</w:t>
      </w:r>
    </w:p>
    <w:bookmarkEnd w:id="25"/>
    <w:p>
      <w:pPr>
        <w:pStyle w:val="3"/>
        <w:rPr>
          <w:sz w:val="24"/>
          <w:szCs w:val="24"/>
        </w:rPr>
      </w:pPr>
      <w:bookmarkStart w:id="26" w:name="_Toc479326726"/>
      <w:bookmarkStart w:id="27" w:name="_Toc152701672"/>
      <w:r>
        <w:rPr>
          <w:rFonts w:hint="eastAsia"/>
          <w:sz w:val="24"/>
          <w:szCs w:val="24"/>
        </w:rPr>
        <w:t>3.</w:t>
      </w:r>
      <w:r>
        <w:rPr>
          <w:sz w:val="24"/>
          <w:szCs w:val="24"/>
        </w:rPr>
        <w:t>4</w:t>
      </w:r>
      <w:r>
        <w:rPr>
          <w:rFonts w:hint="eastAsia"/>
          <w:sz w:val="24"/>
          <w:szCs w:val="24"/>
        </w:rPr>
        <w:t>参数</w:t>
      </w:r>
      <w:r>
        <w:rPr>
          <w:sz w:val="24"/>
          <w:szCs w:val="24"/>
        </w:rPr>
        <w:t>设置</w:t>
      </w:r>
      <w:bookmarkEnd w:id="26"/>
      <w:bookmarkEnd w:id="27"/>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jc w:val="center"/>
      </w:pPr>
      <w:bookmarkStart w:id="28" w:name="声源表"/>
      <w:bookmarkEnd w:id="28"/>
      <w:r>
        <w:rPr>
          <w:sz w:val="18"/>
          <w:szCs w:val="18"/>
        </w:rPr>
        <w:t>表3.4-1 公路噪声源</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4"/>
        <w:gridCol w:w="848"/>
        <w:gridCol w:w="848"/>
        <w:gridCol w:w="849"/>
        <w:gridCol w:w="1076"/>
        <w:gridCol w:w="906"/>
        <w:gridCol w:w="906"/>
        <w:gridCol w:w="9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shd w:val="clear" w:color="auto" w:fill="E6E6E6"/>
            <w:vAlign w:val="center"/>
          </w:tcPr>
          <w:p>
            <w:pPr>
              <w:jc w:val="center"/>
            </w:pPr>
            <w:r>
              <w:t>路段名称</w:t>
            </w:r>
          </w:p>
        </w:tc>
        <w:tc>
          <w:tcPr>
            <w:tcW w:w="848" w:type="dxa"/>
            <w:shd w:val="clear" w:color="auto" w:fill="E6E6E6"/>
            <w:vAlign w:val="center"/>
          </w:tcPr>
          <w:p>
            <w:pPr>
              <w:jc w:val="center"/>
            </w:pPr>
            <w:r>
              <w:t>路面</w:t>
            </w:r>
            <w:r>
              <w:br w:type="textWrapping"/>
            </w:r>
            <w:r>
              <w:t>材料</w:t>
            </w:r>
          </w:p>
        </w:tc>
        <w:tc>
          <w:tcPr>
            <w:tcW w:w="848" w:type="dxa"/>
            <w:shd w:val="clear" w:color="auto" w:fill="E6E6E6"/>
            <w:vAlign w:val="center"/>
          </w:tcPr>
          <w:p>
            <w:pPr>
              <w:jc w:val="center"/>
            </w:pPr>
            <w:r>
              <w:t>车道</w:t>
            </w:r>
            <w:r>
              <w:br w:type="textWrapping"/>
            </w:r>
            <w:r>
              <w:t>数量</w:t>
            </w:r>
          </w:p>
        </w:tc>
        <w:tc>
          <w:tcPr>
            <w:tcW w:w="848" w:type="dxa"/>
            <w:shd w:val="clear" w:color="auto" w:fill="E6E6E6"/>
            <w:vAlign w:val="center"/>
          </w:tcPr>
          <w:p>
            <w:pPr>
              <w:jc w:val="center"/>
            </w:pPr>
            <w:r>
              <w:t>时段</w:t>
            </w:r>
          </w:p>
        </w:tc>
        <w:tc>
          <w:tcPr>
            <w:tcW w:w="1075" w:type="dxa"/>
            <w:shd w:val="clear" w:color="auto" w:fill="E6E6E6"/>
            <w:vAlign w:val="center"/>
          </w:tcPr>
          <w:p>
            <w:pPr>
              <w:jc w:val="center"/>
            </w:pPr>
            <w:r>
              <w:t>设计车速</w:t>
            </w:r>
            <w:r>
              <w:br w:type="textWrapping"/>
            </w:r>
            <w:r>
              <w:t>km/h</w:t>
            </w:r>
          </w:p>
        </w:tc>
        <w:tc>
          <w:tcPr>
            <w:tcW w:w="905" w:type="dxa"/>
            <w:shd w:val="clear" w:color="auto" w:fill="E6E6E6"/>
            <w:vAlign w:val="center"/>
          </w:tcPr>
          <w:p>
            <w:pPr>
              <w:jc w:val="center"/>
            </w:pPr>
            <w:r>
              <w:t>小型车</w:t>
            </w:r>
            <w:r>
              <w:br w:type="textWrapping"/>
            </w:r>
            <w:r>
              <w:t>辆/h</w:t>
            </w:r>
          </w:p>
        </w:tc>
        <w:tc>
          <w:tcPr>
            <w:tcW w:w="905" w:type="dxa"/>
            <w:shd w:val="clear" w:color="auto" w:fill="E6E6E6"/>
            <w:vAlign w:val="center"/>
          </w:tcPr>
          <w:p>
            <w:pPr>
              <w:jc w:val="center"/>
            </w:pPr>
            <w:r>
              <w:t>中型车</w:t>
            </w:r>
            <w:r>
              <w:br w:type="textWrapping"/>
            </w:r>
            <w:r>
              <w:t>辆/h</w:t>
            </w:r>
          </w:p>
        </w:tc>
        <w:tc>
          <w:tcPr>
            <w:tcW w:w="905" w:type="dxa"/>
            <w:shd w:val="clear" w:color="auto" w:fill="E6E6E6"/>
            <w:vAlign w:val="center"/>
          </w:tcPr>
          <w:p>
            <w:pPr>
              <w:jc w:val="center"/>
            </w:pPr>
            <w:r>
              <w:t>大型车</w:t>
            </w:r>
            <w:r>
              <w:br w:type="textWrapping"/>
            </w:r>
            <w:r>
              <w:t>辆/h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restart"/>
            <w:vAlign w:val="center"/>
          </w:tcPr>
          <w:p>
            <w:pPr>
              <w:jc w:val="center"/>
            </w:pPr>
            <w:r>
              <w:t>公路</w:t>
            </w:r>
          </w:p>
        </w:tc>
        <w:tc>
          <w:tcPr>
            <w:tcW w:w="848" w:type="dxa"/>
            <w:vMerge w:val="restart"/>
            <w:vAlign w:val="center"/>
          </w:tcPr>
          <w:p>
            <w:pPr>
              <w:jc w:val="center"/>
            </w:pPr>
            <w:r>
              <w:t>水泥</w:t>
            </w:r>
            <w:r>
              <w:br w:type="textWrapping"/>
            </w:r>
            <w:r>
              <w:t>混凝土</w:t>
            </w:r>
          </w:p>
        </w:tc>
        <w:tc>
          <w:tcPr>
            <w:tcW w:w="848" w:type="dxa"/>
            <w:vMerge w:val="restart"/>
            <w:vAlign w:val="center"/>
          </w:tcPr>
          <w:p>
            <w:pPr>
              <w:jc w:val="center"/>
            </w:pPr>
            <w:r>
              <w:t>4</w:t>
            </w:r>
          </w:p>
        </w:tc>
        <w:tc>
          <w:tcPr>
            <w:tcW w:w="848" w:type="dxa"/>
            <w:vAlign w:val="center"/>
          </w:tcPr>
          <w:p>
            <w:pPr>
              <w:jc w:val="center"/>
            </w:pPr>
            <w:r>
              <w:t>昼间</w:t>
            </w:r>
          </w:p>
        </w:tc>
        <w:tc>
          <w:tcPr>
            <w:tcW w:w="1075" w:type="dxa"/>
            <w:vAlign w:val="center"/>
          </w:tcPr>
          <w:p>
            <w:pPr>
              <w:jc w:val="center"/>
            </w:pPr>
            <w:r>
              <w:t>40</w:t>
            </w:r>
          </w:p>
        </w:tc>
        <w:tc>
          <w:tcPr>
            <w:tcW w:w="905" w:type="dxa"/>
            <w:vAlign w:val="center"/>
          </w:tcPr>
          <w:p>
            <w:pPr>
              <w:jc w:val="center"/>
            </w:pPr>
            <w:r>
              <w:t>38</w:t>
            </w:r>
          </w:p>
        </w:tc>
        <w:tc>
          <w:tcPr>
            <w:tcW w:w="905" w:type="dxa"/>
            <w:vAlign w:val="center"/>
          </w:tcPr>
          <w:p>
            <w:pPr>
              <w:jc w:val="center"/>
            </w:pPr>
            <w:r>
              <w:t>21</w:t>
            </w:r>
          </w:p>
        </w:tc>
        <w:tc>
          <w:tcPr>
            <w:tcW w:w="905" w:type="dxa"/>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continue"/>
            <w:vAlign w:val="center"/>
          </w:tcPr>
          <w:p>
            <w:pPr>
              <w:jc w:val="center"/>
            </w:pPr>
          </w:p>
        </w:tc>
        <w:tc>
          <w:tcPr>
            <w:tcW w:w="848" w:type="dxa"/>
            <w:vMerge w:val="continue"/>
            <w:vAlign w:val="center"/>
          </w:tcPr>
          <w:p>
            <w:pPr>
              <w:jc w:val="center"/>
            </w:pPr>
          </w:p>
        </w:tc>
        <w:tc>
          <w:tcPr>
            <w:tcW w:w="848" w:type="dxa"/>
            <w:vMerge w:val="continue"/>
            <w:vAlign w:val="center"/>
          </w:tcPr>
          <w:p>
            <w:pPr>
              <w:jc w:val="center"/>
            </w:pPr>
          </w:p>
        </w:tc>
        <w:tc>
          <w:tcPr>
            <w:tcW w:w="848" w:type="dxa"/>
            <w:vAlign w:val="center"/>
          </w:tcPr>
          <w:p>
            <w:pPr>
              <w:jc w:val="center"/>
            </w:pPr>
            <w:r>
              <w:t>夜间</w:t>
            </w:r>
          </w:p>
        </w:tc>
        <w:tc>
          <w:tcPr>
            <w:tcW w:w="1075" w:type="dxa"/>
            <w:vAlign w:val="center"/>
          </w:tcPr>
          <w:p>
            <w:pPr>
              <w:jc w:val="center"/>
            </w:pPr>
            <w:r>
              <w:t>20</w:t>
            </w:r>
          </w:p>
        </w:tc>
        <w:tc>
          <w:tcPr>
            <w:tcW w:w="905" w:type="dxa"/>
            <w:vAlign w:val="center"/>
          </w:tcPr>
          <w:p>
            <w:pPr>
              <w:jc w:val="center"/>
            </w:pPr>
            <w:r>
              <w:t>10</w:t>
            </w:r>
          </w:p>
        </w:tc>
        <w:tc>
          <w:tcPr>
            <w:tcW w:w="905" w:type="dxa"/>
            <w:vAlign w:val="center"/>
          </w:tcPr>
          <w:p>
            <w:pPr>
              <w:jc w:val="center"/>
            </w:pPr>
            <w:r>
              <w:t>4</w:t>
            </w:r>
          </w:p>
        </w:tc>
        <w:tc>
          <w:tcPr>
            <w:tcW w:w="905" w:type="dxa"/>
            <w:vAlign w:val="center"/>
          </w:tcPr>
          <w:p>
            <w:pPr>
              <w:jc w:val="center"/>
            </w:pPr>
            <w:r>
              <w:t>0</w:t>
            </w:r>
          </w:p>
        </w:tc>
      </w:tr>
    </w:tbl>
    <w:p>
      <w:pPr>
        <w:jc w:val="center"/>
      </w:pPr>
    </w:p>
    <w:p/>
    <w:p>
      <w:pPr>
        <w:pStyle w:val="2"/>
        <w:spacing w:line="400" w:lineRule="exact"/>
        <w:rPr>
          <w:rFonts w:ascii="Times New Roman" w:hAnsi="Times New Roman"/>
          <w:sz w:val="28"/>
          <w:szCs w:val="28"/>
        </w:rPr>
      </w:pPr>
      <w:bookmarkStart w:id="29" w:name="_Toc479326727"/>
      <w:bookmarkStart w:id="30" w:name="_Toc152701673"/>
      <w:r>
        <w:rPr>
          <w:rFonts w:hint="eastAsia" w:ascii="Times New Roman" w:hAnsi="Times New Roman"/>
          <w:sz w:val="28"/>
          <w:szCs w:val="28"/>
        </w:rPr>
        <w:t>4.模拟结果</w:t>
      </w:r>
      <w:r>
        <w:rPr>
          <w:rFonts w:ascii="Times New Roman" w:hAnsi="Times New Roman"/>
          <w:sz w:val="28"/>
          <w:szCs w:val="28"/>
        </w:rPr>
        <w:t>及分析</w:t>
      </w:r>
      <w:bookmarkEnd w:id="29"/>
      <w:bookmarkEnd w:id="30"/>
      <w:r>
        <w:rPr>
          <w:rFonts w:hint="eastAsia" w:ascii="Times New Roman" w:hAnsi="Times New Roman"/>
          <w:sz w:val="28"/>
          <w:szCs w:val="28"/>
        </w:rPr>
        <w:t xml:space="preserve"> </w:t>
      </w:r>
    </w:p>
    <w:p>
      <w:pPr>
        <w:ind w:firstLine="420" w:firstLineChars="200"/>
      </w:pPr>
      <w:bookmarkStart w:id="3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2" w:name="_Toc152701674"/>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1"/>
      <w:bookmarkEnd w:id="32"/>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3" w:name="场地分布图昼"/>
      <w:bookmarkEnd w:id="33"/>
      <w:r>
        <mc:AlternateContent>
          <mc:Choice Requires="wps">
            <w:drawing>
              <wp:anchor distT="0" distB="0" distL="114300" distR="114300" simplePos="0" relativeHeight="251660288" behindDoc="0" locked="0" layoutInCell="1" allowOverlap="1">
                <wp:simplePos x="0" y="0"/>
                <wp:positionH relativeFrom="column">
                  <wp:posOffset>1135380</wp:posOffset>
                </wp:positionH>
                <wp:positionV relativeFrom="paragraph">
                  <wp:posOffset>1481455</wp:posOffset>
                </wp:positionV>
                <wp:extent cx="1296035" cy="840740"/>
                <wp:effectExtent l="0" t="0" r="19050" b="16510"/>
                <wp:wrapNone/>
                <wp:docPr id="4" name="矩形 4"/>
                <wp:cNvGraphicFramePr/>
                <a:graphic xmlns:a="http://schemas.openxmlformats.org/drawingml/2006/main">
                  <a:graphicData uri="http://schemas.microsoft.com/office/word/2010/wordprocessingShape">
                    <wps:wsp>
                      <wps:cNvSpPr/>
                      <wps:spPr>
                        <a:xfrm>
                          <a:off x="0" y="0"/>
                          <a:ext cx="1295808" cy="841053"/>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9.4pt;margin-top:116.65pt;height:66.2pt;width:102.05pt;z-index:251660288;v-text-anchor:middle;mso-width-relative:page;mso-height-relative:page;" filled="f" stroked="t" coordsize="21600,21600" o:gfxdata="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PMcG4bZAAAACwEAAA8AAAAAAAAAAQAgAAAAIgAAAGRycy9kb3ducmV2Lnht&#10;bFBLAQIUABQAAAAIAIdO4kC6+26IagIAAMsEAAAOAAAAAAAAAAEAIAAAACgBAABkcnMvZTJvRG9j&#10;LnhtbFBLBQYAAAAABgAGAFkBAAAEBgAAAAA=&#10;">
                <v:fill on="f" focussize="0,0"/>
                <v:stroke weight="1.5pt" color="#FF0000 [3204]" miterlimit="8" joinstyle="miter"/>
                <v:imagedata o:title=""/>
                <o:lock v:ext="edit" aspectratio="f"/>
              </v:rect>
            </w:pict>
          </mc:Fallback>
        </mc:AlternateContent>
      </w:r>
      <w:r>
        <w:drawing>
          <wp:inline distT="0" distB="0" distL="0" distR="0">
            <wp:extent cx="5667375" cy="4962525"/>
            <wp:effectExtent l="0" t="0" r="9525" b="952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5667375" cy="4962525"/>
                    </a:xfrm>
                    <a:prstGeom prst="rect">
                      <a:avLst/>
                    </a:prstGeom>
                  </pic:spPr>
                </pic:pic>
              </a:graphicData>
            </a:graphic>
          </wp:inline>
        </w:drawing>
      </w:r>
    </w:p>
    <w:p>
      <w:pPr>
        <w:widowControl/>
        <w:jc w:val="center"/>
        <w:rPr>
          <w:kern w:val="0"/>
          <w:sz w:val="18"/>
          <w:szCs w:val="18"/>
        </w:rPr>
      </w:pPr>
      <w:r>
        <w:rPr>
          <w:rFonts w:hint="eastAsia"/>
          <w:kern w:val="0"/>
          <w:sz w:val="18"/>
          <w:szCs w:val="18"/>
        </w:rPr>
        <w:t>图4.1</w:t>
      </w:r>
      <w:r>
        <w:rPr>
          <w:kern w:val="0"/>
          <w:sz w:val="18"/>
          <w:szCs w:val="18"/>
        </w:rPr>
        <w:t>-1</w:t>
      </w:r>
      <w:r>
        <w:rPr>
          <w:rFonts w:hint="eastAsia"/>
          <w:kern w:val="0"/>
          <w:sz w:val="18"/>
          <w:szCs w:val="18"/>
        </w:rPr>
        <w:t xml:space="preserve"> 场地1.</w:t>
      </w:r>
      <w:r>
        <w:rPr>
          <w:kern w:val="0"/>
          <w:sz w:val="18"/>
          <w:szCs w:val="18"/>
        </w:rPr>
        <w:t>5m高度处</w:t>
      </w:r>
      <w:r>
        <w:rPr>
          <w:rFonts w:hint="eastAsia"/>
          <w:kern w:val="0"/>
          <w:sz w:val="18"/>
          <w:szCs w:val="18"/>
        </w:rPr>
        <w:t>声压级</w:t>
      </w:r>
      <w:r>
        <w:rPr>
          <w:kern w:val="0"/>
          <w:sz w:val="18"/>
          <w:szCs w:val="18"/>
        </w:rPr>
        <w:t>分布图（</w:t>
      </w:r>
      <w:r>
        <w:rPr>
          <w:rFonts w:hint="eastAsia"/>
          <w:kern w:val="0"/>
          <w:sz w:val="18"/>
          <w:szCs w:val="18"/>
        </w:rPr>
        <w:t>昼间</w:t>
      </w:r>
      <w:r>
        <w:rPr>
          <w:kern w:val="0"/>
          <w:sz w:val="18"/>
          <w:szCs w:val="18"/>
        </w:rPr>
        <w:t>）</w:t>
      </w:r>
    </w:p>
    <w:p>
      <w:pPr>
        <w:jc w:val="center"/>
        <w:rPr>
          <w:rFonts w:ascii="Times New Roman" w:hAnsi="Times New Roman"/>
        </w:rPr>
      </w:pPr>
      <w:bookmarkStart w:id="34" w:name="场地分布图夜"/>
      <w:bookmarkEnd w:id="34"/>
      <w:r>
        <mc:AlternateContent>
          <mc:Choice Requires="wps">
            <w:drawing>
              <wp:anchor distT="0" distB="0" distL="114300" distR="114300" simplePos="0" relativeHeight="251661312" behindDoc="0" locked="0" layoutInCell="1" allowOverlap="1">
                <wp:simplePos x="0" y="0"/>
                <wp:positionH relativeFrom="column">
                  <wp:posOffset>1149985</wp:posOffset>
                </wp:positionH>
                <wp:positionV relativeFrom="paragraph">
                  <wp:posOffset>1496060</wp:posOffset>
                </wp:positionV>
                <wp:extent cx="1310640" cy="840740"/>
                <wp:effectExtent l="0" t="0" r="23495" b="16510"/>
                <wp:wrapNone/>
                <wp:docPr id="5" name="矩形 5"/>
                <wp:cNvGraphicFramePr/>
                <a:graphic xmlns:a="http://schemas.openxmlformats.org/drawingml/2006/main">
                  <a:graphicData uri="http://schemas.microsoft.com/office/word/2010/wordprocessingShape">
                    <wps:wsp>
                      <wps:cNvSpPr/>
                      <wps:spPr>
                        <a:xfrm>
                          <a:off x="0" y="0"/>
                          <a:ext cx="1310477" cy="841052"/>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0.55pt;margin-top:117.8pt;height:66.2pt;width:103.2pt;z-index:251661312;v-text-anchor:middle;mso-width-relative:page;mso-height-relative:page;" filled="f" stroked="t" coordsize="21600,21600" o:gfxdata="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hhskV2QAAAAsBAAAPAAAAAAAAAAEAIAAAACIAAABkcnMvZG93bnJldi54&#10;bWxQSwECFAAUAAAACACHTuJANsi2a2sCAADLBAAADgAAAAAAAAABACAAAAAoAQAAZHJzL2Uyb0Rv&#10;Yy54bWxQSwUGAAAAAAYABgBZAQAABQYAAAAA&#10;">
                <v:fill on="f" focussize="0,0"/>
                <v:stroke weight="1.5pt" color="#FF0000 [3204]" miterlimit="8" joinstyle="miter"/>
                <v:imagedata o:title=""/>
                <o:lock v:ext="edit" aspectratio="f"/>
              </v:rect>
            </w:pict>
          </mc:Fallback>
        </mc:AlternateContent>
      </w:r>
      <w:r>
        <w:drawing>
          <wp:inline distT="0" distB="0" distL="0" distR="0">
            <wp:extent cx="5667375" cy="49625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5667375" cy="4962525"/>
                    </a:xfrm>
                    <a:prstGeom prst="rect">
                      <a:avLst/>
                    </a:prstGeom>
                  </pic:spPr>
                </pic:pic>
              </a:graphicData>
            </a:graphic>
          </wp:inline>
        </w:drawing>
      </w:r>
    </w:p>
    <w:p>
      <w:pPr>
        <w:widowControl/>
        <w:jc w:val="center"/>
        <w:rPr>
          <w:kern w:val="0"/>
          <w:sz w:val="18"/>
          <w:szCs w:val="18"/>
        </w:rPr>
      </w:pPr>
      <w:r>
        <w:rPr>
          <w:rFonts w:hint="eastAsia"/>
          <w:kern w:val="0"/>
          <w:sz w:val="18"/>
          <w:szCs w:val="18"/>
        </w:rPr>
        <w:t>图4.1</w:t>
      </w:r>
      <w:r>
        <w:rPr>
          <w:kern w:val="0"/>
          <w:sz w:val="18"/>
          <w:szCs w:val="18"/>
        </w:rPr>
        <w:t xml:space="preserve">-2 </w:t>
      </w:r>
      <w:r>
        <w:rPr>
          <w:rFonts w:hint="eastAsia"/>
          <w:kern w:val="0"/>
          <w:sz w:val="18"/>
          <w:szCs w:val="18"/>
        </w:rPr>
        <w:t>场地1.</w:t>
      </w:r>
      <w:r>
        <w:rPr>
          <w:kern w:val="0"/>
          <w:sz w:val="18"/>
          <w:szCs w:val="18"/>
        </w:rPr>
        <w:t>5m高度处</w:t>
      </w:r>
      <w:r>
        <w:rPr>
          <w:rFonts w:hint="eastAsia"/>
          <w:kern w:val="0"/>
          <w:sz w:val="18"/>
          <w:szCs w:val="18"/>
        </w:rPr>
        <w:t>声压级</w:t>
      </w:r>
      <w:r>
        <w:rPr>
          <w:kern w:val="0"/>
          <w:sz w:val="18"/>
          <w:szCs w:val="18"/>
        </w:rPr>
        <w:t>分布图（</w:t>
      </w:r>
      <w:r>
        <w:rPr>
          <w:rFonts w:hint="eastAsia"/>
          <w:kern w:val="0"/>
          <w:sz w:val="18"/>
          <w:szCs w:val="18"/>
        </w:rPr>
        <w:t>夜间</w:t>
      </w:r>
      <w:r>
        <w:rPr>
          <w:kern w:val="0"/>
          <w:sz w:val="18"/>
          <w:szCs w:val="18"/>
        </w:rPr>
        <w:t>）</w:t>
      </w:r>
    </w:p>
    <w:p>
      <w:pPr>
        <w:jc w:val="center"/>
        <w:rPr>
          <w:rFonts w:ascii="Times New Roman" w:hAnsi="Times New Roman"/>
        </w:rPr>
      </w:pPr>
      <w:bookmarkStart w:id="35" w:name="场地噪声分布俯瞰昼"/>
      <w:bookmarkEnd w:id="35"/>
      <w:r>
        <w:drawing>
          <wp:inline distT="0" distB="0" distL="0" distR="0">
            <wp:extent cx="5667375" cy="49625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1"/>
                    <a:stretch>
                      <a:fillRect/>
                    </a:stretch>
                  </pic:blipFill>
                  <pic:spPr>
                    <a:xfrm>
                      <a:off x="0" y="0"/>
                      <a:ext cx="5667375" cy="4962525"/>
                    </a:xfrm>
                    <a:prstGeom prst="rect">
                      <a:avLst/>
                    </a:prstGeom>
                  </pic:spPr>
                </pic:pic>
              </a:graphicData>
            </a:graphic>
          </wp:inline>
        </w:drawing>
      </w:r>
    </w:p>
    <w:p>
      <w:pPr>
        <w:widowControl/>
        <w:jc w:val="center"/>
        <w:rPr>
          <w:kern w:val="0"/>
          <w:sz w:val="18"/>
          <w:szCs w:val="18"/>
        </w:rPr>
      </w:pPr>
      <w:r>
        <w:rPr>
          <w:rFonts w:hint="eastAsia"/>
          <w:kern w:val="0"/>
          <w:sz w:val="18"/>
          <w:szCs w:val="18"/>
        </w:rPr>
        <w:t>图4.1</w:t>
      </w:r>
      <w:r>
        <w:rPr>
          <w:kern w:val="0"/>
          <w:sz w:val="18"/>
          <w:szCs w:val="18"/>
        </w:rPr>
        <w:t>-3</w:t>
      </w:r>
      <w:r>
        <w:rPr>
          <w:rFonts w:hint="eastAsia"/>
          <w:kern w:val="0"/>
          <w:sz w:val="18"/>
          <w:szCs w:val="18"/>
        </w:rPr>
        <w:t xml:space="preserve">  场地噪声分布俯瞰图（昼间）</w:t>
      </w:r>
    </w:p>
    <w:p>
      <w:pPr>
        <w:widowControl/>
        <w:jc w:val="center"/>
        <w:rPr>
          <w:rFonts w:ascii="宋体" w:hAnsi="宋体"/>
          <w:szCs w:val="21"/>
        </w:rPr>
      </w:pPr>
      <w:bookmarkStart w:id="36" w:name="场地噪声分布俯瞰夜"/>
      <w:bookmarkEnd w:id="36"/>
      <w:r>
        <w:drawing>
          <wp:inline distT="0" distB="0" distL="0" distR="0">
            <wp:extent cx="5667375" cy="4962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2"/>
                    <a:stretch>
                      <a:fillRect/>
                    </a:stretch>
                  </pic:blipFill>
                  <pic:spPr>
                    <a:xfrm>
                      <a:off x="0" y="0"/>
                      <a:ext cx="5667375" cy="4962525"/>
                    </a:xfrm>
                    <a:prstGeom prst="rect">
                      <a:avLst/>
                    </a:prstGeom>
                  </pic:spPr>
                </pic:pic>
              </a:graphicData>
            </a:graphic>
          </wp:inline>
        </w:drawing>
      </w:r>
    </w:p>
    <w:p>
      <w:pPr>
        <w:widowControl/>
        <w:jc w:val="center"/>
        <w:rPr>
          <w:kern w:val="0"/>
          <w:sz w:val="18"/>
          <w:szCs w:val="18"/>
        </w:rPr>
      </w:pPr>
      <w:r>
        <w:rPr>
          <w:rFonts w:hint="eastAsia"/>
          <w:kern w:val="0"/>
          <w:sz w:val="18"/>
          <w:szCs w:val="18"/>
        </w:rPr>
        <w:t>图4.1</w:t>
      </w:r>
      <w:r>
        <w:rPr>
          <w:kern w:val="0"/>
          <w:sz w:val="18"/>
          <w:szCs w:val="18"/>
        </w:rPr>
        <w:t xml:space="preserve">-4  </w:t>
      </w:r>
      <w:r>
        <w:rPr>
          <w:rFonts w:hint="eastAsia"/>
          <w:kern w:val="0"/>
          <w:sz w:val="18"/>
          <w:szCs w:val="18"/>
        </w:rPr>
        <w:t>场地噪声分布俯瞰图（夜间）</w:t>
      </w:r>
    </w:p>
    <w:p>
      <w:pPr>
        <w:jc w:val="center"/>
        <w:rPr>
          <w:rFonts w:ascii="Times New Roman" w:hAnsi="Times New Roman"/>
          <w:b/>
          <w:color w:val="FF0000"/>
        </w:rPr>
      </w:pPr>
    </w:p>
    <w:p>
      <w:pPr>
        <w:pStyle w:val="3"/>
        <w:rPr>
          <w:sz w:val="24"/>
          <w:szCs w:val="24"/>
        </w:rPr>
      </w:pPr>
      <w:bookmarkStart w:id="37" w:name="_Toc479326729"/>
      <w:bookmarkStart w:id="38" w:name="_Toc152701675"/>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37"/>
      <w:r>
        <w:rPr>
          <w:rFonts w:hint="eastAsia"/>
          <w:sz w:val="24"/>
          <w:szCs w:val="24"/>
        </w:rPr>
        <w:t>情况</w:t>
      </w:r>
      <w:bookmarkEnd w:id="38"/>
    </w:p>
    <w:p>
      <w:pPr>
        <w:spacing w:line="276" w:lineRule="auto"/>
        <w:ind w:firstLine="420"/>
        <w:rPr>
          <w:rFonts w:ascii="Times New Roman" w:hAnsi="Times New Roman" w:cs="宋体"/>
          <w:szCs w:val="21"/>
        </w:rPr>
      </w:pPr>
      <w:r>
        <w:rPr>
          <w:rFonts w:hint="eastAsia"/>
        </w:rPr>
        <w:t>参评建筑昼间和夜间沿底轮廓线1.5米分析高度处噪声分布情况，每栋参评建筑物俯视图圆圈内上下两个数字分别表示该建筑的昼间和夜间最大噪声值，红色填充代表该建筑昼间或夜间噪声值至少有一项超过三</w:t>
      </w:r>
      <w:r>
        <w:rPr>
          <w:rFonts w:hint="eastAsia" w:ascii="Times New Roman" w:hAnsi="Times New Roman" w:cs="宋体"/>
          <w:szCs w:val="21"/>
        </w:rPr>
        <w:t>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szCs w:val="21"/>
        </w:rPr>
      </w:pPr>
      <w:r>
        <w:rPr>
          <w:rFonts w:hint="eastAsia" w:ascii="Times New Roman" w:hAnsi="Times New Roman" w:cs="宋体"/>
          <w:szCs w:val="21"/>
        </w:rPr>
        <w:t>本项目室外昼间和夜间噪声分析及达标情况如下：</w:t>
      </w:r>
    </w:p>
    <w:p>
      <w:pPr>
        <w:jc w:val="center"/>
        <w:rPr>
          <w:rFonts w:ascii="Times New Roman" w:hAnsi="Times New Roman"/>
        </w:rPr>
      </w:pPr>
      <w:bookmarkStart w:id="39" w:name="建筑附近声压分布图昼"/>
      <w:bookmarkEnd w:id="39"/>
      <w:r>
        <mc:AlternateContent>
          <mc:Choice Requires="wps">
            <w:drawing>
              <wp:anchor distT="0" distB="0" distL="114300" distR="114300" simplePos="0" relativeHeight="251662336" behindDoc="0" locked="0" layoutInCell="1" allowOverlap="1">
                <wp:simplePos x="0" y="0"/>
                <wp:positionH relativeFrom="column">
                  <wp:posOffset>-81280</wp:posOffset>
                </wp:positionH>
                <wp:positionV relativeFrom="paragraph">
                  <wp:posOffset>87630</wp:posOffset>
                </wp:positionV>
                <wp:extent cx="3261360" cy="1902460"/>
                <wp:effectExtent l="0" t="0" r="15240" b="22225"/>
                <wp:wrapNone/>
                <wp:docPr id="6" name="矩形 6"/>
                <wp:cNvGraphicFramePr/>
                <a:graphic xmlns:a="http://schemas.openxmlformats.org/drawingml/2006/main">
                  <a:graphicData uri="http://schemas.microsoft.com/office/word/2010/wordprocessingShape">
                    <wps:wsp>
                      <wps:cNvSpPr/>
                      <wps:spPr>
                        <a:xfrm>
                          <a:off x="0" y="0"/>
                          <a:ext cx="3261523" cy="190214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4pt;margin-top:6.9pt;height:149.8pt;width:256.8pt;z-index:251662336;v-text-anchor:middle;mso-width-relative:page;mso-height-relative:page;" filled="f" stroked="t" coordsize="21600,21600" o:gfxdata="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MgORUvWAAAACgEAAA8AAAAAAAAAAQAgAAAAIgAAAGRycy9kb3ducmV2Lnht&#10;bFBLAQIUABQAAAAIAIdO4kA2+UbQbQIAAMwEAAAOAAAAAAAAAAEAIAAAACUBAABkcnMvZTJvRG9j&#10;LnhtbFBLBQYAAAAABgAGAFkBAAAEBgAAAAA=&#10;">
                <v:fill on="f" focussize="0,0"/>
                <v:stroke weight="1pt" color="#FF0000 [3204]" miterlimit="8" joinstyle="miter"/>
                <v:imagedata o:title=""/>
                <o:lock v:ext="edit" aspectratio="f"/>
              </v:rect>
            </w:pict>
          </mc:Fallback>
        </mc:AlternateContent>
      </w:r>
      <w:r>
        <w:drawing>
          <wp:inline distT="0" distB="0" distL="0" distR="0">
            <wp:extent cx="5667375" cy="32956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3"/>
                    <a:stretch>
                      <a:fillRect/>
                    </a:stretch>
                  </pic:blipFill>
                  <pic:spPr>
                    <a:xfrm>
                      <a:off x="0" y="0"/>
                      <a:ext cx="5667375" cy="3295650"/>
                    </a:xfrm>
                    <a:prstGeom prst="rect">
                      <a:avLst/>
                    </a:prstGeom>
                  </pic:spPr>
                </pic:pic>
              </a:graphicData>
            </a:graphic>
          </wp:inline>
        </w:drawing>
      </w:r>
    </w:p>
    <w:p>
      <w:pPr>
        <w:widowControl/>
        <w:jc w:val="center"/>
        <w:rPr>
          <w:kern w:val="0"/>
          <w:sz w:val="18"/>
          <w:szCs w:val="18"/>
        </w:rPr>
      </w:pPr>
      <w:r>
        <w:rPr>
          <w:rFonts w:hint="eastAsia"/>
          <w:kern w:val="0"/>
          <w:sz w:val="18"/>
          <w:szCs w:val="18"/>
        </w:rPr>
        <w:t>图4.</w:t>
      </w:r>
      <w:r>
        <w:rPr>
          <w:kern w:val="0"/>
          <w:sz w:val="18"/>
          <w:szCs w:val="18"/>
        </w:rPr>
        <w:t>2-1</w:t>
      </w:r>
      <w:r>
        <w:rPr>
          <w:rFonts w:hint="eastAsia"/>
          <w:kern w:val="0"/>
          <w:sz w:val="18"/>
          <w:szCs w:val="18"/>
        </w:rPr>
        <w:t xml:space="preserve"> 参评建筑附近区域</w:t>
      </w:r>
      <w:r>
        <w:rPr>
          <w:kern w:val="0"/>
          <w:sz w:val="18"/>
          <w:szCs w:val="18"/>
        </w:rPr>
        <w:t>1.5m</w:t>
      </w:r>
      <w:r>
        <w:rPr>
          <w:rFonts w:hint="eastAsia"/>
          <w:kern w:val="0"/>
          <w:sz w:val="18"/>
          <w:szCs w:val="18"/>
        </w:rPr>
        <w:t>高度处声压级平面分布图（昼间）</w:t>
      </w:r>
    </w:p>
    <w:p>
      <w:pPr>
        <w:jc w:val="center"/>
        <w:rPr>
          <w:rFonts w:ascii="Times New Roman" w:hAnsi="Times New Roman"/>
        </w:rPr>
      </w:pPr>
      <w:bookmarkStart w:id="40" w:name="建筑附近声压分布图夜"/>
      <w:bookmarkEnd w:id="40"/>
      <w:r>
        <mc:AlternateContent>
          <mc:Choice Requires="wps">
            <w:drawing>
              <wp:anchor distT="0" distB="0" distL="114300" distR="114300" simplePos="0" relativeHeight="251663360" behindDoc="0" locked="0" layoutInCell="1" allowOverlap="1">
                <wp:simplePos x="0" y="0"/>
                <wp:positionH relativeFrom="column">
                  <wp:posOffset>54610</wp:posOffset>
                </wp:positionH>
                <wp:positionV relativeFrom="paragraph">
                  <wp:posOffset>72390</wp:posOffset>
                </wp:positionV>
                <wp:extent cx="3080385" cy="1814195"/>
                <wp:effectExtent l="0" t="0" r="24765" b="15240"/>
                <wp:wrapNone/>
                <wp:docPr id="7" name="矩形 7"/>
                <wp:cNvGraphicFramePr/>
                <a:graphic xmlns:a="http://schemas.openxmlformats.org/drawingml/2006/main">
                  <a:graphicData uri="http://schemas.microsoft.com/office/word/2010/wordprocessingShape">
                    <wps:wsp>
                      <wps:cNvSpPr/>
                      <wps:spPr>
                        <a:xfrm>
                          <a:off x="0" y="0"/>
                          <a:ext cx="3080599" cy="1814131"/>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3pt;margin-top:5.7pt;height:142.85pt;width:242.55pt;z-index:251663360;v-text-anchor:middle;mso-width-relative:page;mso-height-relative:page;" filled="f" stroked="t" coordsize="21600,21600" o:gfxdata="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D/2j5rWAAAACAEAAA8AAAAAAAAAAQAgAAAAIgAAAGRycy9kb3ducmV2Lnht&#10;bFBLAQIUABQAAAAIAIdO4kAIoerZbQIAAMwEAAAOAAAAAAAAAAEAIAAAACUBAABkcnMvZTJvRG9j&#10;LnhtbFBLBQYAAAAABgAGAFkBAAAEBgAAAAA=&#10;">
                <v:fill on="f" focussize="0,0"/>
                <v:stroke weight="1pt" color="#FF0000 [3204]" miterlimit="8" joinstyle="miter"/>
                <v:imagedata o:title=""/>
                <o:lock v:ext="edit" aspectratio="f"/>
              </v:rect>
            </w:pict>
          </mc:Fallback>
        </mc:AlternateContent>
      </w:r>
      <w:r>
        <w:drawing>
          <wp:inline distT="0" distB="0" distL="0" distR="0">
            <wp:extent cx="5667375" cy="3295650"/>
            <wp:effectExtent l="0" t="0" r="9525"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4"/>
                    <a:stretch>
                      <a:fillRect/>
                    </a:stretch>
                  </pic:blipFill>
                  <pic:spPr>
                    <a:xfrm>
                      <a:off x="0" y="0"/>
                      <a:ext cx="5667375" cy="3295650"/>
                    </a:xfrm>
                    <a:prstGeom prst="rect">
                      <a:avLst/>
                    </a:prstGeom>
                  </pic:spPr>
                </pic:pic>
              </a:graphicData>
            </a:graphic>
          </wp:inline>
        </w:drawing>
      </w:r>
    </w:p>
    <w:p>
      <w:pPr>
        <w:widowControl/>
        <w:jc w:val="center"/>
        <w:rPr>
          <w:kern w:val="0"/>
          <w:sz w:val="18"/>
          <w:szCs w:val="18"/>
        </w:rPr>
      </w:pPr>
      <w:r>
        <w:rPr>
          <w:rFonts w:hint="eastAsia"/>
          <w:kern w:val="0"/>
          <w:sz w:val="18"/>
          <w:szCs w:val="18"/>
        </w:rPr>
        <w:t>图4.</w:t>
      </w:r>
      <w:r>
        <w:rPr>
          <w:kern w:val="0"/>
          <w:sz w:val="18"/>
          <w:szCs w:val="18"/>
        </w:rPr>
        <w:t>2-2</w:t>
      </w:r>
      <w:r>
        <w:rPr>
          <w:rFonts w:hint="eastAsia"/>
          <w:kern w:val="0"/>
          <w:sz w:val="18"/>
          <w:szCs w:val="18"/>
        </w:rPr>
        <w:t xml:space="preserve"> 参评建筑附近区域</w:t>
      </w:r>
      <w:r>
        <w:rPr>
          <w:kern w:val="0"/>
          <w:sz w:val="18"/>
          <w:szCs w:val="18"/>
        </w:rPr>
        <w:t>1.5m</w:t>
      </w:r>
      <w:r>
        <w:rPr>
          <w:rFonts w:hint="eastAsia"/>
          <w:kern w:val="0"/>
          <w:sz w:val="18"/>
          <w:szCs w:val="18"/>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5"/>
                    <a:stretch>
                      <a:fillRect/>
                    </a:stretch>
                  </pic:blipFill>
                  <pic:spPr>
                    <a:xfrm>
                      <a:off x="0" y="0"/>
                      <a:ext cx="3704762" cy="476190"/>
                    </a:xfrm>
                    <a:prstGeom prst="rect">
                      <a:avLst/>
                    </a:prstGeom>
                  </pic:spPr>
                </pic:pic>
              </a:graphicData>
            </a:graphic>
          </wp:inline>
        </w:drawing>
      </w:r>
    </w:p>
    <w:p>
      <w:pPr>
        <w:widowControl/>
        <w:jc w:val="center"/>
        <w:rPr>
          <w:rFonts w:ascii="宋体" w:hAnsi="宋体"/>
          <w:szCs w:val="21"/>
        </w:rPr>
      </w:pPr>
      <w:bookmarkStart w:id="41" w:name="建筑附近声压分布鸟瞰图昼"/>
      <w:r>
        <mc:AlternateContent>
          <mc:Choice Requires="wps">
            <w:drawing>
              <wp:anchor distT="0" distB="0" distL="114300" distR="114300" simplePos="0" relativeHeight="251666432" behindDoc="0" locked="0" layoutInCell="1" allowOverlap="1">
                <wp:simplePos x="0" y="0"/>
                <wp:positionH relativeFrom="column">
                  <wp:posOffset>4354195</wp:posOffset>
                </wp:positionH>
                <wp:positionV relativeFrom="paragraph">
                  <wp:posOffset>356235</wp:posOffset>
                </wp:positionV>
                <wp:extent cx="1416685" cy="400050"/>
                <wp:effectExtent l="361950" t="0" r="12065" b="133350"/>
                <wp:wrapNone/>
                <wp:docPr id="10" name="标注: 线形 10"/>
                <wp:cNvGraphicFramePr/>
                <a:graphic xmlns:a="http://schemas.openxmlformats.org/drawingml/2006/main">
                  <a:graphicData uri="http://schemas.microsoft.com/office/word/2010/wordprocessingShape">
                    <wps:wsp>
                      <wps:cNvSpPr/>
                      <wps:spPr>
                        <a:xfrm>
                          <a:off x="0" y="0"/>
                          <a:ext cx="1416933" cy="400050"/>
                        </a:xfrm>
                        <a:prstGeom prst="borderCallout1">
                          <a:avLst>
                            <a:gd name="adj1" fmla="val 128600"/>
                            <a:gd name="adj2" fmla="val -25032"/>
                            <a:gd name="adj3" fmla="val 47797"/>
                            <a:gd name="adj4" fmla="val 1138"/>
                          </a:avLst>
                        </a:prstGeom>
                      </wps:spPr>
                      <wps:style>
                        <a:lnRef idx="2">
                          <a:schemeClr val="accent4">
                            <a:shade val="50000"/>
                          </a:schemeClr>
                        </a:lnRef>
                        <a:fillRef idx="1">
                          <a:schemeClr val="accent4"/>
                        </a:fillRef>
                        <a:effectRef idx="0">
                          <a:schemeClr val="accent4"/>
                        </a:effectRef>
                        <a:fontRef idx="minor">
                          <a:schemeClr val="lt1"/>
                        </a:fontRef>
                      </wps:style>
                      <wps:txbx>
                        <w:txbxContent>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机械科学与工程学院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标注: 线形 10" o:spid="_x0000_s1026" o:spt="47" type="#_x0000_t47" style="position:absolute;left:0pt;margin-left:342.85pt;margin-top:28.05pt;height:31.5pt;width:111.55pt;z-index:251666432;v-text-anchor:middle;mso-width-relative:page;mso-height-relative:page;" fillcolor="#FFC000 [3207]" filled="t" stroked="t" coordsize="21600,21600" o:gfxdata="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A1xeTzXAAAACgEAAA8AAAAAAAAAAQAgAAAAIgAAAGRycy9kb3ducmV2LnhtbFBLAQIU&#10;ABQAAAAIAIdO4kDrFKGn2AIAAM4FAAAOAAAAAAAAAAEAIAAAACYBAABkcnMvZTJvRG9jLnhtbFBL&#10;BQYAAAAABgAGAFkBAABwBgAAAAA=&#10;" adj="246,10324,-5407,27778">
                <v:fill on="t" focussize="0,0"/>
                <v:stroke weight="1pt" color="#BC8C00 [3207]" miterlimit="8" joinstyle="miter"/>
                <v:imagedata o:title=""/>
                <o:lock v:ext="edit" aspectratio="f"/>
                <v:textbox>
                  <w:txbxContent>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机械科学与工程学院</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381635</wp:posOffset>
                </wp:positionH>
                <wp:positionV relativeFrom="paragraph">
                  <wp:posOffset>531495</wp:posOffset>
                </wp:positionV>
                <wp:extent cx="1288415" cy="400050"/>
                <wp:effectExtent l="0" t="0" r="464185" b="95250"/>
                <wp:wrapNone/>
                <wp:docPr id="8" name="标注: 线形 8"/>
                <wp:cNvGraphicFramePr/>
                <a:graphic xmlns:a="http://schemas.openxmlformats.org/drawingml/2006/main">
                  <a:graphicData uri="http://schemas.microsoft.com/office/word/2010/wordprocessingShape">
                    <wps:wsp>
                      <wps:cNvSpPr/>
                      <wps:spPr>
                        <a:xfrm>
                          <a:off x="0" y="0"/>
                          <a:ext cx="1288415" cy="400050"/>
                        </a:xfrm>
                        <a:prstGeom prst="borderCallout1">
                          <a:avLst>
                            <a:gd name="adj1" fmla="val 118822"/>
                            <a:gd name="adj2" fmla="val 133989"/>
                            <a:gd name="adj3" fmla="val 51464"/>
                            <a:gd name="adj4" fmla="val 100573"/>
                          </a:avLst>
                        </a:prstGeom>
                      </wps:spPr>
                      <wps:style>
                        <a:lnRef idx="2">
                          <a:schemeClr val="accent4">
                            <a:shade val="50000"/>
                          </a:schemeClr>
                        </a:lnRef>
                        <a:fillRef idx="1">
                          <a:schemeClr val="accent4"/>
                        </a:fillRef>
                        <a:effectRef idx="0">
                          <a:schemeClr val="accent4"/>
                        </a:effectRef>
                        <a:fontRef idx="minor">
                          <a:schemeClr val="lt1"/>
                        </a:fontRef>
                      </wps:style>
                      <wps:txbx>
                        <w:txbxContent>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土木建筑工程学院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标注: 线形 8" o:spid="_x0000_s1026" o:spt="47" type="#_x0000_t47" style="position:absolute;left:0pt;margin-left:30.05pt;margin-top:41.85pt;height:31.5pt;width:101.45pt;z-index:251664384;v-text-anchor:middle;mso-width-relative:page;mso-height-relative:page;" fillcolor="#FFC000 [3207]" filled="t" stroked="t" coordsize="21600,21600" o:gfxdata="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h+m59gAAAAJAQAADwAAAAAAAAABACAAAAAiAAAAZHJzL2Rvd25yZXYueG1sUEsBAhQAFAAA&#10;AAgAh07iQKx9YTHTAgAAzgUAAA4AAAAAAAAAAQAgAAAAJwEAAGRycy9lMm9Eb2MueG1sUEsFBgAA&#10;AAAGAAYAWQEAAGwGAAAAAA==&#10;" adj="21724,11116,28942,25666">
                <v:fill on="t" focussize="0,0"/>
                <v:stroke weight="1pt" color="#BC8C00 [3207]" miterlimit="8" joinstyle="miter"/>
                <v:imagedata o:title=""/>
                <o:lock v:ext="edit" aspectratio="f"/>
                <v:textbox>
                  <w:txbxContent>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土木建筑工程学院</w:t>
                      </w:r>
                    </w:p>
                  </w:txbxContent>
                </v:textbox>
              </v:shape>
            </w:pict>
          </mc:Fallback>
        </mc:AlternateContent>
      </w:r>
      <w:r>
        <w:drawing>
          <wp:inline distT="0" distB="0" distL="0" distR="0">
            <wp:extent cx="5667375" cy="2943225"/>
            <wp:effectExtent l="0" t="0" r="9525" b="9525"/>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6"/>
                    <a:stretch>
                      <a:fillRect/>
                    </a:stretch>
                  </pic:blipFill>
                  <pic:spPr>
                    <a:xfrm>
                      <a:off x="0" y="0"/>
                      <a:ext cx="5667375" cy="2943225"/>
                    </a:xfrm>
                    <a:prstGeom prst="rect">
                      <a:avLst/>
                    </a:prstGeom>
                  </pic:spPr>
                </pic:pic>
              </a:graphicData>
            </a:graphic>
          </wp:inline>
        </w:drawing>
      </w:r>
    </w:p>
    <w:bookmarkEnd w:id="41"/>
    <w:p>
      <w:pPr>
        <w:widowControl/>
        <w:jc w:val="center"/>
        <w:rPr>
          <w:rFonts w:ascii="宋体" w:hAnsi="宋体"/>
          <w:szCs w:val="21"/>
        </w:rPr>
      </w:pPr>
    </w:p>
    <w:p>
      <w:pPr>
        <w:widowControl/>
        <w:tabs>
          <w:tab w:val="center" w:pos="4153"/>
          <w:tab w:val="right" w:pos="8306"/>
        </w:tabs>
        <w:rPr>
          <w:kern w:val="0"/>
          <w:sz w:val="18"/>
          <w:szCs w:val="18"/>
        </w:rPr>
      </w:pPr>
      <w:r>
        <w:rPr>
          <w:kern w:val="0"/>
          <w:sz w:val="18"/>
          <w:szCs w:val="18"/>
        </w:rPr>
        <w:tab/>
      </w:r>
      <w:r>
        <w:rPr>
          <w:rFonts w:hint="eastAsia"/>
          <w:kern w:val="0"/>
          <w:sz w:val="18"/>
          <w:szCs w:val="18"/>
        </w:rPr>
        <w:t>图4.</w:t>
      </w:r>
      <w:r>
        <w:rPr>
          <w:kern w:val="0"/>
          <w:sz w:val="18"/>
          <w:szCs w:val="18"/>
        </w:rPr>
        <w:t>2-3</w:t>
      </w:r>
      <w:r>
        <w:rPr>
          <w:rFonts w:hint="eastAsia"/>
          <w:kern w:val="0"/>
          <w:sz w:val="18"/>
          <w:szCs w:val="18"/>
        </w:rPr>
        <w:t xml:space="preserve"> 参评建筑附近区域声压级鸟瞰分布图（昼间）</w:t>
      </w:r>
      <w:r>
        <w:rPr>
          <w:kern w:val="0"/>
          <w:sz w:val="18"/>
          <w:szCs w:val="18"/>
        </w:rPr>
        <w:tab/>
      </w:r>
    </w:p>
    <w:p>
      <w:pPr>
        <w:widowControl/>
        <w:jc w:val="center"/>
        <w:rPr>
          <w:rFonts w:ascii="宋体" w:hAnsi="宋体"/>
          <w:szCs w:val="21"/>
        </w:rPr>
      </w:pPr>
    </w:p>
    <w:p>
      <w:pPr>
        <w:widowControl/>
        <w:jc w:val="center"/>
        <w:rPr>
          <w:rFonts w:ascii="宋体" w:hAnsi="宋体"/>
          <w:szCs w:val="21"/>
        </w:rPr>
      </w:pPr>
      <w:bookmarkStart w:id="42" w:name="建筑附近声压分布鸟瞰图夜"/>
      <w:bookmarkEnd w:id="42"/>
      <w:r>
        <mc:AlternateContent>
          <mc:Choice Requires="wps">
            <w:drawing>
              <wp:anchor distT="0" distB="0" distL="114300" distR="114300" simplePos="0" relativeHeight="251667456" behindDoc="0" locked="0" layoutInCell="1" allowOverlap="1">
                <wp:simplePos x="0" y="0"/>
                <wp:positionH relativeFrom="column">
                  <wp:posOffset>4251960</wp:posOffset>
                </wp:positionH>
                <wp:positionV relativeFrom="paragraph">
                  <wp:posOffset>256540</wp:posOffset>
                </wp:positionV>
                <wp:extent cx="1416685" cy="400050"/>
                <wp:effectExtent l="361950" t="0" r="12065" b="133350"/>
                <wp:wrapNone/>
                <wp:docPr id="11" name="标注: 线形 11"/>
                <wp:cNvGraphicFramePr/>
                <a:graphic xmlns:a="http://schemas.openxmlformats.org/drawingml/2006/main">
                  <a:graphicData uri="http://schemas.microsoft.com/office/word/2010/wordprocessingShape">
                    <wps:wsp>
                      <wps:cNvSpPr/>
                      <wps:spPr>
                        <a:xfrm>
                          <a:off x="0" y="0"/>
                          <a:ext cx="1416933" cy="400050"/>
                        </a:xfrm>
                        <a:prstGeom prst="borderCallout1">
                          <a:avLst>
                            <a:gd name="adj1" fmla="val 128600"/>
                            <a:gd name="adj2" fmla="val -25032"/>
                            <a:gd name="adj3" fmla="val 47797"/>
                            <a:gd name="adj4" fmla="val 1138"/>
                          </a:avLst>
                        </a:prstGeom>
                      </wps:spPr>
                      <wps:style>
                        <a:lnRef idx="2">
                          <a:schemeClr val="accent4">
                            <a:shade val="50000"/>
                          </a:schemeClr>
                        </a:lnRef>
                        <a:fillRef idx="1">
                          <a:schemeClr val="accent4"/>
                        </a:fillRef>
                        <a:effectRef idx="0">
                          <a:schemeClr val="accent4"/>
                        </a:effectRef>
                        <a:fontRef idx="minor">
                          <a:schemeClr val="lt1"/>
                        </a:fontRef>
                      </wps:style>
                      <wps:txbx>
                        <w:txbxContent>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机械科学与工程学院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标注: 线形 11" o:spid="_x0000_s1026" o:spt="47" type="#_x0000_t47" style="position:absolute;left:0pt;margin-left:334.8pt;margin-top:20.2pt;height:31.5pt;width:111.55pt;z-index:251667456;v-text-anchor:middle;mso-width-relative:page;mso-height-relative:page;" fillcolor="#FFC000 [3207]" filled="t" stroked="t" coordsize="21600,21600" o:gfxdata="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txZgBNcAAAAKAQAADwAAAAAAAAABACAAAAAiAAAAZHJzL2Rvd25yZXYueG1sUEsBAhQA&#10;FAAAAAgAh07iQJJnehfXAgAAzgUAAA4AAAAAAAAAAQAgAAAAJgEAAGRycy9lMm9Eb2MueG1sUEsF&#10;BgAAAAAGAAYAWQEAAG8GAAAAAA==&#10;" adj="246,10324,-5407,27778">
                <v:fill on="t" focussize="0,0"/>
                <v:stroke weight="1pt" color="#BC8C00 [3207]" miterlimit="8" joinstyle="miter"/>
                <v:imagedata o:title=""/>
                <o:lock v:ext="edit" aspectratio="f"/>
                <v:textbox>
                  <w:txbxContent>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机械科学与工程学院</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319405</wp:posOffset>
                </wp:positionH>
                <wp:positionV relativeFrom="paragraph">
                  <wp:posOffset>564515</wp:posOffset>
                </wp:positionV>
                <wp:extent cx="1288415" cy="400050"/>
                <wp:effectExtent l="0" t="0" r="464185" b="95250"/>
                <wp:wrapNone/>
                <wp:docPr id="9" name="标注: 线形 9"/>
                <wp:cNvGraphicFramePr/>
                <a:graphic xmlns:a="http://schemas.openxmlformats.org/drawingml/2006/main">
                  <a:graphicData uri="http://schemas.microsoft.com/office/word/2010/wordprocessingShape">
                    <wps:wsp>
                      <wps:cNvSpPr/>
                      <wps:spPr>
                        <a:xfrm>
                          <a:off x="0" y="0"/>
                          <a:ext cx="1288415" cy="400050"/>
                        </a:xfrm>
                        <a:prstGeom prst="borderCallout1">
                          <a:avLst>
                            <a:gd name="adj1" fmla="val 118822"/>
                            <a:gd name="adj2" fmla="val 133989"/>
                            <a:gd name="adj3" fmla="val 51464"/>
                            <a:gd name="adj4" fmla="val 100573"/>
                          </a:avLst>
                        </a:prstGeom>
                      </wps:spPr>
                      <wps:style>
                        <a:lnRef idx="2">
                          <a:schemeClr val="accent4">
                            <a:shade val="50000"/>
                          </a:schemeClr>
                        </a:lnRef>
                        <a:fillRef idx="1">
                          <a:schemeClr val="accent4"/>
                        </a:fillRef>
                        <a:effectRef idx="0">
                          <a:schemeClr val="accent4"/>
                        </a:effectRef>
                        <a:fontRef idx="minor">
                          <a:schemeClr val="lt1"/>
                        </a:fontRef>
                      </wps:style>
                      <wps:txbx>
                        <w:txbxContent>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土木建筑工程学院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标注: 线形 9" o:spid="_x0000_s1026" o:spt="47" type="#_x0000_t47" style="position:absolute;left:0pt;margin-left:25.15pt;margin-top:44.45pt;height:31.5pt;width:101.45pt;z-index:251665408;v-text-anchor:middle;mso-width-relative:page;mso-height-relative:page;" fillcolor="#FFC000 [3207]" filled="t" stroked="t" coordsize="21600,21600" o:gfxdata="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fpG0/9gAAAAJAQAADwAAAAAAAAABACAAAAAiAAAAZHJzL2Rvd25yZXYueG1sUEsBAhQA&#10;FAAAAAgAh07iQNFxWP7WAgAAzgUAAA4AAAAAAAAAAQAgAAAAJwEAAGRycy9lMm9Eb2MueG1sUEsF&#10;BgAAAAAGAAYAWQEAAG8GAAAAAA==&#10;" adj="21724,11116,28942,25666">
                <v:fill on="t" focussize="0,0"/>
                <v:stroke weight="1pt" color="#BC8C00 [3207]" miterlimit="8" joinstyle="miter"/>
                <v:imagedata o:title=""/>
                <o:lock v:ext="edit" aspectratio="f"/>
                <v:textbox>
                  <w:txbxContent>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土木建筑工程学院</w:t>
                      </w:r>
                    </w:p>
                  </w:txbxContent>
                </v:textbox>
              </v:shape>
            </w:pict>
          </mc:Fallback>
        </mc:AlternateContent>
      </w:r>
      <w:r>
        <w:drawing>
          <wp:inline distT="0" distB="0" distL="0" distR="0">
            <wp:extent cx="5667375" cy="29432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7"/>
                    <a:stretch>
                      <a:fillRect/>
                    </a:stretch>
                  </pic:blipFill>
                  <pic:spPr>
                    <a:xfrm>
                      <a:off x="0" y="0"/>
                      <a:ext cx="5667375" cy="2943225"/>
                    </a:xfrm>
                    <a:prstGeom prst="rect">
                      <a:avLst/>
                    </a:prstGeom>
                  </pic:spPr>
                </pic:pic>
              </a:graphicData>
            </a:graphic>
          </wp:inline>
        </w:drawing>
      </w:r>
    </w:p>
    <w:p>
      <w:pPr>
        <w:widowControl/>
        <w:jc w:val="center"/>
        <w:rPr>
          <w:kern w:val="0"/>
          <w:sz w:val="18"/>
          <w:szCs w:val="18"/>
        </w:rPr>
      </w:pPr>
      <w:r>
        <w:rPr>
          <w:rFonts w:hint="eastAsia"/>
          <w:kern w:val="0"/>
          <w:sz w:val="18"/>
          <w:szCs w:val="18"/>
        </w:rPr>
        <w:t>图4.</w:t>
      </w:r>
      <w:r>
        <w:rPr>
          <w:kern w:val="0"/>
          <w:sz w:val="18"/>
          <w:szCs w:val="18"/>
        </w:rPr>
        <w:t>2-4</w:t>
      </w:r>
      <w:r>
        <w:rPr>
          <w:rFonts w:hint="eastAsia"/>
          <w:kern w:val="0"/>
          <w:sz w:val="18"/>
          <w:szCs w:val="18"/>
        </w:rPr>
        <w:t xml:space="preserve"> 参评建筑附近区域声压级鸟瞰分布图（夜间）</w:t>
      </w:r>
    </w:p>
    <w:p>
      <w:pPr>
        <w:widowControl/>
        <w:spacing w:line="276" w:lineRule="auto"/>
        <w:ind w:firstLine="420"/>
        <w:rPr>
          <w:rFonts w:ascii="Times New Roman" w:hAnsi="Times New Roman" w:cs="宋体"/>
          <w:szCs w:val="21"/>
        </w:rPr>
      </w:pPr>
      <w:r>
        <w:rPr>
          <w:rFonts w:hint="eastAsia" w:ascii="Times New Roman" w:hAnsi="Times New Roman" w:cs="宋体"/>
          <w:szCs w:val="21"/>
        </w:rPr>
        <w:t>综合上述分析，对场地内部每栋噪声敏感建筑物达标情况分别进行了判定统计，本项目内部全部参评建筑达标情况汇总如下：</w:t>
      </w:r>
    </w:p>
    <w:p>
      <w:pPr>
        <w:widowControl/>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表4</w:t>
      </w:r>
      <w:r>
        <w:rPr>
          <w:kern w:val="0"/>
          <w:sz w:val="18"/>
          <w:szCs w:val="18"/>
        </w:rPr>
        <w:t xml:space="preserve">.2 </w:t>
      </w:r>
      <w:r>
        <w:rPr>
          <w:rFonts w:hint="eastAsia"/>
          <w:kern w:val="0"/>
          <w:sz w:val="18"/>
          <w:szCs w:val="18"/>
        </w:rPr>
        <w:t xml:space="preserve">参评建筑达标统计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2"/>
        <w:gridCol w:w="1302"/>
        <w:gridCol w:w="1302"/>
        <w:gridCol w:w="135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pPr>
              <w:jc w:val="center"/>
            </w:pPr>
            <w:r>
              <w:t>建筑名称</w:t>
            </w:r>
          </w:p>
        </w:tc>
        <w:tc>
          <w:tcPr>
            <w:tcW w:w="848" w:type="dxa"/>
            <w:shd w:val="clear" w:color="auto" w:fill="E6E6E6"/>
            <w:vAlign w:val="center"/>
          </w:tcPr>
          <w:p>
            <w:pPr>
              <w:jc w:val="center"/>
            </w:pPr>
            <w:r>
              <w:t>时段</w:t>
            </w:r>
          </w:p>
        </w:tc>
        <w:tc>
          <w:tcPr>
            <w:tcW w:w="1301" w:type="dxa"/>
            <w:shd w:val="clear" w:color="auto" w:fill="E6E6E6"/>
            <w:vAlign w:val="center"/>
          </w:tcPr>
          <w:p>
            <w:pPr>
              <w:jc w:val="center"/>
            </w:pPr>
            <w:r>
              <w:t>1.5米高度</w:t>
            </w:r>
            <w:r>
              <w:br w:type="textWrapping"/>
            </w:r>
            <w:r>
              <w:t>噪声最大值</w:t>
            </w:r>
          </w:p>
        </w:tc>
        <w:tc>
          <w:tcPr>
            <w:tcW w:w="1301" w:type="dxa"/>
            <w:shd w:val="clear" w:color="auto" w:fill="E6E6E6"/>
            <w:vAlign w:val="center"/>
          </w:tcPr>
          <w:p>
            <w:pPr>
              <w:jc w:val="center"/>
            </w:pPr>
            <w:r>
              <w:t>2类</w:t>
            </w:r>
            <w:r>
              <w:br w:type="textWrapping"/>
            </w:r>
            <w:r>
              <w:t>噪声限值</w:t>
            </w:r>
          </w:p>
        </w:tc>
        <w:tc>
          <w:tcPr>
            <w:tcW w:w="1301" w:type="dxa"/>
            <w:shd w:val="clear" w:color="auto" w:fill="E6E6E6"/>
            <w:vAlign w:val="center"/>
          </w:tcPr>
          <w:p>
            <w:pPr>
              <w:jc w:val="center"/>
            </w:pPr>
            <w:r>
              <w:t>3类</w:t>
            </w:r>
            <w:r>
              <w:br w:type="textWrapping"/>
            </w:r>
            <w:r>
              <w:t>噪声限值</w:t>
            </w:r>
          </w:p>
        </w:tc>
        <w:tc>
          <w:tcPr>
            <w:tcW w:w="1358" w:type="dxa"/>
            <w:shd w:val="clear" w:color="auto" w:fill="E6E6E6"/>
            <w:vAlign w:val="center"/>
          </w:tcPr>
          <w:p>
            <w:pPr>
              <w:jc w:val="center"/>
            </w:pPr>
            <w:r>
              <w:t>得分</w:t>
            </w:r>
            <w:r>
              <w:br w:type="textWrapping"/>
            </w:r>
            <w: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pPr>
            <w:r>
              <w:t>室内分析单体DT</w:t>
            </w:r>
          </w:p>
        </w:tc>
        <w:tc>
          <w:tcPr>
            <w:tcW w:w="848" w:type="dxa"/>
            <w:vAlign w:val="center"/>
          </w:tcPr>
          <w:p>
            <w:pPr>
              <w:jc w:val="center"/>
            </w:pPr>
            <w:r>
              <w:t>昼间</w:t>
            </w:r>
          </w:p>
        </w:tc>
        <w:tc>
          <w:tcPr>
            <w:tcW w:w="1301" w:type="dxa"/>
            <w:vAlign w:val="center"/>
          </w:tcPr>
          <w:p>
            <w:pPr>
              <w:jc w:val="center"/>
            </w:pPr>
            <w:r>
              <w:t>53</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pPr>
          </w:p>
        </w:tc>
        <w:tc>
          <w:tcPr>
            <w:tcW w:w="848" w:type="dxa"/>
            <w:vAlign w:val="center"/>
          </w:tcPr>
          <w:p>
            <w:pPr>
              <w:jc w:val="center"/>
            </w:pPr>
            <w:r>
              <w:t>夜间</w:t>
            </w:r>
          </w:p>
        </w:tc>
        <w:tc>
          <w:tcPr>
            <w:tcW w:w="1301" w:type="dxa"/>
            <w:vAlign w:val="center"/>
          </w:tcPr>
          <w:p>
            <w:pPr>
              <w:jc w:val="center"/>
            </w:pPr>
            <w:r>
              <w:t>46</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bl>
    <w:p>
      <w:pPr>
        <w:widowControl/>
        <w:jc w:val="center"/>
        <w:rPr>
          <w:rFonts w:ascii="Times New Roman" w:hAnsi="Times New Roman"/>
          <w:szCs w:val="21"/>
        </w:rPr>
      </w:pPr>
      <w:bookmarkStart w:id="43" w:name="建筑物噪声最大值统计表格"/>
      <w:bookmarkEnd w:id="43"/>
    </w:p>
    <w:p>
      <w:pPr>
        <w:pStyle w:val="2"/>
        <w:rPr>
          <w:rFonts w:ascii="Times New Roman" w:hAnsi="Times New Roman"/>
          <w:sz w:val="28"/>
          <w:szCs w:val="28"/>
        </w:rPr>
      </w:pPr>
      <w:bookmarkStart w:id="44" w:name="_Toc152701676"/>
      <w:bookmarkStart w:id="45" w:name="_Toc479326730"/>
      <w:r>
        <w:rPr>
          <w:rFonts w:hint="eastAsia" w:ascii="Times New Roman" w:hAnsi="Times New Roman"/>
          <w:sz w:val="28"/>
          <w:szCs w:val="28"/>
        </w:rPr>
        <w:t>5.结论</w:t>
      </w:r>
      <w:bookmarkEnd w:id="44"/>
      <w:bookmarkEnd w:id="45"/>
    </w:p>
    <w:p>
      <w:pPr>
        <w:ind w:firstLine="420" w:firstLineChars="200"/>
        <w:rPr>
          <w:rFonts w:ascii="Times New Roman" w:hAnsi="Times New Roman"/>
          <w:szCs w:val="21"/>
        </w:rPr>
      </w:pPr>
      <w:bookmarkStart w:id="46" w:name="标准名称4"/>
      <w:r>
        <w:rPr>
          <w:rFonts w:hint="eastAsia"/>
        </w:rPr>
        <w:t>黑龙江省《绿色建筑评价标准》DB 23/T 1642－2020</w:t>
      </w:r>
      <w:bookmarkEnd w:id="46"/>
      <w:r>
        <w:rPr>
          <w:rFonts w:hint="eastAsia" w:ascii="Times New Roman" w:hAnsi="Times New Roman"/>
          <w:szCs w:val="21"/>
        </w:rPr>
        <w:t>要求:</w:t>
      </w:r>
    </w:p>
    <w:p>
      <w:bookmarkStart w:id="47" w:name="室外条文内容1"/>
      <w:bookmarkEnd w:id="47"/>
      <w:r>
        <w:rPr>
          <w:rFonts w:hint="eastAsia"/>
        </w:rPr>
        <w:t xml:space="preserve"> </w:t>
      </w:r>
      <w:r>
        <w:t xml:space="preserve"> </w:t>
      </w:r>
      <w:r>
        <w:rPr>
          <w:rFonts w:hint="eastAsia"/>
        </w:rPr>
        <w:t xml:space="preserve"> </w:t>
      </w:r>
      <w:r>
        <w:t>8.2.6 场地内的环境噪声优于现行国家标准《声环境质量标准》GB 3096 的要求，评价总分值为 10 分，并按下列规则评分：</w:t>
      </w:r>
    </w:p>
    <w:p>
      <w:r>
        <w:t xml:space="preserve">    1 环境噪声值大于 2 类声环境功能区标准限值，且小于等于 3 类声环境功能区标准限值，得 5 分；</w:t>
      </w:r>
    </w:p>
    <w:p>
      <w:r>
        <w:t xml:space="preserve">    2 环境噪声值小于等于 2 类声环境功能区标准限值，得 10 分。</w:t>
      </w:r>
    </w:p>
    <w:p>
      <w:pPr>
        <w:widowControl/>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rPr>
                <w:b/>
              </w:rPr>
            </w:pPr>
            <w:bookmarkStart w:id="48" w:name="昼间噪声最大值"/>
            <w:r>
              <w:rPr>
                <w:b/>
              </w:rPr>
              <w:t>53</w:t>
            </w:r>
            <w:bookmarkEnd w:id="48"/>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rPr>
                <w:b/>
                <w:bCs/>
              </w:rPr>
            </w:pPr>
            <w:bookmarkStart w:id="49" w:name="得分情况"/>
            <w:r>
              <w:rPr>
                <w:b/>
                <w:bCs/>
              </w:rPr>
              <w:t>10</w:t>
            </w:r>
            <w:bookmarkEnd w:id="49"/>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
              </w:rPr>
            </w:pPr>
            <w:bookmarkStart w:id="50" w:name="夜间噪声最大值"/>
            <w:r>
              <w:rPr>
                <w:b/>
              </w:rPr>
              <w:t>46</w:t>
            </w:r>
            <w:bookmarkEnd w:id="50"/>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szCs w:val="21"/>
        </w:rPr>
      </w:pPr>
    </w:p>
    <w:p>
      <w:pPr>
        <w:ind w:firstLine="210" w:firstLineChars="100"/>
      </w:pPr>
      <w:r>
        <w:rPr>
          <w:rFonts w:hint="eastAsia" w:ascii="宋体" w:hAnsi="Calibri"/>
        </w:rPr>
        <w:t>综上所述，经过软件模拟和结果统计分析，最终判定本项目</w:t>
      </w:r>
      <w:bookmarkStart w:id="51" w:name="满足结论"/>
      <w:r>
        <w:rPr>
          <w:rFonts w:hint="eastAsia"/>
          <w:b/>
        </w:rPr>
        <w:t>满足</w:t>
      </w:r>
      <w:bookmarkEnd w:id="51"/>
      <w:r>
        <w:rPr>
          <w:rFonts w:hint="eastAsia"/>
          <w:b/>
        </w:rPr>
        <w:t xml:space="preserve"> </w:t>
      </w:r>
      <w:bookmarkStart w:id="52" w:name="标准名称3"/>
      <w:r>
        <w:rPr>
          <w:rFonts w:hint="eastAsia"/>
        </w:rPr>
        <w:t>黑龙江省《绿色建筑评价标准》DB 23/T 1642－2020</w:t>
      </w:r>
      <w:bookmarkEnd w:id="52"/>
      <w:r>
        <w:rPr>
          <w:rFonts w:hint="eastAsia"/>
        </w:rPr>
        <w:t>地方标准</w:t>
      </w:r>
      <w:bookmarkStart w:id="53" w:name="室外条文编号"/>
      <w:r>
        <w:rPr>
          <w:rFonts w:hint="eastAsia"/>
        </w:rPr>
        <w:t>相关条文</w:t>
      </w:r>
      <w:bookmarkEnd w:id="53"/>
      <w:r>
        <w:rPr>
          <w:rFonts w:hint="eastAsia"/>
        </w:rPr>
        <w:t>要求，</w:t>
      </w:r>
      <w:bookmarkStart w:id="54" w:name="得分结论"/>
      <w:r>
        <w:rPr>
          <w:b/>
        </w:rPr>
        <w:t>得 10 分</w:t>
      </w:r>
      <w:bookmarkEnd w:id="54"/>
      <w:r>
        <w:rPr>
          <w:rFonts w:hint="eastAsia"/>
          <w:b/>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w:fldChar w:fldCharType="begin"/>
    </w:r>
    <w:r>
      <w:instrText xml:space="preserve"> HYPERLINK "http://www.gbsware.cn/" </w:instrText>
    </w:r>
    <w:r>
      <w:fldChar w:fldCharType="separate"/>
    </w:r>
    <w:r>
      <w:rPr>
        <w:kern w:val="0"/>
        <w:sz w:val="21"/>
        <w:szCs w:val="20"/>
        <w:lang w:val="en-GB"/>
      </w:rPr>
      <w:t>http://www.gbsware.cn/</w:t>
    </w:r>
    <w:r>
      <w:rPr>
        <w:kern w:val="0"/>
        <w:sz w:val="21"/>
        <w:szCs w:val="20"/>
        <w:lang w:val="en-GB"/>
      </w:rPr>
      <w:fldChar w:fldCharType="end"/>
    </w:r>
    <w:r>
      <w:ptab w:relativeTo="margin" w:alignment="center" w:leader="none"/>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PAGE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rFonts w:ascii="Times New Roman" w:hAnsi="Times New Roman"/>
        <w:b/>
        <w:kern w:val="0"/>
        <w:sz w:val="21"/>
        <w:szCs w:val="20"/>
        <w:lang w:val="en-GB"/>
      </w:rPr>
      <w:t>/</w: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NUMPAGES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sz w:val="21"/>
        <w:szCs w:val="21"/>
      </w:rPr>
      <w:ptab w:relativeTo="margin" w:alignment="right" w:leader="none"/>
    </w:r>
    <w:r>
      <w:rPr>
        <w:sz w:val="21"/>
        <w:szCs w:val="21"/>
      </w:rPr>
      <w:t>S</w:t>
    </w:r>
    <w:r>
      <w:rPr>
        <w:rFonts w:hint="eastAsia"/>
        <w:sz w:val="21"/>
        <w:szCs w:val="21"/>
      </w:rPr>
      <w:t>EDU</w:t>
    </w:r>
    <w:r>
      <w:rPr>
        <w:sz w:val="21"/>
        <w:szCs w:val="21"/>
      </w:rPr>
      <w:t>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sz w:val="21"/>
        <w:szCs w:val="21"/>
      </w:rPr>
      <w:t>室外</w:t>
    </w:r>
    <w:r>
      <w:rPr>
        <w:sz w:val="21"/>
        <w:szCs w:val="21"/>
      </w:rPr>
      <w:t>噪声分析报告</w:t>
    </w:r>
    <w:r>
      <w:rPr>
        <w:rFonts w:hint="eastAsia"/>
        <w:sz w:val="21"/>
        <w:szCs w:val="21"/>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76F156F"/>
    <w:multiLevelType w:val="multilevel"/>
    <w:tmpl w:val="576F156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VhMjAzNjBlOWNjNjgxYzg5ZDZiYzU4OGJiZmQ0NmIifQ=="/>
  </w:docVars>
  <w:rsids>
    <w:rsidRoot w:val="000609AF"/>
    <w:rsid w:val="00003EBD"/>
    <w:rsid w:val="00005A86"/>
    <w:rsid w:val="00032BE0"/>
    <w:rsid w:val="00042D61"/>
    <w:rsid w:val="00043921"/>
    <w:rsid w:val="00044BB2"/>
    <w:rsid w:val="000470A4"/>
    <w:rsid w:val="000609AF"/>
    <w:rsid w:val="00063A75"/>
    <w:rsid w:val="00063DFD"/>
    <w:rsid w:val="0007058E"/>
    <w:rsid w:val="000806A6"/>
    <w:rsid w:val="00081541"/>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06BF"/>
    <w:rsid w:val="00151A9C"/>
    <w:rsid w:val="0015493E"/>
    <w:rsid w:val="00161397"/>
    <w:rsid w:val="0016362E"/>
    <w:rsid w:val="0016680D"/>
    <w:rsid w:val="00167041"/>
    <w:rsid w:val="001730A4"/>
    <w:rsid w:val="00184E16"/>
    <w:rsid w:val="00193053"/>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05412"/>
    <w:rsid w:val="0022186F"/>
    <w:rsid w:val="00223BB0"/>
    <w:rsid w:val="00223FD4"/>
    <w:rsid w:val="00224EB2"/>
    <w:rsid w:val="00234050"/>
    <w:rsid w:val="00234855"/>
    <w:rsid w:val="00234DDC"/>
    <w:rsid w:val="002412ED"/>
    <w:rsid w:val="00242726"/>
    <w:rsid w:val="002602B6"/>
    <w:rsid w:val="00264493"/>
    <w:rsid w:val="002659A1"/>
    <w:rsid w:val="00272200"/>
    <w:rsid w:val="00276069"/>
    <w:rsid w:val="0028422A"/>
    <w:rsid w:val="00286700"/>
    <w:rsid w:val="002957ED"/>
    <w:rsid w:val="002A1F52"/>
    <w:rsid w:val="002A2888"/>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25050"/>
    <w:rsid w:val="003313D3"/>
    <w:rsid w:val="003466B3"/>
    <w:rsid w:val="00356DD3"/>
    <w:rsid w:val="003615F5"/>
    <w:rsid w:val="00361C9E"/>
    <w:rsid w:val="00361D43"/>
    <w:rsid w:val="0036785B"/>
    <w:rsid w:val="003724ED"/>
    <w:rsid w:val="00373CAE"/>
    <w:rsid w:val="003834A3"/>
    <w:rsid w:val="0038426F"/>
    <w:rsid w:val="0038471D"/>
    <w:rsid w:val="00385B5B"/>
    <w:rsid w:val="003916BD"/>
    <w:rsid w:val="003950A4"/>
    <w:rsid w:val="003972FF"/>
    <w:rsid w:val="003A3902"/>
    <w:rsid w:val="003A4F31"/>
    <w:rsid w:val="003B0E86"/>
    <w:rsid w:val="003B5506"/>
    <w:rsid w:val="003C00D1"/>
    <w:rsid w:val="003C1218"/>
    <w:rsid w:val="003C2083"/>
    <w:rsid w:val="003C52B9"/>
    <w:rsid w:val="003C6CFE"/>
    <w:rsid w:val="003C7732"/>
    <w:rsid w:val="003D67A0"/>
    <w:rsid w:val="003D67D5"/>
    <w:rsid w:val="003E7B16"/>
    <w:rsid w:val="003F1246"/>
    <w:rsid w:val="003F2A13"/>
    <w:rsid w:val="003F71B5"/>
    <w:rsid w:val="003F7BD2"/>
    <w:rsid w:val="00416967"/>
    <w:rsid w:val="00421A1C"/>
    <w:rsid w:val="00432563"/>
    <w:rsid w:val="00434B47"/>
    <w:rsid w:val="00440666"/>
    <w:rsid w:val="00445CF4"/>
    <w:rsid w:val="004474F8"/>
    <w:rsid w:val="00447BFE"/>
    <w:rsid w:val="004636CA"/>
    <w:rsid w:val="00465BD1"/>
    <w:rsid w:val="004725E7"/>
    <w:rsid w:val="00472D0B"/>
    <w:rsid w:val="0047447A"/>
    <w:rsid w:val="00475F3E"/>
    <w:rsid w:val="00480A89"/>
    <w:rsid w:val="004857E9"/>
    <w:rsid w:val="00485D68"/>
    <w:rsid w:val="00486E38"/>
    <w:rsid w:val="00492420"/>
    <w:rsid w:val="004949F1"/>
    <w:rsid w:val="00495CE8"/>
    <w:rsid w:val="004A4451"/>
    <w:rsid w:val="004D286C"/>
    <w:rsid w:val="004D469B"/>
    <w:rsid w:val="004F1742"/>
    <w:rsid w:val="005034E9"/>
    <w:rsid w:val="00504290"/>
    <w:rsid w:val="00506D42"/>
    <w:rsid w:val="00507D67"/>
    <w:rsid w:val="005108BD"/>
    <w:rsid w:val="00511F8C"/>
    <w:rsid w:val="00520004"/>
    <w:rsid w:val="00523106"/>
    <w:rsid w:val="00534C28"/>
    <w:rsid w:val="00541147"/>
    <w:rsid w:val="0054589E"/>
    <w:rsid w:val="00545D17"/>
    <w:rsid w:val="005523A5"/>
    <w:rsid w:val="00553731"/>
    <w:rsid w:val="00554ABA"/>
    <w:rsid w:val="00573516"/>
    <w:rsid w:val="00577BAB"/>
    <w:rsid w:val="00582112"/>
    <w:rsid w:val="00595E38"/>
    <w:rsid w:val="00596BBF"/>
    <w:rsid w:val="005A6DF2"/>
    <w:rsid w:val="005C20D1"/>
    <w:rsid w:val="005C2ADF"/>
    <w:rsid w:val="005C35BF"/>
    <w:rsid w:val="005C5A16"/>
    <w:rsid w:val="005D17E3"/>
    <w:rsid w:val="005D70E3"/>
    <w:rsid w:val="005E164B"/>
    <w:rsid w:val="005E1713"/>
    <w:rsid w:val="005E3F82"/>
    <w:rsid w:val="005E4CFE"/>
    <w:rsid w:val="005E6AD7"/>
    <w:rsid w:val="005F3A0A"/>
    <w:rsid w:val="005F3FE9"/>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D30EA"/>
    <w:rsid w:val="006D44EB"/>
    <w:rsid w:val="006D757B"/>
    <w:rsid w:val="006E1CA1"/>
    <w:rsid w:val="006E7F52"/>
    <w:rsid w:val="007108C0"/>
    <w:rsid w:val="007121F1"/>
    <w:rsid w:val="0071467E"/>
    <w:rsid w:val="00721DC1"/>
    <w:rsid w:val="00734ED7"/>
    <w:rsid w:val="0073685B"/>
    <w:rsid w:val="0074079C"/>
    <w:rsid w:val="0074110A"/>
    <w:rsid w:val="00746459"/>
    <w:rsid w:val="00747657"/>
    <w:rsid w:val="007524FA"/>
    <w:rsid w:val="00752AD7"/>
    <w:rsid w:val="0075593C"/>
    <w:rsid w:val="00761CF1"/>
    <w:rsid w:val="00762DE0"/>
    <w:rsid w:val="007637A7"/>
    <w:rsid w:val="00781128"/>
    <w:rsid w:val="007873B1"/>
    <w:rsid w:val="00792428"/>
    <w:rsid w:val="00793FE1"/>
    <w:rsid w:val="00794146"/>
    <w:rsid w:val="007955EF"/>
    <w:rsid w:val="0079632C"/>
    <w:rsid w:val="007A15A2"/>
    <w:rsid w:val="007A4F00"/>
    <w:rsid w:val="007A539D"/>
    <w:rsid w:val="007A6B7B"/>
    <w:rsid w:val="007B0FCA"/>
    <w:rsid w:val="007B3895"/>
    <w:rsid w:val="007B4E82"/>
    <w:rsid w:val="007D0F85"/>
    <w:rsid w:val="007D1479"/>
    <w:rsid w:val="007D35E4"/>
    <w:rsid w:val="007D3B87"/>
    <w:rsid w:val="007E3185"/>
    <w:rsid w:val="007F30C9"/>
    <w:rsid w:val="007F7CBB"/>
    <w:rsid w:val="007F7D94"/>
    <w:rsid w:val="008005BE"/>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0E8"/>
    <w:rsid w:val="008658B5"/>
    <w:rsid w:val="00871BF4"/>
    <w:rsid w:val="00872BEE"/>
    <w:rsid w:val="008815E2"/>
    <w:rsid w:val="008904B8"/>
    <w:rsid w:val="008952FE"/>
    <w:rsid w:val="008A245B"/>
    <w:rsid w:val="008A5E45"/>
    <w:rsid w:val="008A70E0"/>
    <w:rsid w:val="008B01D1"/>
    <w:rsid w:val="008B2F0A"/>
    <w:rsid w:val="008B506D"/>
    <w:rsid w:val="008C1285"/>
    <w:rsid w:val="008D65C0"/>
    <w:rsid w:val="008D7DA0"/>
    <w:rsid w:val="008E1005"/>
    <w:rsid w:val="008E1DA6"/>
    <w:rsid w:val="008F0665"/>
    <w:rsid w:val="008F0B53"/>
    <w:rsid w:val="008F5A26"/>
    <w:rsid w:val="008F6C4B"/>
    <w:rsid w:val="00900562"/>
    <w:rsid w:val="009028AD"/>
    <w:rsid w:val="00902E0E"/>
    <w:rsid w:val="00905471"/>
    <w:rsid w:val="009110EF"/>
    <w:rsid w:val="0091229D"/>
    <w:rsid w:val="00923068"/>
    <w:rsid w:val="009252A4"/>
    <w:rsid w:val="009279F3"/>
    <w:rsid w:val="00930146"/>
    <w:rsid w:val="00930557"/>
    <w:rsid w:val="009342C5"/>
    <w:rsid w:val="00935299"/>
    <w:rsid w:val="00937F34"/>
    <w:rsid w:val="00941850"/>
    <w:rsid w:val="00941895"/>
    <w:rsid w:val="00942C4A"/>
    <w:rsid w:val="00946913"/>
    <w:rsid w:val="00946B0C"/>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E59CA"/>
    <w:rsid w:val="009F094C"/>
    <w:rsid w:val="009F18F1"/>
    <w:rsid w:val="009F3D06"/>
    <w:rsid w:val="00A01D82"/>
    <w:rsid w:val="00A127B9"/>
    <w:rsid w:val="00A1358C"/>
    <w:rsid w:val="00A14505"/>
    <w:rsid w:val="00A2499E"/>
    <w:rsid w:val="00A273DD"/>
    <w:rsid w:val="00A33916"/>
    <w:rsid w:val="00A33B09"/>
    <w:rsid w:val="00A41019"/>
    <w:rsid w:val="00A453BD"/>
    <w:rsid w:val="00A459DC"/>
    <w:rsid w:val="00A45A72"/>
    <w:rsid w:val="00A47CAC"/>
    <w:rsid w:val="00A53BBE"/>
    <w:rsid w:val="00A53E61"/>
    <w:rsid w:val="00A608EA"/>
    <w:rsid w:val="00A61B39"/>
    <w:rsid w:val="00A6412D"/>
    <w:rsid w:val="00A65874"/>
    <w:rsid w:val="00A65905"/>
    <w:rsid w:val="00A6686B"/>
    <w:rsid w:val="00A70F4E"/>
    <w:rsid w:val="00A864FA"/>
    <w:rsid w:val="00A91269"/>
    <w:rsid w:val="00AC3C7C"/>
    <w:rsid w:val="00AD141D"/>
    <w:rsid w:val="00AD22B2"/>
    <w:rsid w:val="00AD4D6B"/>
    <w:rsid w:val="00AE13B4"/>
    <w:rsid w:val="00AE2430"/>
    <w:rsid w:val="00AE5699"/>
    <w:rsid w:val="00AE7A72"/>
    <w:rsid w:val="00AF00C1"/>
    <w:rsid w:val="00AF1538"/>
    <w:rsid w:val="00B07594"/>
    <w:rsid w:val="00B22039"/>
    <w:rsid w:val="00B341A3"/>
    <w:rsid w:val="00B3552D"/>
    <w:rsid w:val="00B377BD"/>
    <w:rsid w:val="00B42132"/>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1FD9"/>
    <w:rsid w:val="00BC3F18"/>
    <w:rsid w:val="00BE122C"/>
    <w:rsid w:val="00BE4A90"/>
    <w:rsid w:val="00BE4BB3"/>
    <w:rsid w:val="00BE51B5"/>
    <w:rsid w:val="00BE5B8B"/>
    <w:rsid w:val="00BE6E1D"/>
    <w:rsid w:val="00C02B5F"/>
    <w:rsid w:val="00C03121"/>
    <w:rsid w:val="00C202C3"/>
    <w:rsid w:val="00C22B99"/>
    <w:rsid w:val="00C30F8E"/>
    <w:rsid w:val="00C4220C"/>
    <w:rsid w:val="00C503B9"/>
    <w:rsid w:val="00C52DAB"/>
    <w:rsid w:val="00C56A9D"/>
    <w:rsid w:val="00C56B9C"/>
    <w:rsid w:val="00C56E7B"/>
    <w:rsid w:val="00C57696"/>
    <w:rsid w:val="00C6137E"/>
    <w:rsid w:val="00C87391"/>
    <w:rsid w:val="00C9594B"/>
    <w:rsid w:val="00CA2717"/>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4295A"/>
    <w:rsid w:val="00D535A5"/>
    <w:rsid w:val="00D62874"/>
    <w:rsid w:val="00D650C0"/>
    <w:rsid w:val="00D71C25"/>
    <w:rsid w:val="00D73004"/>
    <w:rsid w:val="00D83B4F"/>
    <w:rsid w:val="00D87027"/>
    <w:rsid w:val="00DA3C21"/>
    <w:rsid w:val="00DA60F0"/>
    <w:rsid w:val="00DA710A"/>
    <w:rsid w:val="00DC15F5"/>
    <w:rsid w:val="00DD0A81"/>
    <w:rsid w:val="00DF0317"/>
    <w:rsid w:val="00DF085E"/>
    <w:rsid w:val="00DF2B98"/>
    <w:rsid w:val="00DF513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37C7"/>
    <w:rsid w:val="00E94AEB"/>
    <w:rsid w:val="00EC3CCA"/>
    <w:rsid w:val="00EC5BBC"/>
    <w:rsid w:val="00ED0083"/>
    <w:rsid w:val="00ED5211"/>
    <w:rsid w:val="00EE11A7"/>
    <w:rsid w:val="00EF3C93"/>
    <w:rsid w:val="00EF73F3"/>
    <w:rsid w:val="00F012B9"/>
    <w:rsid w:val="00F01CC2"/>
    <w:rsid w:val="00F05FFA"/>
    <w:rsid w:val="00F16A95"/>
    <w:rsid w:val="00F24521"/>
    <w:rsid w:val="00F25618"/>
    <w:rsid w:val="00F3631E"/>
    <w:rsid w:val="00F46175"/>
    <w:rsid w:val="00F46F8B"/>
    <w:rsid w:val="00F515FF"/>
    <w:rsid w:val="00F544B1"/>
    <w:rsid w:val="00F601E8"/>
    <w:rsid w:val="00F64650"/>
    <w:rsid w:val="00F67A25"/>
    <w:rsid w:val="00F70C42"/>
    <w:rsid w:val="00F82E22"/>
    <w:rsid w:val="00F85F15"/>
    <w:rsid w:val="00F8780D"/>
    <w:rsid w:val="00F95680"/>
    <w:rsid w:val="00FA060E"/>
    <w:rsid w:val="00FA0657"/>
    <w:rsid w:val="00FA1493"/>
    <w:rsid w:val="00FB0C2B"/>
    <w:rsid w:val="00FB751F"/>
    <w:rsid w:val="00FC2740"/>
    <w:rsid w:val="00FC5C1E"/>
    <w:rsid w:val="00FC792A"/>
    <w:rsid w:val="00FD4B97"/>
    <w:rsid w:val="00FD633D"/>
    <w:rsid w:val="00FE2DCA"/>
    <w:rsid w:val="00FE4B5B"/>
    <w:rsid w:val="00FF1FA5"/>
    <w:rsid w:val="00FF21E4"/>
    <w:rsid w:val="00FF4D64"/>
    <w:rsid w:val="1CED6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2"/>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qFormat/>
    <w:uiPriority w:val="99"/>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CKS~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00BD51-AF4A-4DD0-8E37-F73A4B0962D6}">
  <ds:schemaRefs/>
</ds:datastoreItem>
</file>

<file path=docProps/app.xml><?xml version="1.0" encoding="utf-8"?>
<Properties xmlns="http://schemas.openxmlformats.org/officeDocument/2006/extended-properties" xmlns:vt="http://schemas.openxmlformats.org/officeDocument/2006/docPropsVTypes">
  <Template>tmp1</Template>
  <Company>北京绿建软件有限公司</Company>
  <Pages>13</Pages>
  <Words>684</Words>
  <Characters>3903</Characters>
  <Lines>32</Lines>
  <Paragraphs>9</Paragraphs>
  <TotalTime>21</TotalTime>
  <ScaleCrop>false</ScaleCrop>
  <LinksUpToDate>false</LinksUpToDate>
  <CharactersWithSpaces>4578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2023-12-05T12:47:00Z</dcterms:created>
  <dc:creator>Black Shark</dc:creator>
  <cp:lastModifiedBy>快乐小韩</cp:lastModifiedBy>
  <cp:lastPrinted>2016-08-03T02:42:00Z</cp:lastPrinted>
  <dcterms:modified xsi:type="dcterms:W3CDTF">2023-12-08T07:13:22Z</dcterms:modified>
  <dc:title>土木楼平面图（斯维尔版声环境）室外噪声分析报告</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E591E205F34A4B62BBCFB5649E11BC75_12</vt:lpwstr>
  </property>
</Properties>
</file>