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 w:val="21"/>
                <w:szCs w:val="21"/>
              </w:rPr>
              <w:t>空间再造，筑绿新生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浙江-金华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0" w:name="_GoBack"/>
            <w:bookmarkEnd w:id="8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2024年3月2日</w:t>
            </w:r>
            <w:bookmarkEnd w:id="5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7" w:name="软件全称"/>
            <w:r>
              <w:t>斯维尔节能设计BECS2023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T15067523972</w:t>
            </w:r>
            <w:bookmarkEnd w:id="9"/>
          </w:p>
        </w:tc>
      </w:tr>
    </w:tbl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0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"_Toc160305224"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_Toc160305224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"_Toc160305225"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_Toc160305225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"_Toc160305226"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评价目标</w:t>
      </w:r>
      <w:r>
        <w:tab/>
      </w:r>
      <w:r>
        <w:fldChar w:fldCharType="begin"/>
      </w:r>
      <w:r>
        <w:instrText xml:space="preserve"> PAGEREF _Toc160305226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"_Toc160305227"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评价方法</w:t>
      </w:r>
      <w:r>
        <w:tab/>
      </w:r>
      <w:r>
        <w:fldChar w:fldCharType="begin"/>
      </w:r>
      <w:r>
        <w:instrText xml:space="preserve"> PAGEREF _Toc160305227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"_Toc160305228"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防潮验算计算过程</w:t>
      </w:r>
      <w:r>
        <w:tab/>
      </w:r>
      <w:r>
        <w:fldChar w:fldCharType="begin"/>
      </w:r>
      <w:r>
        <w:instrText xml:space="preserve"> PAGEREF _Toc160305228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"_Toc160305229"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计算条件</w:t>
      </w:r>
      <w:r>
        <w:tab/>
      </w:r>
      <w:r>
        <w:fldChar w:fldCharType="begin"/>
      </w:r>
      <w:r>
        <w:instrText xml:space="preserve"> PAGEREF _Toc160305229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"_Toc160305230"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外墙构造一</w:t>
      </w:r>
      <w:r>
        <w:tab/>
      </w:r>
      <w:r>
        <w:fldChar w:fldCharType="begin"/>
      </w:r>
      <w:r>
        <w:instrText xml:space="preserve"> PAGEREF _Toc160305230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"_Toc160305231"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冷凝计算界面至围护结构内表面之间的热阻</w:t>
      </w:r>
      <w:r>
        <w:object>
          <v:shape id="_x0000_i102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_Toc160305231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"_Toc160305232"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冷凝计算界面温度</w:t>
      </w:r>
      <w:r>
        <w:rPr>
          <w:position w:val="-6"/>
        </w:rPr>
        <w:object>
          <v:shape id="_x0000_i102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_Toc160305232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"_Toc160305233"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围护结构冷凝受潮验算</w:t>
      </w:r>
      <w:r>
        <w:tab/>
      </w:r>
      <w:r>
        <w:fldChar w:fldCharType="begin"/>
      </w:r>
      <w:r>
        <w:instrText xml:space="preserve"> PAGEREF _Toc160305233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"_Toc160305234"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阳台隔墙构造一</w:t>
      </w:r>
      <w:r>
        <w:tab/>
      </w:r>
      <w:r>
        <w:fldChar w:fldCharType="begin"/>
      </w:r>
      <w:r>
        <w:instrText xml:space="preserve"> PAGEREF _Toc160305234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"_Toc160305235"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冷凝计算界面至围护结构内表面之间的热阻</w:t>
      </w:r>
      <w:r>
        <w:pict>
          <v:shape id="_x0000_i1027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_Toc160305235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"_Toc160305236"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冷凝计算界面温度</w:t>
      </w:r>
      <w:r>
        <w:rPr>
          <w:position w:val="-6"/>
        </w:rPr>
        <w:pict>
          <v:shape id="_x0000_i1028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_Toc160305236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"_Toc160305237"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围护结构冷凝受潮验算</w:t>
      </w:r>
      <w:r>
        <w:tab/>
      </w:r>
      <w:r>
        <w:fldChar w:fldCharType="begin"/>
      </w:r>
      <w:r>
        <w:instrText xml:space="preserve"> PAGEREF _Toc160305237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"_Toc160305238"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验算结论</w:t>
      </w:r>
      <w:r>
        <w:tab/>
      </w:r>
      <w:r>
        <w:fldChar w:fldCharType="begin"/>
      </w:r>
      <w:r>
        <w:instrText xml:space="preserve"> PAGEREF _Toc160305238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  <w:bookmarkEnd w:id="10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1" w:name="_Toc480186060"/>
      <w:bookmarkStart w:id="12" w:name="_Toc480186122"/>
      <w:bookmarkStart w:id="13" w:name="_Toc160305224"/>
      <w:bookmarkStart w:id="14" w:name="_Toc316568035"/>
      <w:bookmarkStart w:id="15" w:name="_Toc480218444"/>
      <w:r>
        <w:rPr>
          <w:rFonts w:hint="eastAsia"/>
        </w:rPr>
        <w:t>建筑概况</w:t>
      </w:r>
      <w:bookmarkEnd w:id="11"/>
      <w:bookmarkEnd w:id="12"/>
      <w:bookmarkEnd w:id="13"/>
      <w:bookmarkEnd w:id="14"/>
      <w:bookmarkEnd w:id="15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6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7" w:name="工程名称"/>
            <w:r>
              <w:t>空间再造，筑绿新生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工程地点"/>
            <w:r>
              <w:t>浙江-金华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9" w:name="纬度"/>
            <w:r>
              <w:rPr>
                <w:rFonts w:hint="eastAsia"/>
              </w:rPr>
              <w:t>29.12</w:t>
            </w:r>
            <w:bookmarkEnd w:id="19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0" w:name="经度"/>
            <w:r>
              <w:rPr>
                <w:rFonts w:hint="eastAsia"/>
              </w:rPr>
              <w:t>119.65</w:t>
            </w:r>
            <w:bookmarkEnd w:id="20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1" w:name="气候分区"/>
            <w:r>
              <w:t>夏热冬冷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面积"/>
            <w:r>
              <w:rPr>
                <w:rFonts w:hint="eastAsia"/>
              </w:rPr>
              <w:t>12801</w:t>
            </w:r>
            <w:bookmarkEnd w:id="22"/>
            <w:r>
              <w:rPr>
                <w:rFonts w:hint="eastAsia"/>
              </w:rPr>
              <w:t>㎡地下</w:t>
            </w:r>
            <w:bookmarkStart w:id="23" w:name="地下建筑面积"/>
            <w:r>
              <w:rPr>
                <w:rFonts w:hint="eastAsia"/>
              </w:rPr>
              <w:t>0</w:t>
            </w:r>
            <w:bookmarkEnd w:id="23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层数"/>
            <w:r>
              <w:rPr>
                <w:rFonts w:hint="eastAsia"/>
              </w:rPr>
              <w:t>5</w:t>
            </w:r>
            <w:bookmarkEnd w:id="24"/>
            <w:r>
              <w:rPr>
                <w:rFonts w:hint="eastAsia"/>
              </w:rPr>
              <w:t>地下</w:t>
            </w:r>
            <w:bookmarkStart w:id="25" w:name="地下建筑层数"/>
            <w:r>
              <w:t>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6" w:name="地上建筑高度"/>
            <w:r>
              <w:rPr>
                <w:rFonts w:hint="eastAsia"/>
              </w:rPr>
              <w:t>18.6</w:t>
            </w:r>
            <w:bookmarkEnd w:id="26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7" w:name="结构类型"/>
            <w:bookmarkEnd w:id="27"/>
          </w:p>
        </w:tc>
      </w:tr>
      <w:bookmarkEnd w:id="16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8" w:name="_Toc480218445"/>
      <w:bookmarkStart w:id="29" w:name="_Toc480186123"/>
      <w:bookmarkStart w:id="30" w:name="_Toc480186061"/>
      <w:bookmarkStart w:id="31" w:name="_Toc160305225"/>
      <w:bookmarkStart w:id="32" w:name="_Toc316568036"/>
      <w:bookmarkStart w:id="33" w:name="TitleFormat"/>
      <w:r>
        <w:rPr>
          <w:rFonts w:hint="eastAsia"/>
        </w:rPr>
        <w:t>评价依据</w:t>
      </w:r>
      <w:bookmarkEnd w:id="28"/>
      <w:bookmarkEnd w:id="29"/>
      <w:bookmarkEnd w:id="30"/>
      <w:bookmarkEnd w:id="31"/>
      <w:bookmarkEnd w:id="32"/>
    </w:p>
    <w:bookmarkEnd w:id="33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4" w:name="标准名称"/>
      <w:r>
        <w:rPr>
          <w:rFonts w:hint="eastAsia"/>
        </w:rPr>
        <w:t>《公共建筑节能设计标准》GB50189-2015</w:t>
      </w:r>
      <w:bookmarkEnd w:id="34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bookmarkStart w:id="35" w:name="地方绿建评价标准"/>
      <w:r>
        <w:rPr>
          <w:rFonts w:hint="eastAsia"/>
        </w:rPr>
        <w:t>《绿色建筑评价标准》GB/T 50378-2019</w:t>
      </w:r>
      <w:bookmarkEnd w:id="35"/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6" w:name="_Toc160305226"/>
      <w:bookmarkStart w:id="37" w:name="_Toc480186062"/>
      <w:bookmarkStart w:id="38" w:name="_Toc480186124"/>
      <w:bookmarkStart w:id="39" w:name="_Toc480218446"/>
      <w:r>
        <w:rPr>
          <w:rFonts w:hint="eastAsia"/>
          <w:kern w:val="2"/>
        </w:rPr>
        <w:t>评价目标</w:t>
      </w:r>
      <w:bookmarkEnd w:id="36"/>
      <w:bookmarkEnd w:id="37"/>
      <w:bookmarkEnd w:id="38"/>
      <w:bookmarkEnd w:id="39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</w:t>
      </w:r>
      <w:bookmarkStart w:id="40" w:name="地方绿建评价标准：1"/>
      <w:r>
        <w:rPr>
          <w:rFonts w:hint="eastAsia"/>
        </w:rPr>
        <w:t>《绿色建筑评价标准》GB/T 50378-2019</w:t>
      </w:r>
      <w:bookmarkEnd w:id="40"/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1" w:name="_Toc480186063"/>
      <w:bookmarkStart w:id="42" w:name="_Toc480186125"/>
      <w:bookmarkStart w:id="43" w:name="_Toc160305227"/>
      <w:bookmarkStart w:id="44" w:name="_Toc479931706"/>
      <w:bookmarkStart w:id="45" w:name="_Toc480218447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9" o:spt="75" type="#_x0000_t75" style="height:45.75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7" r:id="rId11">
            <o:LockedField>false</o:LockedField>
          </o:OLEObject>
        </w:object>
      </w:r>
      <w:r>
        <w:rPr>
          <w:rFonts w:hint="eastAsia"/>
        </w:rPr>
        <w:t>（3.2-1）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0" o:spt="75" type="#_x0000_t75" style="height:50.25pt;width:16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3">
            <o:LockedField>false</o:LockedField>
          </o:OLEObject>
        </w:objec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1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29" r:id="rId15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3" o:spt="75" type="#_x0000_t75" style="height:15.75pt;width:2.25pt;" filled="f" o:preferrelative="t" stroked="f" coordsize="21600,21600" equationxml="&l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4" o:spt="75" type="#_x0000_t75" style="height:15.75pt;width:2.25pt;" filled="f" o:preferrelative="t" stroked="f" coordsize="21600,21600" equationxml="&l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5.75pt;width:5.25pt;" filled="f" o:preferrelative="t" stroked="f" coordsize="21600,21600" equationxml="&l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5.75pt;width:5.25pt;" filled="f" o:preferrelative="t" stroked="f" coordsize="21600,21600" equationxml="&l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7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31" r:id="rId2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8" o:spt="75" type="#_x0000_t75" style="height:15.75pt;width:2.25pt;" filled="f" o:preferrelative="t" stroked="f" coordsize="21600,21600" equationxml="&l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9" o:spt="75" type="#_x0000_t75" style="height:15.75pt;width:2.25pt;" filled="f" o:preferrelative="t" stroked="f" coordsize="21600,21600" equationxml="&l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75pt;width:5.25pt;" filled="f" o:preferrelative="t" stroked="f" coordsize="21600,21600" equationxml="&l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75pt;width:5.25pt;" filled="f" o:preferrelative="t" stroked="f" coordsize="21600,21600" equationxml="&l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2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2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3" DrawAspect="Content" ObjectID="_1468075733" r:id="rId25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4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5" DrawAspect="Content" ObjectID="_1468075735" r:id="rId29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6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6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7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8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9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9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0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1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1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2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3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4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4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6" w:name="_Toc480186126"/>
      <w:bookmarkStart w:id="47" w:name="_Toc160305228"/>
      <w:bookmarkStart w:id="48" w:name="_Toc480218448"/>
      <w:bookmarkStart w:id="49" w:name="_Toc480186064"/>
      <w:r>
        <w:rPr>
          <w:rFonts w:hint="eastAsia"/>
        </w:rPr>
        <w:t>防潮验算</w:t>
      </w:r>
      <w:r>
        <w:t>计算过程</w:t>
      </w:r>
      <w:bookmarkEnd w:id="46"/>
      <w:bookmarkEnd w:id="47"/>
      <w:bookmarkEnd w:id="48"/>
      <w:bookmarkEnd w:id="49"/>
    </w:p>
    <w:p>
      <w:pPr>
        <w:pStyle w:val="4"/>
        <w:spacing w:line="240" w:lineRule="atLeast"/>
        <w:rPr>
          <w:kern w:val="2"/>
        </w:rPr>
      </w:pPr>
      <w:bookmarkStart w:id="50" w:name="_Toc160305229"/>
      <w:r>
        <w:rPr>
          <w:rFonts w:hint="eastAsia"/>
          <w:kern w:val="2"/>
        </w:rPr>
        <w:t>计算条件</w:t>
      </w:r>
      <w:bookmarkEnd w:id="50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5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5" r:id="rId49">
                  <o:LockedField>false</o:LockedField>
                </o:OLEObject>
              </w:objec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6" o:spt="75" type="#_x0000_t75" style="height:15.75pt;width:2.25pt;" filled="f" o:preferrelative="t" stroked="f" coordsize="21600,21600" equationxml="&l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separate"/>
            </w:r>
            <w:r>
              <w:rPr>
                <w:position w:val="-8"/>
              </w:rPr>
              <w:pict>
                <v:shape id="_x0000_i1057" o:spt="75" type="#_x0000_t75" style="height:15.75pt;width:2.25pt;" filled="f" o:preferrelative="t" stroked="f" coordsize="21600,21600" equationxml="&l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8" o:spt="75" type="#_x0000_t75" style="height:17.25pt;width:9.7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t_e_avg"/>
            <w:r>
              <w:rPr>
                <w:rFonts w:hint="eastAsia"/>
              </w:rPr>
              <w:t>2.80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4" w:name="室外相对湿度"/>
            <w:r>
              <w:rPr>
                <w:rFonts w:hint="eastAsia"/>
              </w:rPr>
              <w:t>65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5" w:name="Z"/>
            <w:r>
              <w:rPr>
                <w:rFonts w:hint="eastAsia"/>
              </w:rPr>
              <w:t>35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bookmarkStart w:id="56" w:name="气象数据参考"/>
      <w:r>
        <w:t>注：气象数据参考 浙江-丽水.</w:t>
      </w:r>
      <w:r>
        <w:br w:type="textWrapping"/>
      </w:r>
      <w:bookmarkEnd w:id="56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7" w:name="_Toc160305230"/>
      <w:r>
        <w:rPr>
          <w:rFonts w:hint="eastAsia"/>
          <w:kern w:val="2"/>
        </w:rPr>
        <w:t>外墙构造一</w:t>
      </w:r>
      <w:bookmarkEnd w:id="57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1.111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1450.00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0.267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8" w:name="_Toc160305231"/>
      <w:r>
        <w:rPr>
          <w:rFonts w:hint="eastAsia"/>
        </w:rPr>
        <w:t>冷凝计算界面至围护结构内表面之间的热阻</w:t>
      </w:r>
      <w:bookmarkEnd w:id="58"/>
      <w:r>
        <w:object>
          <v:shape id="_x0000_i1059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9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0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0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1.41</w:t>
      </w:r>
    </w:p>
    <w:p>
      <w:pPr>
        <w:pStyle w:val="5"/>
        <w:ind w:right="1470"/>
      </w:pPr>
      <w:bookmarkStart w:id="59" w:name="_Toc160305232"/>
      <w:r>
        <w:rPr>
          <w:rFonts w:hint="eastAsia"/>
        </w:rPr>
        <w:t>冷凝计算界面温度</w:t>
      </w:r>
      <w:bookmarkEnd w:id="59"/>
      <w:r>
        <w:rPr>
          <w:position w:val="-6"/>
        </w:rPr>
        <w:object>
          <v:shape id="_x0000_i106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1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2" o:spt="75" type="#_x0000_t75" style="height:33pt;width:111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2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3.48</w:t>
      </w:r>
    </w:p>
    <w:p>
      <w:pPr>
        <w:pStyle w:val="5"/>
        <w:ind w:right="1470"/>
      </w:pPr>
      <w:bookmarkStart w:id="60" w:name="_Toc160305233"/>
      <w:r>
        <w:rPr>
          <w:rStyle w:val="32"/>
          <w:rFonts w:hint="eastAsia"/>
          <w:b/>
          <w:bCs w:val="0"/>
        </w:rPr>
        <w:t>围护结构冷凝受潮验算</w:t>
      </w:r>
      <w:bookmarkEnd w:id="60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4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5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75pt;width:2.25pt;" filled="f" o:preferrelative="t" stroked="f" coordsize="21600,21600" equationxml="&l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75pt;width:2.25pt;" filled="f" o:preferrelative="t" stroked="f" coordsize="21600,21600" equationxml="&l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5.75pt;width:5.25pt;" filled="f" o:preferrelative="t" stroked="f" coordsize="21600,21600" equationxml="&l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5.75pt;width:5.25pt;" filled="f" o:preferrelative="t" stroked="f" coordsize="21600,21600" equationxml="&l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927.66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0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1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2" o:spt="75" type="#_x0000_t75" style="height:15.75pt;width:2.25pt;" filled="f" o:preferrelative="t" stroked="f" coordsize="21600,21600" equationxml="&l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3" o:spt="75" type="#_x0000_t75" style="height:15.75pt;width:2.25pt;" filled="f" o:preferrelative="t" stroked="f" coordsize="21600,21600" equationxml="&l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5.75pt;width:5.25pt;" filled="f" o:preferrelative="t" stroked="f" coordsize="21600,21600" equationxml="&l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5.75pt;width:5.25pt;" filled="f" o:preferrelative="t" stroked="f" coordsize="21600,21600" equationxml="&l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57" r:id="rId64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485.29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2" r:id="rId69">
                  <o:LockedField>false</o:LockedField>
                </o:OLEObject>
              </w:objec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783.97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3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4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5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6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7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8" o:spt="75" type="#_x0000_t75" style="height:16.5pt;width:24.7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8" r:id="rId75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1" w:name="构造ID"/>
      <w:bookmarkStart w:id="62" w:name="_Toc160305234"/>
      <w:bookmarkStart w:id="63" w:name="DataTab"/>
      <w:r>
        <w:rPr>
          <w:rFonts w:hint="eastAsia"/>
          <w:kern w:val="2"/>
        </w:rPr>
        <w:t>阳台隔墙构造一</w:t>
      </w:r>
      <w:bookmarkEnd w:id="61"/>
      <w:bookmarkEnd w:id="62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4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64"/>
    </w:tbl>
    <w:p>
      <w:pPr>
        <w:pStyle w:val="3"/>
        <w:ind w:left="1470" w:right="1470"/>
      </w:pPr>
    </w:p>
    <w:p>
      <w:pPr>
        <w:pStyle w:val="5"/>
      </w:pPr>
      <w:bookmarkStart w:id="65" w:name="_Toc160305235"/>
      <w:r>
        <w:rPr>
          <w:rFonts w:hint="eastAsia"/>
        </w:rPr>
        <w:t>冷凝计算界面至围护结构内表面之间的热阻</w:t>
      </w:r>
      <w:r>
        <w:pict>
          <v:shape id="_x0000_i1089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5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0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66" w:name="R_o_i"/>
      <w:r>
        <w:rPr>
          <w:rFonts w:hint="eastAsia"/>
        </w:rPr>
        <w:t>0.72</w:t>
      </w:r>
      <w:bookmarkEnd w:id="66"/>
    </w:p>
    <w:p>
      <w:pPr>
        <w:pStyle w:val="5"/>
        <w:ind w:right="1470"/>
      </w:pPr>
      <w:bookmarkStart w:id="67" w:name="_Toc160305236"/>
      <w:r>
        <w:rPr>
          <w:rFonts w:hint="eastAsia"/>
        </w:rPr>
        <w:t>冷凝计算界面温度</w:t>
      </w:r>
      <w:r>
        <w:rPr>
          <w:position w:val="-6"/>
        </w:rPr>
        <w:pict>
          <v:shape id="_x0000_i1091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7"/>
    </w:p>
    <w:p>
      <w:pPr>
        <w:jc w:val="center"/>
      </w:pPr>
      <w:r>
        <w:pict>
          <v:shape id="_x0000_i1092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68" w:name="θ_c"/>
      <w:r>
        <w:rPr>
          <w:rFonts w:hint="eastAsia"/>
        </w:rPr>
        <w:t>4.01</w:t>
      </w:r>
      <w:bookmarkEnd w:id="68"/>
    </w:p>
    <w:p>
      <w:pPr>
        <w:pStyle w:val="5"/>
        <w:ind w:right="1470"/>
      </w:pPr>
      <w:bookmarkStart w:id="69" w:name="_Toc160305237"/>
      <w:r>
        <w:rPr>
          <w:rStyle w:val="32"/>
          <w:rFonts w:hint="eastAsia"/>
          <w:b/>
          <w:bCs w:val="0"/>
        </w:rPr>
        <w:t>围护结构冷凝受潮验算</w:t>
      </w:r>
      <w:bookmarkEnd w:id="69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4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5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5.75pt;width:2.25pt;" filled="f" o:preferrelative="t" stroked="f" coordsize="21600,21600" equationxml="&l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7" o:spt="75" type="#_x0000_t75" style="height:15.75pt;width:2.25pt;" filled="f" o:preferrelative="t" stroked="f" coordsize="21600,21600" equationxml="&l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5.75pt;width:5.25pt;" filled="f" o:preferrelative="t" stroked="f" coordsize="21600,21600" equationxml="&l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5.75pt;width:5.25pt;" filled="f" o:preferrelative="t" stroked="f" coordsize="21600,21600" equationxml="&l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i"/>
            <w:r>
              <w:rPr>
                <w:rFonts w:hint="eastAsia"/>
              </w:rPr>
              <w:t>14062.08</w:t>
            </w:r>
            <w:bookmarkEnd w:id="7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0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1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2" o:spt="75" type="#_x0000_t75" style="height:15.75pt;width:2.25pt;" filled="f" o:preferrelative="t" stroked="f" coordsize="21600,21600" equationxml="&l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3" o:spt="75" type="#_x0000_t75" style="height:15.75pt;width:2.25pt;" filled="f" o:preferrelative="t" stroked="f" coordsize="21600,21600" equationxml="&l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5.75pt;width:5.25pt;" filled="f" o:preferrelative="t" stroked="f" coordsize="21600,21600" equationxml="&l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5.75pt;width:5.25pt;" filled="f" o:preferrelative="t" stroked="f" coordsize="21600,21600" equationxml="&l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H_o_e"/>
            <w:r>
              <w:rPr>
                <w:rFonts w:hint="eastAsia"/>
              </w:rPr>
              <w:t>952.38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6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Pi"/>
            <w:r>
              <w:rPr>
                <w:rFonts w:hint="eastAsia"/>
              </w:rPr>
              <w:t>1237.20</w:t>
            </w:r>
            <w:bookmarkEnd w:id="72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e"/>
            <w:r>
              <w:rPr>
                <w:rFonts w:hint="eastAsia"/>
              </w:rPr>
              <w:t>485.29</w:t>
            </w:r>
            <w:bookmarkEnd w:id="73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sc"/>
            <w:r>
              <w:rPr>
                <w:rFonts w:hint="eastAsia"/>
              </w:rPr>
              <w:t>813.59</w:t>
            </w:r>
            <w:bookmarkEnd w:id="74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3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4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ρ"/>
            <w:r>
              <w:rPr>
                <w:rFonts w:hint="eastAsia"/>
              </w:rPr>
              <w:t>35.00</w:t>
            </w:r>
            <w:bookmarkEnd w:id="7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5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6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δi"/>
            <w:r>
              <w:rPr>
                <w:rFonts w:hint="eastAsia"/>
              </w:rPr>
              <w:t>0.02</w:t>
            </w:r>
            <w:bookmarkEnd w:id="7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7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8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ω_l"/>
            <w:r>
              <w:rPr>
                <w:rFonts w:hint="eastAsia"/>
              </w:rPr>
              <w:t>0.00</w:t>
            </w:r>
            <w:bookmarkEnd w:id="77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8" w:name="ω"/>
            <w:r>
              <w:rPr>
                <w:rFonts w:hint="eastAsia"/>
              </w:rPr>
              <w:t>10.00</w:t>
            </w:r>
            <w:bookmarkEnd w:id="78"/>
          </w:p>
        </w:tc>
      </w:tr>
    </w:tbl>
    <w:p>
      <w:pPr>
        <w:widowControl/>
        <w:jc w:val="left"/>
      </w:pPr>
    </w:p>
    <w:bookmarkEnd w:id="63"/>
    <w:p>
      <w:pPr>
        <w:pStyle w:val="2"/>
      </w:pPr>
      <w:bookmarkStart w:id="79" w:name="_Toc160305238"/>
      <w:r>
        <w:t>验算结论</w:t>
      </w:r>
      <w:bookmarkEnd w:id="79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外墙构造一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阳台隔墙</w:t>
            </w:r>
          </w:p>
        </w:tc>
        <w:tc>
          <w:tcPr>
            <w:tcW w:w="3112" w:type="dxa"/>
            <w:vAlign w:val="center"/>
          </w:tcPr>
          <w:p>
            <w:r>
              <w:t>阳台隔墙构造一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2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7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NmMwOGYyOGZkODg1Y2NjNGM3NGVhMGIzNTIyYTgifQ=="/>
  </w:docVars>
  <w:rsids>
    <w:rsidRoot w:val="00C82750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362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82750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D4DAB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31356C5D"/>
    <w:rsid w:val="40657711"/>
    <w:rsid w:val="54E61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autoRedefine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autoRedefine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autoRedefine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autoRedefine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autoRedefine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autoRedefine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autoRedefine/>
    <w:qFormat/>
    <w:uiPriority w:val="0"/>
    <w:rPr>
      <w:sz w:val="18"/>
      <w:szCs w:val="18"/>
    </w:rPr>
  </w:style>
  <w:style w:type="paragraph" w:styleId="15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autoRedefine/>
    <w:qFormat/>
    <w:uiPriority w:val="0"/>
  </w:style>
  <w:style w:type="character" w:styleId="24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autoRedefine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autoRedefine/>
    <w:qFormat/>
    <w:uiPriority w:val="99"/>
    <w:rPr>
      <w:kern w:val="2"/>
      <w:sz w:val="18"/>
      <w:szCs w:val="18"/>
    </w:rPr>
  </w:style>
  <w:style w:type="character" w:customStyle="1" w:styleId="27">
    <w:name w:val="页眉 字符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autoRedefine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autoRedefine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autoRedefine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autoRedefine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autoRedefine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autoRedefine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autoRedefine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autoRedefine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autoRedefine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autoRedefine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autoRedefine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autoRedefine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autoRedefine/>
    <w:qFormat/>
    <w:uiPriority w:val="0"/>
    <w:rPr>
      <w:kern w:val="2"/>
      <w:sz w:val="18"/>
      <w:szCs w:val="18"/>
    </w:rPr>
  </w:style>
  <w:style w:type="character" w:styleId="43">
    <w:name w:val="Placeholder Text"/>
    <w:autoRedefine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autoRedefine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013;&#33683;&#21619;~1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7</Pages>
  <Words>818</Words>
  <Characters>4665</Characters>
  <Lines>38</Lines>
  <Paragraphs>10</Paragraphs>
  <TotalTime>1</TotalTime>
  <ScaleCrop>false</ScaleCrop>
  <LinksUpToDate>false</LinksUpToDate>
  <CharactersWithSpaces>5473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2024-03-02T12:53:00Z</dcterms:created>
  <dc:creator>蓝莓味的葡萄</dc:creator>
  <cp:lastModifiedBy>James</cp:lastModifiedBy>
  <dcterms:modified xsi:type="dcterms:W3CDTF">2024-03-14T12:44:08Z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2052-12.1.0.16388</vt:lpwstr>
  </property>
  <property fmtid="{D5CDD505-2E9C-101B-9397-08002B2CF9AE}" pid="4" name="ICV">
    <vt:lpwstr>A920878A7B814E059211A44048FC7B99_12</vt:lpwstr>
  </property>
</Properties>
</file>