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1" w:name="项目名称"/>
            <w:r>
              <w:rPr>
                <w:rFonts w:hint="eastAsia" w:ascii="宋体" w:hAnsi="宋体"/>
                <w:szCs w:val="21"/>
              </w:rPr>
              <w:t>空间再造，筑绿新生</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浙江-金华</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5" w:name="_GoBack"/>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审核人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3" w:name="报告日期"/>
            <w:r>
              <w:rPr>
                <w:rFonts w:hint="eastAsia" w:ascii="宋体" w:hAnsi="宋体"/>
                <w:szCs w:val="21"/>
              </w:rPr>
              <w:t>2024年3月2日</w:t>
            </w:r>
            <w:bookmarkEnd w:id="3"/>
          </w:p>
        </w:tc>
      </w:tr>
    </w:tbl>
    <w:p>
      <w:pPr>
        <w:jc w:val="center"/>
        <w:rPr>
          <w:rFonts w:ascii="宋体" w:hAnsi="宋体"/>
          <w:szCs w:val="18"/>
          <w:lang w:val="en-US"/>
        </w:rPr>
      </w:pPr>
    </w:p>
    <w:p>
      <w:pPr>
        <w:jc w:val="center"/>
        <w:rPr>
          <w:rFonts w:ascii="宋体" w:hAnsi="宋体"/>
          <w:bCs/>
          <w:szCs w:val="18"/>
        </w:rPr>
      </w:pPr>
      <w:bookmarkStart w:id="4" w:name="二维码"/>
      <w:bookmarkEnd w:id="4"/>
      <w:r>
        <w:rPr>
          <w:lang w:val="en-US"/>
        </w:rP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5" w:name="软件全称"/>
            <w:r>
              <w:t>斯维尔节能设计BECS2023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6" w:name="软件版本"/>
            <w:r>
              <w:rPr>
                <w:rFonts w:hint="eastAsia" w:ascii="宋体" w:hAnsi="宋体"/>
                <w:szCs w:val="18"/>
              </w:rPr>
              <w:t>20220923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7" w:name="加密锁号"/>
            <w:r>
              <w:rPr>
                <w:rFonts w:hint="eastAsia" w:ascii="宋体" w:hAnsi="宋体"/>
                <w:szCs w:val="18"/>
              </w:rPr>
              <w:t>T15067523972</w:t>
            </w:r>
            <w:bookmarkEnd w:id="7"/>
          </w:p>
        </w:tc>
      </w:tr>
    </w:tbl>
    <w:p>
      <w:pPr>
        <w:pStyle w:val="17"/>
      </w:pPr>
      <w:r>
        <w:rPr>
          <w:rFonts w:ascii="宋体" w:hAnsi="宋体"/>
          <w:b w:val="0"/>
          <w:bCs w:val="0"/>
          <w:sz w:val="32"/>
          <w:szCs w:val="32"/>
        </w:rPr>
        <w:br w:type="textWrapping" w:clear="all"/>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8" w:name="_Toc316568035"/>
      <w:r>
        <w:rPr>
          <w:rFonts w:hint="eastAsia"/>
        </w:rPr>
        <w:t>建筑概况</w:t>
      </w:r>
      <w:bookmarkEnd w:id="8"/>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9" w:name="工程名称"/>
            <w:r>
              <w:t>空间再造，筑绿新生</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0" w:name="工程地点"/>
            <w:r>
              <w:t>浙江-金华</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1" w:name="气候分区"/>
            <w:r>
              <w:t>夏热冬冷</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2" w:name="地上建筑面积"/>
            <w:r>
              <w:rPr>
                <w:rFonts w:hint="eastAsia" w:ascii="宋体" w:hAnsi="宋体"/>
                <w:lang w:val="en-US"/>
              </w:rPr>
              <w:t>12801</w:t>
            </w:r>
            <w:bookmarkEnd w:id="12"/>
            <w:r>
              <w:rPr>
                <w:rFonts w:hint="eastAsia" w:ascii="宋体" w:hAnsi="宋体"/>
              </w:rPr>
              <w:t>㎡</w:t>
            </w:r>
            <w:r>
              <w:rPr>
                <w:rFonts w:hint="eastAsia" w:ascii="宋体" w:hAnsi="宋体"/>
                <w:lang w:val="en-US"/>
              </w:rPr>
              <w:t xml:space="preserve">    地下</w:t>
            </w:r>
            <w:bookmarkStart w:id="13" w:name="地下建筑面积"/>
            <w:r>
              <w:rPr>
                <w:rFonts w:hint="eastAsia" w:ascii="宋体" w:hAnsi="宋体"/>
                <w:lang w:val="en-US"/>
              </w:rPr>
              <w:t>0</w:t>
            </w:r>
            <w:bookmarkEnd w:id="13"/>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层数"/>
            <w:r>
              <w:rPr>
                <w:rFonts w:hint="eastAsia" w:ascii="宋体" w:hAnsi="宋体"/>
                <w:lang w:val="en-US"/>
              </w:rPr>
              <w:t>5</w:t>
            </w:r>
            <w:bookmarkEnd w:id="14"/>
            <w:r>
              <w:rPr>
                <w:rFonts w:hint="eastAsia" w:ascii="宋体" w:hAnsi="宋体"/>
                <w:lang w:val="en-US"/>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6" w:name="地上建筑高度"/>
            <w:r>
              <w:rPr>
                <w:rFonts w:hint="eastAsia" w:ascii="宋体" w:hAnsi="宋体"/>
                <w:lang w:val="en-US"/>
              </w:rPr>
              <w:t>18.6</w:t>
            </w:r>
            <w:bookmarkEnd w:id="16"/>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7" w:name="结构类型"/>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8" w:name="累年最低日平均温度"/>
            <w:r>
              <w:t>-0.5</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9" w:name="采暖期室外计算温度"/>
            <w:r>
              <w:t>2.8</w:t>
            </w:r>
            <w:bookmarkEnd w:id="19"/>
          </w:p>
        </w:tc>
      </w:tr>
    </w:tbl>
    <w:p>
      <w:pPr>
        <w:pStyle w:val="2"/>
      </w:pPr>
      <w:bookmarkStart w:id="20" w:name="_Toc316568036"/>
      <w:bookmarkStart w:id="21" w:name="TitleFormat"/>
      <w:r>
        <w:rPr>
          <w:rFonts w:hint="eastAsia"/>
        </w:rPr>
        <w:t>评价依据</w:t>
      </w:r>
      <w:bookmarkEnd w:id="20"/>
    </w:p>
    <w:bookmarkEnd w:id="21"/>
    <w:p>
      <w:pPr>
        <w:widowControl w:val="0"/>
        <w:jc w:val="both"/>
        <w:rPr>
          <w:kern w:val="2"/>
          <w:szCs w:val="24"/>
          <w:lang w:val="en-US"/>
        </w:rPr>
      </w:pPr>
      <w:r>
        <w:rPr>
          <w:rFonts w:hint="eastAsia"/>
          <w:kern w:val="2"/>
          <w:szCs w:val="24"/>
          <w:lang w:val="en-US"/>
        </w:rPr>
        <w:t>1.</w:t>
      </w:r>
      <w:bookmarkStart w:id="22" w:name="标准名称"/>
      <w:r>
        <w:rPr>
          <w:rFonts w:hint="eastAsia"/>
          <w:kern w:val="2"/>
          <w:szCs w:val="24"/>
          <w:lang w:val="en-US"/>
        </w:rPr>
        <w:t>《公共建筑节能设计标准》GB50189-2015</w:t>
      </w:r>
      <w:bookmarkEnd w:id="22"/>
    </w:p>
    <w:p>
      <w:pPr>
        <w:widowControl w:val="0"/>
        <w:jc w:val="both"/>
        <w:rPr>
          <w:kern w:val="2"/>
          <w:szCs w:val="24"/>
          <w:lang w:val="en-US"/>
        </w:rPr>
      </w:pPr>
      <w:r>
        <w:rPr>
          <w:rFonts w:hint="eastAsia"/>
          <w:kern w:val="2"/>
          <w:szCs w:val="24"/>
          <w:lang w:val="en-US"/>
        </w:rPr>
        <w:t>2.《民用建筑热工设计规范》GB50176</w:t>
      </w:r>
    </w:p>
    <w:p>
      <w:pPr>
        <w:widowControl w:val="0"/>
        <w:jc w:val="both"/>
        <w:rPr>
          <w:kern w:val="2"/>
          <w:lang w:val="en-US"/>
        </w:rPr>
      </w:pPr>
      <w:r>
        <w:rPr>
          <w:rFonts w:hint="eastAsia"/>
          <w:kern w:val="2"/>
          <w:szCs w:val="24"/>
          <w:lang w:val="en-US"/>
        </w:rPr>
        <w:t xml:space="preserve">3. </w:t>
      </w:r>
      <w:bookmarkStart w:id="23" w:name="地方绿建评价标准"/>
      <w:r>
        <w:rPr>
          <w:rFonts w:hint="eastAsia"/>
          <w:kern w:val="2"/>
          <w:szCs w:val="24"/>
          <w:lang w:val="en-US"/>
        </w:rPr>
        <w:t>《绿色建筑评价标准》GB/T 50378-2019</w:t>
      </w:r>
      <w:bookmarkEnd w:id="23"/>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cs="宋体"/>
          <w:b/>
        </w:rPr>
        <w:t xml:space="preserve">4.2.11 </w:t>
      </w:r>
      <w:r>
        <w:rPr>
          <w:rFonts w:hint="eastAsia" w:cs="宋体"/>
        </w:rPr>
        <w:t>围护结构中的热桥部位应进行表面结露验算，并应采取保温措施，确保热桥内表面温度高于房间空气露点温度。</w:t>
      </w:r>
    </w:p>
    <w:p>
      <w:pPr>
        <w:autoSpaceDE w:val="0"/>
        <w:autoSpaceDN w:val="0"/>
        <w:adjustRightInd w:val="0"/>
        <w:spacing w:line="350" w:lineRule="atLeast"/>
        <w:ind w:firstLine="210"/>
        <w:rPr>
          <w:rFonts w:cs="宋体"/>
        </w:rPr>
      </w:pPr>
      <w:r>
        <w:rPr>
          <w:rFonts w:cs="宋体"/>
          <w:b/>
        </w:rPr>
        <w:t xml:space="preserve">4.2.12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4" w:name="地方绿建评价标准：1"/>
      <w:r>
        <w:rPr>
          <w:rFonts w:ascii="宋体" w:hAnsi="宋体"/>
          <w:kern w:val="2"/>
          <w:szCs w:val="21"/>
          <w:lang w:val="en-US"/>
        </w:rPr>
        <w:t>《绿色建筑评价标准》GB/T 50378-2019</w:t>
      </w:r>
      <w:bookmarkEnd w:id="24"/>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5"/>
        <w:numPr>
          <w:ilvl w:val="0"/>
          <w:numId w:val="3"/>
        </w:numPr>
        <w:spacing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表3.2.2冬季室外热</w:t>
      </w:r>
      <w:r>
        <w:rPr>
          <w:rFonts w:cs="宋体"/>
        </w:rPr>
        <w:t>工</w:t>
      </w:r>
      <w:r>
        <w:rPr>
          <w:rFonts w:hint="eastAsia" w:cs="宋体"/>
        </w:rPr>
        <w:t>计</w:t>
      </w:r>
      <w:r>
        <w:rPr>
          <w:rFonts w:cs="宋体"/>
        </w:rPr>
        <w:t>算温度</w:t>
      </w:r>
    </w:p>
    <w:tbl>
      <w:tblPr>
        <w:tblStyle w:val="20"/>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浙江-金华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2.80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autoSpaceDE w:val="0"/>
        <w:autoSpaceDN w:val="0"/>
        <w:adjustRightInd w:val="0"/>
        <w:snapToGrid w:val="0"/>
        <w:rPr>
          <w:kern w:val="2"/>
          <w:szCs w:val="21"/>
          <w:lang w:val="en-US"/>
        </w:rPr>
      </w:pPr>
      <w:r>
        <w:rPr>
          <w:kern w:val="2"/>
          <w:szCs w:val="21"/>
          <w:lang w:val="en-US"/>
        </w:rPr>
        <w:t>注：气象数据参考 浙江-丽水.</w:t>
      </w:r>
    </w:p>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硬泡聚氨酯</w:t>
            </w:r>
          </w:p>
        </w:tc>
        <w:tc>
          <w:tcPr>
            <w:tcW w:w="1018" w:type="dxa"/>
            <w:vAlign w:val="center"/>
          </w:tcPr>
          <w:p>
            <w:r>
              <w:t>47</w:t>
            </w:r>
          </w:p>
        </w:tc>
        <w:tc>
          <w:tcPr>
            <w:tcW w:w="1086" w:type="dxa"/>
            <w:vAlign w:val="center"/>
          </w:tcPr>
          <w:p>
            <w:r>
              <w:t>0.027</w:t>
            </w:r>
          </w:p>
        </w:tc>
        <w:tc>
          <w:tcPr>
            <w:tcW w:w="1120" w:type="dxa"/>
            <w:vAlign w:val="center"/>
          </w:tcPr>
          <w:p>
            <w:r>
              <w:t>0.420</w:t>
            </w:r>
          </w:p>
        </w:tc>
        <w:tc>
          <w:tcPr>
            <w:tcW w:w="1131" w:type="dxa"/>
            <w:vAlign w:val="center"/>
          </w:tcPr>
          <w:p>
            <w:r>
              <w:t>1.741</w:t>
            </w:r>
          </w:p>
        </w:tc>
        <w:tc>
          <w:tcPr>
            <w:tcW w:w="1188" w:type="dxa"/>
            <w:vAlign w:val="center"/>
          </w:tcPr>
          <w:p>
            <w:r>
              <w:t>0.731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现浇混凝土屋面板</w:t>
            </w:r>
          </w:p>
        </w:tc>
        <w:tc>
          <w:tcPr>
            <w:tcW w:w="1018" w:type="dxa"/>
            <w:vAlign w:val="center"/>
          </w:tcPr>
          <w:p>
            <w:r>
              <w:t>50</w:t>
            </w:r>
          </w:p>
        </w:tc>
        <w:tc>
          <w:tcPr>
            <w:tcW w:w="1086" w:type="dxa"/>
            <w:vAlign w:val="center"/>
          </w:tcPr>
          <w:p>
            <w:r>
              <w:t>1.740</w:t>
            </w:r>
          </w:p>
        </w:tc>
        <w:tc>
          <w:tcPr>
            <w:tcW w:w="1120" w:type="dxa"/>
            <w:vAlign w:val="center"/>
          </w:tcPr>
          <w:p>
            <w:r>
              <w:t>17.060</w:t>
            </w:r>
          </w:p>
        </w:tc>
        <w:tc>
          <w:tcPr>
            <w:tcW w:w="1131" w:type="dxa"/>
            <w:vAlign w:val="center"/>
          </w:tcPr>
          <w:p>
            <w:r>
              <w:t>0.029</w:t>
            </w:r>
          </w:p>
        </w:tc>
        <w:tc>
          <w:tcPr>
            <w:tcW w:w="1188" w:type="dxa"/>
            <w:vAlign w:val="center"/>
          </w:tcPr>
          <w:p>
            <w:r>
              <w:t>0.490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-0.50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42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42875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600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60020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120</w:t>
            </w:r>
          </w:p>
        </w:tc>
        <w:tc>
          <w:tcPr>
            <w:tcW w:w="1086" w:type="dxa"/>
            <w:vAlign w:val="center"/>
          </w:tcPr>
          <w:p>
            <w:r>
              <w:t>1.740</w:t>
            </w:r>
          </w:p>
        </w:tc>
        <w:tc>
          <w:tcPr>
            <w:tcW w:w="1120" w:type="dxa"/>
            <w:vAlign w:val="center"/>
          </w:tcPr>
          <w:p>
            <w:r>
              <w:t>17.200</w:t>
            </w:r>
          </w:p>
        </w:tc>
        <w:tc>
          <w:tcPr>
            <w:tcW w:w="1131" w:type="dxa"/>
            <w:vAlign w:val="center"/>
          </w:tcPr>
          <w:p>
            <w:r>
              <w:t>0.069</w:t>
            </w:r>
          </w:p>
        </w:tc>
        <w:tc>
          <w:tcPr>
            <w:tcW w:w="1188"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41</w:t>
            </w:r>
          </w:p>
        </w:tc>
        <w:tc>
          <w:tcPr>
            <w:tcW w:w="1086" w:type="dxa"/>
            <w:vAlign w:val="center"/>
          </w:tcPr>
          <w:p>
            <w:r>
              <w:t>0.030</w:t>
            </w:r>
          </w:p>
        </w:tc>
        <w:tc>
          <w:tcPr>
            <w:tcW w:w="1120" w:type="dxa"/>
            <w:vAlign w:val="center"/>
          </w:tcPr>
          <w:p>
            <w:r>
              <w:t>0.340</w:t>
            </w:r>
          </w:p>
        </w:tc>
        <w:tc>
          <w:tcPr>
            <w:tcW w:w="1131" w:type="dxa"/>
            <w:vAlign w:val="center"/>
          </w:tcPr>
          <w:p>
            <w:r>
              <w:t>1.367</w:t>
            </w:r>
          </w:p>
        </w:tc>
        <w:tc>
          <w:tcPr>
            <w:tcW w:w="1188" w:type="dxa"/>
            <w:vAlign w:val="center"/>
          </w:tcPr>
          <w:p>
            <w:r>
              <w:t>0.465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432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94322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40</w:t>
            </w:r>
          </w:p>
        </w:tc>
        <w:tc>
          <w:tcPr>
            <w:tcW w:w="1086" w:type="dxa"/>
            <w:vAlign w:val="center"/>
          </w:tcPr>
          <w:p>
            <w:r>
              <w:t>0.030</w:t>
            </w:r>
          </w:p>
        </w:tc>
        <w:tc>
          <w:tcPr>
            <w:tcW w:w="1120" w:type="dxa"/>
            <w:vAlign w:val="center"/>
          </w:tcPr>
          <w:p>
            <w:r>
              <w:t>0.340</w:t>
            </w:r>
          </w:p>
        </w:tc>
        <w:tc>
          <w:tcPr>
            <w:tcW w:w="1131" w:type="dxa"/>
            <w:vAlign w:val="center"/>
          </w:tcPr>
          <w:p>
            <w:r>
              <w:t>1.333</w:t>
            </w:r>
          </w:p>
        </w:tc>
        <w:tc>
          <w:tcPr>
            <w:tcW w:w="1188" w:type="dxa"/>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0.49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057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05740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外墙－屋顶</w:t>
            </w:r>
          </w:p>
        </w:tc>
        <w:tc>
          <w:tcPr>
            <w:tcW w:w="1131" w:type="dxa"/>
            <w:vAlign w:val="center"/>
          </w:tcPr>
          <w:p>
            <w:r>
              <w:t>OW-R5</w:t>
            </w:r>
          </w:p>
        </w:tc>
        <w:tc>
          <w:tcPr>
            <w:tcW w:w="1471" w:type="dxa"/>
            <w:vAlign w:val="center"/>
          </w:tcPr>
          <w:p>
            <w:r>
              <w:t>1.22</w:t>
            </w:r>
          </w:p>
        </w:tc>
        <w:tc>
          <w:tcPr>
            <w:tcW w:w="1799" w:type="dxa"/>
            <w:vAlign w:val="center"/>
          </w:tcPr>
          <w:p>
            <w:r>
              <w:t>-0.50</w:t>
            </w:r>
          </w:p>
        </w:tc>
        <w:tc>
          <w:tcPr>
            <w:tcW w:w="1709" w:type="dxa"/>
            <w:vAlign w:val="center"/>
          </w:tcPr>
          <w:p>
            <w:r>
              <w:t>15.01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外墙－窗左右口</w:t>
            </w:r>
          </w:p>
        </w:tc>
        <w:tc>
          <w:tcPr>
            <w:tcW w:w="1131" w:type="dxa"/>
            <w:vAlign w:val="center"/>
          </w:tcPr>
          <w:p>
            <w:r>
              <w:t>OW-WR4</w:t>
            </w:r>
          </w:p>
        </w:tc>
        <w:tc>
          <w:tcPr>
            <w:tcW w:w="1471" w:type="dxa"/>
            <w:vAlign w:val="center"/>
          </w:tcPr>
          <w:p>
            <w:r>
              <w:t>2.45</w:t>
            </w:r>
          </w:p>
        </w:tc>
        <w:tc>
          <w:tcPr>
            <w:tcW w:w="1799" w:type="dxa"/>
            <w:vAlign w:val="center"/>
          </w:tcPr>
          <w:p>
            <w:r>
              <w:t>0.49</w:t>
            </w:r>
          </w:p>
        </w:tc>
        <w:tc>
          <w:tcPr>
            <w:tcW w:w="1709" w:type="dxa"/>
            <w:vAlign w:val="center"/>
          </w:tcPr>
          <w:p>
            <w:r>
              <w:t>13.22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外墙－窗上口</w:t>
            </w:r>
          </w:p>
        </w:tc>
        <w:tc>
          <w:tcPr>
            <w:tcW w:w="1131" w:type="dxa"/>
            <w:vAlign w:val="center"/>
          </w:tcPr>
          <w:p>
            <w:r>
              <w:t>OW-WU4</w:t>
            </w:r>
          </w:p>
        </w:tc>
        <w:tc>
          <w:tcPr>
            <w:tcW w:w="1471" w:type="dxa"/>
            <w:vAlign w:val="center"/>
          </w:tcPr>
          <w:p>
            <w:r>
              <w:t>2.45</w:t>
            </w:r>
          </w:p>
        </w:tc>
        <w:tc>
          <w:tcPr>
            <w:tcW w:w="1799" w:type="dxa"/>
            <w:vAlign w:val="center"/>
          </w:tcPr>
          <w:p>
            <w:r>
              <w:t>0.49</w:t>
            </w:r>
          </w:p>
        </w:tc>
        <w:tc>
          <w:tcPr>
            <w:tcW w:w="1709" w:type="dxa"/>
            <w:vAlign w:val="center"/>
          </w:tcPr>
          <w:p>
            <w:r>
              <w:t>13.21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外墙－窗下口</w:t>
            </w:r>
          </w:p>
        </w:tc>
        <w:tc>
          <w:tcPr>
            <w:tcW w:w="1131" w:type="dxa"/>
            <w:vAlign w:val="center"/>
          </w:tcPr>
          <w:p>
            <w:r>
              <w:t>OW-WB8</w:t>
            </w:r>
          </w:p>
        </w:tc>
        <w:tc>
          <w:tcPr>
            <w:tcW w:w="1471" w:type="dxa"/>
            <w:vAlign w:val="center"/>
          </w:tcPr>
          <w:p>
            <w:r>
              <w:t>2.45</w:t>
            </w:r>
          </w:p>
        </w:tc>
        <w:tc>
          <w:tcPr>
            <w:tcW w:w="1799" w:type="dxa"/>
            <w:vAlign w:val="center"/>
          </w:tcPr>
          <w:p>
            <w:r>
              <w:t>0.49</w:t>
            </w:r>
          </w:p>
        </w:tc>
        <w:tc>
          <w:tcPr>
            <w:tcW w:w="1709" w:type="dxa"/>
            <w:vAlign w:val="center"/>
          </w:tcPr>
          <w:p>
            <w:r>
              <w:t>13.21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外墙－凸墙角</w:t>
            </w:r>
          </w:p>
        </w:tc>
        <w:tc>
          <w:tcPr>
            <w:tcW w:w="1131" w:type="dxa"/>
            <w:vAlign w:val="center"/>
          </w:tcPr>
          <w:p>
            <w:r>
              <w:t>OW-C1</w:t>
            </w:r>
          </w:p>
        </w:tc>
        <w:tc>
          <w:tcPr>
            <w:tcW w:w="1471" w:type="dxa"/>
            <w:vAlign w:val="center"/>
          </w:tcPr>
          <w:p>
            <w:r>
              <w:t>2.45</w:t>
            </w:r>
          </w:p>
        </w:tc>
        <w:tc>
          <w:tcPr>
            <w:tcW w:w="1799" w:type="dxa"/>
            <w:vAlign w:val="center"/>
          </w:tcPr>
          <w:p>
            <w:r>
              <w:t>0.49</w:t>
            </w:r>
          </w:p>
        </w:tc>
        <w:tc>
          <w:tcPr>
            <w:tcW w:w="1709" w:type="dxa"/>
            <w:vAlign w:val="center"/>
          </w:tcPr>
          <w:p>
            <w:r>
              <w:t>15.47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外墙－凹墙角</w:t>
            </w:r>
          </w:p>
        </w:tc>
        <w:tc>
          <w:tcPr>
            <w:tcW w:w="1131" w:type="dxa"/>
            <w:vAlign w:val="center"/>
          </w:tcPr>
          <w:p>
            <w:r>
              <w:t>OW-C2</w:t>
            </w:r>
          </w:p>
        </w:tc>
        <w:tc>
          <w:tcPr>
            <w:tcW w:w="1471" w:type="dxa"/>
            <w:vAlign w:val="center"/>
          </w:tcPr>
          <w:p>
            <w:r>
              <w:t>2.45</w:t>
            </w:r>
          </w:p>
        </w:tc>
        <w:tc>
          <w:tcPr>
            <w:tcW w:w="1799" w:type="dxa"/>
            <w:vAlign w:val="center"/>
          </w:tcPr>
          <w:p>
            <w:r>
              <w:t>0.49</w:t>
            </w:r>
          </w:p>
        </w:tc>
        <w:tc>
          <w:tcPr>
            <w:tcW w:w="1709" w:type="dxa"/>
            <w:vAlign w:val="center"/>
          </w:tcPr>
          <w:p>
            <w:r>
              <w:t>15.47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OW-F1</w:t>
            </w:r>
          </w:p>
        </w:tc>
        <w:tc>
          <w:tcPr>
            <w:tcW w:w="1471" w:type="dxa"/>
            <w:vAlign w:val="center"/>
          </w:tcPr>
          <w:p>
            <w:r>
              <w:t>2.45</w:t>
            </w:r>
          </w:p>
        </w:tc>
        <w:tc>
          <w:tcPr>
            <w:tcW w:w="1799" w:type="dxa"/>
            <w:vAlign w:val="center"/>
          </w:tcPr>
          <w:p>
            <w:r>
              <w:t>0.49</w:t>
            </w:r>
          </w:p>
        </w:tc>
        <w:tc>
          <w:tcPr>
            <w:tcW w:w="1709" w:type="dxa"/>
            <w:vAlign w:val="center"/>
          </w:tcPr>
          <w:p>
            <w:r>
              <w:t>16.78</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外墙－挑空楼板</w:t>
            </w:r>
          </w:p>
        </w:tc>
        <w:tc>
          <w:tcPr>
            <w:tcW w:w="1131" w:type="dxa"/>
            <w:vAlign w:val="center"/>
          </w:tcPr>
          <w:p>
            <w:r>
              <w:t>OW-FW2</w:t>
            </w:r>
          </w:p>
        </w:tc>
        <w:tc>
          <w:tcPr>
            <w:tcW w:w="1471" w:type="dxa"/>
            <w:vAlign w:val="center"/>
          </w:tcPr>
          <w:p>
            <w:r>
              <w:t>1.65</w:t>
            </w:r>
          </w:p>
        </w:tc>
        <w:tc>
          <w:tcPr>
            <w:tcW w:w="1799" w:type="dxa"/>
            <w:vAlign w:val="center"/>
          </w:tcPr>
          <w:p>
            <w:r>
              <w:t>0.49</w:t>
            </w:r>
          </w:p>
        </w:tc>
        <w:tc>
          <w:tcPr>
            <w:tcW w:w="1709" w:type="dxa"/>
            <w:vAlign w:val="center"/>
          </w:tcPr>
          <w:p>
            <w:r>
              <w:t>14.52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外墙－内隔墙</w:t>
            </w:r>
          </w:p>
        </w:tc>
        <w:tc>
          <w:tcPr>
            <w:tcW w:w="1131" w:type="dxa"/>
            <w:vAlign w:val="center"/>
          </w:tcPr>
          <w:p>
            <w:r>
              <w:t>OW-P1</w:t>
            </w:r>
          </w:p>
        </w:tc>
        <w:tc>
          <w:tcPr>
            <w:tcW w:w="1471" w:type="dxa"/>
            <w:vAlign w:val="center"/>
          </w:tcPr>
          <w:p>
            <w:r>
              <w:t>2.45</w:t>
            </w:r>
          </w:p>
        </w:tc>
        <w:tc>
          <w:tcPr>
            <w:tcW w:w="1799" w:type="dxa"/>
            <w:vAlign w:val="center"/>
          </w:tcPr>
          <w:p>
            <w:r>
              <w:t>0.49</w:t>
            </w:r>
          </w:p>
        </w:tc>
        <w:tc>
          <w:tcPr>
            <w:tcW w:w="1709" w:type="dxa"/>
            <w:vAlign w:val="center"/>
          </w:tcPr>
          <w:p>
            <w:r>
              <w:t>16.81</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Cs w:val="21"/>
      </w:rP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2</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4</w:t>
    </w:r>
    <w:r>
      <w:rPr>
        <w:rStyle w:val="22"/>
        <w:rFonts w:ascii="宋体" w:hAnsi="宋体"/>
        <w:szCs w:val="21"/>
      </w:rPr>
      <w:fldChar w:fldCharType="end"/>
    </w:r>
    <w:r>
      <w:rPr>
        <w:rFonts w:hint="eastAsia" w:ascii="宋体" w:hAnsi="宋体"/>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11</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11</w:t>
    </w:r>
    <w:r>
      <w:rPr>
        <w:rStyle w:val="22"/>
        <w:rFonts w:ascii="宋体" w:hAnsi="宋体"/>
        <w:szCs w:val="21"/>
      </w:rPr>
      <w:fldChar w:fldCharType="end"/>
    </w:r>
    <w:r>
      <w:rPr>
        <w:rFonts w:hint="eastAsia" w:ascii="宋体" w:hAnsi="宋体"/>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Cs w:val="21"/>
      </w:rPr>
    </w:pPr>
    <w:r>
      <w:rPr>
        <w:rFonts w:hint="eastAsia" w:ascii="宋体" w:hAnsi="宋体"/>
        <w:szCs w:val="21"/>
      </w:rPr>
      <w:t xml:space="preserve">第 </w:t>
    </w:r>
    <w:r>
      <w:rPr>
        <w:rStyle w:val="22"/>
        <w:rFonts w:ascii="宋体" w:hAnsi="宋体"/>
        <w:szCs w:val="21"/>
      </w:rPr>
      <w:fldChar w:fldCharType="begin"/>
    </w:r>
    <w:r>
      <w:rPr>
        <w:rStyle w:val="22"/>
        <w:rFonts w:ascii="宋体" w:hAnsi="宋体"/>
        <w:szCs w:val="21"/>
      </w:rPr>
      <w:instrText xml:space="preserve"> PAGE </w:instrText>
    </w:r>
    <w:r>
      <w:rPr>
        <w:rStyle w:val="22"/>
        <w:rFonts w:ascii="宋体" w:hAnsi="宋体"/>
        <w:szCs w:val="21"/>
      </w:rPr>
      <w:fldChar w:fldCharType="separate"/>
    </w:r>
    <w:r>
      <w:rPr>
        <w:rStyle w:val="22"/>
        <w:rFonts w:ascii="宋体" w:hAnsi="宋体"/>
        <w:szCs w:val="21"/>
      </w:rPr>
      <w:t>2</w:t>
    </w:r>
    <w:r>
      <w:rPr>
        <w:rStyle w:val="22"/>
        <w:rFonts w:ascii="宋体" w:hAnsi="宋体"/>
        <w:szCs w:val="21"/>
      </w:rPr>
      <w:fldChar w:fldCharType="end"/>
    </w:r>
    <w:r>
      <w:rPr>
        <w:rStyle w:val="22"/>
        <w:rFonts w:hint="eastAsia" w:ascii="宋体" w:hAnsi="宋体"/>
        <w:szCs w:val="21"/>
      </w:rPr>
      <w:t xml:space="preserve"> / </w:t>
    </w:r>
    <w:r>
      <w:rPr>
        <w:rStyle w:val="22"/>
        <w:rFonts w:ascii="宋体" w:hAnsi="宋体"/>
        <w:szCs w:val="21"/>
      </w:rPr>
      <w:fldChar w:fldCharType="begin"/>
    </w:r>
    <w:r>
      <w:rPr>
        <w:rStyle w:val="22"/>
        <w:rFonts w:ascii="宋体" w:hAnsi="宋体"/>
        <w:szCs w:val="21"/>
      </w:rPr>
      <w:instrText xml:space="preserve"> NUMPAGES </w:instrText>
    </w:r>
    <w:r>
      <w:rPr>
        <w:rStyle w:val="22"/>
        <w:rFonts w:ascii="宋体" w:hAnsi="宋体"/>
        <w:szCs w:val="21"/>
      </w:rPr>
      <w:fldChar w:fldCharType="separate"/>
    </w:r>
    <w:r>
      <w:rPr>
        <w:rStyle w:val="22"/>
        <w:rFonts w:ascii="宋体" w:hAnsi="宋体"/>
        <w:szCs w:val="21"/>
      </w:rPr>
      <w:t>4</w:t>
    </w:r>
    <w:r>
      <w:rPr>
        <w:rStyle w:val="22"/>
        <w:rFonts w:ascii="宋体" w:hAnsi="宋体"/>
        <w:szCs w:val="21"/>
      </w:rPr>
      <w:fldChar w:fldCharType="end"/>
    </w:r>
    <w:r>
      <w:rPr>
        <w:rFonts w:hint="eastAsia" w:ascii="宋体" w:hAnsi="宋体"/>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NmMwOGYyOGZkODg1Y2NjNGM3NGVhMGIzNTIyYTgifQ=="/>
  </w:docVars>
  <w:rsids>
    <w:rsidRoot w:val="00225B99"/>
    <w:rsid w:val="000730E7"/>
    <w:rsid w:val="0007324E"/>
    <w:rsid w:val="000C650F"/>
    <w:rsid w:val="000E2E24"/>
    <w:rsid w:val="000F7EF2"/>
    <w:rsid w:val="0010335A"/>
    <w:rsid w:val="00136AB2"/>
    <w:rsid w:val="00136C0F"/>
    <w:rsid w:val="001462C8"/>
    <w:rsid w:val="001A784D"/>
    <w:rsid w:val="001D4779"/>
    <w:rsid w:val="00215607"/>
    <w:rsid w:val="00225B99"/>
    <w:rsid w:val="00230293"/>
    <w:rsid w:val="002555B8"/>
    <w:rsid w:val="00255E38"/>
    <w:rsid w:val="002561C3"/>
    <w:rsid w:val="002725C0"/>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60436F07"/>
    <w:rsid w:val="7DFB1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6"/>
    <w:autoRedefine/>
    <w:semiHidden/>
    <w:unhideWhenUsed/>
    <w:qFormat/>
    <w:uiPriority w:val="0"/>
    <w:rPr>
      <w:sz w:val="18"/>
      <w:szCs w:val="18"/>
    </w:rPr>
  </w:style>
  <w:style w:type="paragraph" w:styleId="15">
    <w:name w:val="footer"/>
    <w:basedOn w:val="1"/>
    <w:link w:val="24"/>
    <w:qFormat/>
    <w:uiPriority w:val="99"/>
    <w:pPr>
      <w:tabs>
        <w:tab w:val="center" w:pos="4153"/>
        <w:tab w:val="right" w:pos="8306"/>
      </w:tabs>
      <w:snapToGrid w:val="0"/>
    </w:pPr>
    <w:rPr>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autoRedefine/>
    <w:qFormat/>
    <w:uiPriority w:val="0"/>
    <w:rPr>
      <w:color w:val="0000FF"/>
      <w:u w:val="single"/>
    </w:rPr>
  </w:style>
  <w:style w:type="character" w:customStyle="1" w:styleId="24">
    <w:name w:val="页脚 Char"/>
    <w:link w:val="15"/>
    <w:autoRedefine/>
    <w:qFormat/>
    <w:uiPriority w:val="99"/>
    <w:rPr>
      <w:sz w:val="21"/>
      <w:szCs w:val="18"/>
      <w:lang w:val="en-GB"/>
    </w:rPr>
  </w:style>
  <w:style w:type="paragraph" w:styleId="25">
    <w:name w:val="List Paragraph"/>
    <w:basedOn w:val="1"/>
    <w:qFormat/>
    <w:uiPriority w:val="34"/>
    <w:pPr>
      <w:ind w:firstLine="420" w:firstLineChars="200"/>
    </w:pPr>
  </w:style>
  <w:style w:type="character" w:customStyle="1" w:styleId="26">
    <w:name w:val="批注框文本 Char"/>
    <w:basedOn w:val="21"/>
    <w:link w:val="14"/>
    <w:autoRedefine/>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Company>ths</Company>
  <Pages>11</Pages>
  <Words>787</Words>
  <Characters>4486</Characters>
  <Lines>37</Lines>
  <Paragraphs>10</Paragraphs>
  <TotalTime>1</TotalTime>
  <ScaleCrop>false</ScaleCrop>
  <LinksUpToDate>false</LinksUpToDate>
  <CharactersWithSpaces>5263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2024-03-02T12:49:00Z</dcterms:created>
  <dc:creator>蓝莓味的葡萄</dc:creator>
  <cp:lastModifiedBy>James</cp:lastModifiedBy>
  <cp:lastPrinted>2113-01-01T00:00:00Z</cp:lastPrinted>
  <dcterms:modified xsi:type="dcterms:W3CDTF">2024-03-14T12:44:31Z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D8691AC162A6422D80B98F91B4B13001_12</vt:lpwstr>
  </property>
</Properties>
</file>