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4"/>
        </w:rPr>
      </w:pPr>
    </w:p>
    <w:p>
      <w:pPr>
        <w:spacing w:before="312" w:beforeLines="100" w:line="24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_Toc480186059"/>
      <w:bookmarkStart w:id="1" w:name="_Toc480186121"/>
      <w:r>
        <w:rPr>
          <w:rFonts w:hint="eastAsia" w:ascii="黑体" w:hAnsi="宋体" w:eastAsia="黑体"/>
          <w:b/>
          <w:bCs/>
          <w:sz w:val="72"/>
          <w:szCs w:val="72"/>
        </w:rPr>
        <w:t>防潮验算计算书</w:t>
      </w:r>
      <w:bookmarkEnd w:id="0"/>
      <w:bookmarkEnd w:id="1"/>
    </w:p>
    <w:p>
      <w:pPr>
        <w:spacing w:before="312" w:beforeLines="100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2" w:name="地区"/>
      <w:r>
        <w:rPr>
          <w:rFonts w:hint="eastAsia" w:ascii="宋体" w:hAnsi="宋体"/>
          <w:bCs/>
          <w:sz w:val="44"/>
          <w:szCs w:val="44"/>
        </w:rPr>
        <w:t>公共建筑</w:t>
      </w:r>
      <w:bookmarkEnd w:id="2"/>
    </w:p>
    <w:p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Style w:val="2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5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3" w:name="项目名称"/>
            <w:r>
              <w:rPr>
                <w:rFonts w:hint="eastAsia" w:ascii="宋体" w:hAnsi="宋体"/>
                <w:sz w:val="21"/>
                <w:szCs w:val="21"/>
              </w:rPr>
              <w:t>祝家大集设计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地理位置"/>
            <w:r>
              <w:t>辽宁-沈阳</w:t>
            </w:r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8" w:name="报告日期"/>
            <w:r>
              <w:rPr>
                <w:rFonts w:hint="eastAsia" w:ascii="宋体" w:hAnsi="宋体"/>
                <w:szCs w:val="21"/>
              </w:rPr>
              <w:t>2023年11月22日</w:t>
            </w:r>
            <w:bookmarkEnd w:id="8"/>
          </w:p>
        </w:tc>
      </w:tr>
    </w:tbl>
    <w:p>
      <w:pPr>
        <w:jc w:val="center"/>
        <w:rPr>
          <w:rFonts w:ascii="宋体" w:hAnsi="宋体"/>
          <w:sz w:val="18"/>
          <w:szCs w:val="18"/>
        </w:rPr>
      </w:pPr>
    </w:p>
    <w:p>
      <w:pPr>
        <w:jc w:val="center"/>
        <w:rPr>
          <w:rFonts w:ascii="宋体" w:hAnsi="宋体"/>
          <w:b/>
          <w:bCs/>
          <w:sz w:val="18"/>
          <w:szCs w:val="18"/>
        </w:rPr>
      </w:pPr>
      <w:bookmarkStart w:id="9" w:name="二维码"/>
      <w:bookmarkEnd w:id="9"/>
      <w:r>
        <w:drawing>
          <wp:inline distT="0" distB="0" distL="0" distR="0">
            <wp:extent cx="1514475" cy="1514475"/>
            <wp:effectExtent l="0" t="0" r="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Style w:val="20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10" w:name="软件全称"/>
            <w:r>
              <w:t>斯维尔节能设计BECS2023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软件版本"/>
            <w:r>
              <w:rPr>
                <w:rFonts w:hint="eastAsia" w:ascii="宋体" w:hAnsi="宋体"/>
                <w:szCs w:val="18"/>
              </w:rPr>
              <w:t>20220923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2" w:name="加密锁号"/>
            <w:r>
              <w:rPr>
                <w:rFonts w:hint="eastAsia" w:ascii="宋体" w:hAnsi="宋体"/>
                <w:szCs w:val="18"/>
              </w:rPr>
              <w:t>T13774722166</w:t>
            </w:r>
            <w:bookmarkEnd w:id="12"/>
          </w:p>
        </w:tc>
      </w:tr>
    </w:tbl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目  录</w:t>
      </w:r>
    </w:p>
    <w:p>
      <w:pPr>
        <w:pStyle w:val="17"/>
        <w:tabs>
          <w:tab w:val="left" w:pos="420"/>
          <w:tab w:val="right" w:leader="dot" w:pos="9010"/>
        </w:tabs>
      </w:pPr>
    </w:p>
    <w:p/>
    <w:p>
      <w:pPr>
        <w:pStyle w:val="17"/>
        <w:tabs>
          <w:tab w:val="right" w:pos="9026"/>
        </w:tabs>
      </w:pPr>
      <w:bookmarkStart w:id="13" w:name="目录"/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_Toc22253 </w:instrText>
      </w:r>
      <w:r>
        <w:fldChar w:fldCharType="separate"/>
      </w:r>
      <w:r>
        <w:t xml:space="preserve">1 </w:t>
      </w:r>
      <w:r>
        <w:rPr>
          <w:rFonts w:hint="eastAsia"/>
        </w:rPr>
        <w:t>建筑概况</w:t>
      </w:r>
      <w:r>
        <w:tab/>
      </w:r>
      <w:r>
        <w:fldChar w:fldCharType="begin"/>
      </w:r>
      <w:r>
        <w:instrText xml:space="preserve"> PAGEREF _Toc22253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right" w:pos="9026"/>
        </w:tabs>
      </w:pPr>
      <w:r>
        <w:fldChar w:fldCharType="begin"/>
      </w:r>
      <w:r>
        <w:instrText xml:space="preserve"> HYPERLINK \l _Toc21380 </w:instrText>
      </w:r>
      <w:r>
        <w:fldChar w:fldCharType="separate"/>
      </w:r>
      <w:r>
        <w:t xml:space="preserve">2 </w:t>
      </w:r>
      <w:r>
        <w:rPr>
          <w:rFonts w:hint="eastAsia"/>
        </w:rPr>
        <w:t>评价依据</w:t>
      </w:r>
      <w:r>
        <w:tab/>
      </w:r>
      <w:r>
        <w:fldChar w:fldCharType="begin"/>
      </w:r>
      <w:r>
        <w:instrText xml:space="preserve"> PAGEREF _Toc21380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8"/>
        <w:tabs>
          <w:tab w:val="right" w:pos="9026"/>
        </w:tabs>
      </w:pPr>
      <w:r>
        <w:fldChar w:fldCharType="begin"/>
      </w:r>
      <w:r>
        <w:instrText xml:space="preserve"> HYPERLINK \l _Toc23258 </w:instrText>
      </w:r>
      <w:r>
        <w:fldChar w:fldCharType="separate"/>
      </w:r>
      <w:r>
        <w:rPr>
          <w:kern w:val="2"/>
          <w:lang w:val="en-GB"/>
        </w:rPr>
        <w:t xml:space="preserve">2.1 </w:t>
      </w:r>
      <w:r>
        <w:rPr>
          <w:rFonts w:hint="eastAsia"/>
          <w:kern w:val="2"/>
        </w:rPr>
        <w:t>评价目标</w:t>
      </w:r>
      <w:r>
        <w:tab/>
      </w:r>
      <w:r>
        <w:fldChar w:fldCharType="begin"/>
      </w:r>
      <w:r>
        <w:instrText xml:space="preserve"> PAGEREF _Toc23258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8"/>
        <w:tabs>
          <w:tab w:val="right" w:pos="9026"/>
        </w:tabs>
      </w:pPr>
      <w:r>
        <w:fldChar w:fldCharType="begin"/>
      </w:r>
      <w:r>
        <w:instrText xml:space="preserve"> HYPERLINK \l _Toc15035 </w:instrText>
      </w:r>
      <w:r>
        <w:fldChar w:fldCharType="separate"/>
      </w:r>
      <w:r>
        <w:rPr>
          <w:kern w:val="2"/>
          <w:lang w:val="en-GB"/>
        </w:rPr>
        <w:t xml:space="preserve">2.2 </w:t>
      </w:r>
      <w:r>
        <w:rPr>
          <w:rFonts w:hint="eastAsia"/>
          <w:kern w:val="2"/>
        </w:rPr>
        <w:t>评价方法</w:t>
      </w:r>
      <w:r>
        <w:tab/>
      </w:r>
      <w:r>
        <w:fldChar w:fldCharType="begin"/>
      </w:r>
      <w:r>
        <w:instrText xml:space="preserve"> PAGEREF _Toc15035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right" w:pos="9026"/>
        </w:tabs>
      </w:pPr>
      <w:r>
        <w:fldChar w:fldCharType="begin"/>
      </w:r>
      <w:r>
        <w:instrText xml:space="preserve"> HYPERLINK \l _Toc12765 </w:instrText>
      </w:r>
      <w:r>
        <w:fldChar w:fldCharType="separate"/>
      </w:r>
      <w:r>
        <w:t xml:space="preserve">3 </w:t>
      </w:r>
      <w:r>
        <w:rPr>
          <w:rFonts w:hint="eastAsia"/>
        </w:rPr>
        <w:t>防潮验算</w:t>
      </w:r>
      <w:r>
        <w:t>计算过程</w:t>
      </w:r>
      <w:r>
        <w:tab/>
      </w:r>
      <w:r>
        <w:fldChar w:fldCharType="begin"/>
      </w:r>
      <w:r>
        <w:instrText xml:space="preserve"> PAGEREF _Toc12765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8"/>
        <w:tabs>
          <w:tab w:val="right" w:pos="9026"/>
        </w:tabs>
      </w:pPr>
      <w:r>
        <w:fldChar w:fldCharType="begin"/>
      </w:r>
      <w:r>
        <w:instrText xml:space="preserve"> HYPERLINK \l _Toc24277 </w:instrText>
      </w:r>
      <w:r>
        <w:fldChar w:fldCharType="separate"/>
      </w:r>
      <w:r>
        <w:rPr>
          <w:kern w:val="2"/>
          <w:lang w:val="en-GB"/>
        </w:rPr>
        <w:t xml:space="preserve">3.1 </w:t>
      </w:r>
      <w:r>
        <w:rPr>
          <w:rFonts w:hint="eastAsia"/>
          <w:kern w:val="2"/>
        </w:rPr>
        <w:t>计算条件</w:t>
      </w:r>
      <w:r>
        <w:tab/>
      </w:r>
      <w:r>
        <w:fldChar w:fldCharType="begin"/>
      </w:r>
      <w:r>
        <w:instrText xml:space="preserve"> PAGEREF _Toc24277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8"/>
        <w:tabs>
          <w:tab w:val="right" w:pos="9026"/>
        </w:tabs>
      </w:pPr>
      <w:r>
        <w:fldChar w:fldCharType="begin"/>
      </w:r>
      <w:r>
        <w:instrText xml:space="preserve"> HYPERLINK \l _Toc23747 </w:instrText>
      </w:r>
      <w:r>
        <w:fldChar w:fldCharType="separate"/>
      </w:r>
      <w:r>
        <w:rPr>
          <w:kern w:val="2"/>
          <w:lang w:val="en-GB"/>
        </w:rPr>
        <w:t xml:space="preserve">3.2 </w:t>
      </w:r>
      <w:r>
        <w:rPr>
          <w:rFonts w:hint="eastAsia"/>
          <w:kern w:val="2"/>
        </w:rPr>
        <w:t>屋顶构造一</w:t>
      </w:r>
      <w:r>
        <w:tab/>
      </w:r>
      <w:r>
        <w:fldChar w:fldCharType="begin"/>
      </w:r>
      <w:r>
        <w:instrText xml:space="preserve"> PAGEREF _Toc23747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3"/>
        <w:tabs>
          <w:tab w:val="right" w:pos="9026"/>
        </w:tabs>
      </w:pPr>
      <w:r>
        <w:fldChar w:fldCharType="begin"/>
      </w:r>
      <w:r>
        <w:instrText xml:space="preserve"> HYPERLINK \l _Toc24745 </w:instrText>
      </w:r>
      <w:r>
        <w:fldChar w:fldCharType="separate"/>
      </w:r>
      <w:r>
        <w:rPr>
          <w:rFonts w:hint="eastAsia" w:ascii="Times New Roman" w:hAnsi="Times New Roman" w:eastAsia="宋体"/>
          <w:szCs w:val="24"/>
          <w:lang w:val="en-GB"/>
        </w:rPr>
        <w:t xml:space="preserve">3.2.1 </w:t>
      </w:r>
      <w:r>
        <w:rPr>
          <w:rFonts w:hint="eastAsia"/>
        </w:rPr>
        <w:t>冷凝计算界面至围护结构内表面之间的热阻</w:t>
      </w:r>
      <w:r>
        <w:object>
          <v:shape id="_x0000_i1145" o:spt="75" type="#_x0000_t75" style="height:13.5pt;width:19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145" DrawAspect="Content" ObjectID="_1468075725" r:id="rId7">
            <o:LockedField>false</o:LockedField>
          </o:OLEObject>
        </w:object>
      </w:r>
      <w:r>
        <w:tab/>
      </w:r>
      <w:r>
        <w:fldChar w:fldCharType="begin"/>
      </w:r>
      <w:r>
        <w:instrText xml:space="preserve"> PAGEREF _Toc24745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3"/>
        <w:tabs>
          <w:tab w:val="right" w:pos="9026"/>
        </w:tabs>
      </w:pPr>
      <w:r>
        <w:fldChar w:fldCharType="begin"/>
      </w:r>
      <w:r>
        <w:instrText xml:space="preserve"> HYPERLINK \l _Toc30551 </w:instrText>
      </w:r>
      <w:r>
        <w:fldChar w:fldCharType="separate"/>
      </w:r>
      <w:r>
        <w:rPr>
          <w:rFonts w:hint="eastAsia" w:ascii="Times New Roman" w:hAnsi="Times New Roman" w:eastAsia="宋体"/>
          <w:szCs w:val="24"/>
          <w:lang w:val="en-GB"/>
        </w:rPr>
        <w:t xml:space="preserve">3.2.2 </w:t>
      </w:r>
      <w:r>
        <w:rPr>
          <w:rFonts w:hint="eastAsia"/>
        </w:rPr>
        <w:t>冷凝计算界面温度</w:t>
      </w:r>
      <w:r>
        <w:rPr>
          <w:position w:val="-6"/>
        </w:rPr>
        <w:object>
          <v:shape id="_x0000_i1146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146" DrawAspect="Content" ObjectID="_1468075726" r:id="rId9">
            <o:LockedField>false</o:LockedField>
          </o:OLEObject>
        </w:object>
      </w:r>
      <w:r>
        <w:tab/>
      </w:r>
      <w:r>
        <w:fldChar w:fldCharType="begin"/>
      </w:r>
      <w:r>
        <w:instrText xml:space="preserve"> PAGEREF _Toc30551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3"/>
        <w:tabs>
          <w:tab w:val="right" w:pos="9026"/>
        </w:tabs>
      </w:pPr>
      <w:r>
        <w:fldChar w:fldCharType="begin"/>
      </w:r>
      <w:r>
        <w:instrText xml:space="preserve"> HYPERLINK \l _Toc14814 </w:instrText>
      </w:r>
      <w:r>
        <w:fldChar w:fldCharType="separate"/>
      </w:r>
      <w:r>
        <w:rPr>
          <w:rFonts w:hint="eastAsia" w:ascii="Times New Roman" w:hAnsi="Times New Roman" w:eastAsia="宋体"/>
          <w:szCs w:val="24"/>
          <w:lang w:val="en-GB"/>
        </w:rPr>
        <w:t xml:space="preserve">3.2.3 </w:t>
      </w:r>
      <w:r>
        <w:rPr>
          <w:rFonts w:hint="eastAsia"/>
          <w:bCs w:val="0"/>
        </w:rPr>
        <w:t>围护结构冷凝受潮验算</w:t>
      </w:r>
      <w:r>
        <w:tab/>
      </w:r>
      <w:r>
        <w:fldChar w:fldCharType="begin"/>
      </w:r>
      <w:r>
        <w:instrText xml:space="preserve"> PAGEREF _Toc14814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8"/>
        <w:tabs>
          <w:tab w:val="right" w:pos="9026"/>
        </w:tabs>
      </w:pPr>
      <w:r>
        <w:fldChar w:fldCharType="begin"/>
      </w:r>
      <w:r>
        <w:instrText xml:space="preserve"> HYPERLINK \l _Toc21895 </w:instrText>
      </w:r>
      <w:r>
        <w:fldChar w:fldCharType="separate"/>
      </w:r>
      <w:r>
        <w:rPr>
          <w:kern w:val="2"/>
          <w:lang w:val="en-GB"/>
        </w:rPr>
        <w:t xml:space="preserve">3.3 </w:t>
      </w:r>
      <w:r>
        <w:rPr>
          <w:rFonts w:hint="eastAsia"/>
          <w:kern w:val="2"/>
        </w:rPr>
        <w:t>外墙构造一</w:t>
      </w:r>
      <w:r>
        <w:tab/>
      </w:r>
      <w:r>
        <w:fldChar w:fldCharType="begin"/>
      </w:r>
      <w:r>
        <w:instrText xml:space="preserve"> PAGEREF _Toc21895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tabs>
          <w:tab w:val="right" w:pos="9026"/>
        </w:tabs>
      </w:pPr>
      <w:r>
        <w:fldChar w:fldCharType="begin"/>
      </w:r>
      <w:r>
        <w:instrText xml:space="preserve"> HYPERLINK \l _Toc13317 </w:instrText>
      </w:r>
      <w:r>
        <w:fldChar w:fldCharType="separate"/>
      </w:r>
      <w:r>
        <w:rPr>
          <w:rFonts w:hint="eastAsia" w:ascii="Times New Roman" w:hAnsi="Times New Roman" w:eastAsia="宋体"/>
          <w:szCs w:val="24"/>
          <w:lang w:val="en-GB"/>
        </w:rPr>
        <w:t xml:space="preserve">3.3.1 </w:t>
      </w:r>
      <w:r>
        <w:rPr>
          <w:rFonts w:hint="eastAsia"/>
        </w:rPr>
        <w:t>冷凝计算界面至围护结构内表面之间的热阻</w:t>
      </w:r>
      <w:r>
        <w:drawing>
          <wp:inline distT="0" distB="0" distL="114300" distR="114300">
            <wp:extent cx="241300" cy="171450"/>
            <wp:effectExtent l="0" t="0" r="6350" b="0"/>
            <wp:docPr id="1" name="图片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2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fldChar w:fldCharType="begin"/>
      </w:r>
      <w:r>
        <w:instrText xml:space="preserve"> PAGEREF _Toc13317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tabs>
          <w:tab w:val="right" w:pos="9026"/>
        </w:tabs>
      </w:pPr>
      <w:r>
        <w:fldChar w:fldCharType="begin"/>
      </w:r>
      <w:r>
        <w:instrText xml:space="preserve"> HYPERLINK \l _Toc12944 </w:instrText>
      </w:r>
      <w:r>
        <w:fldChar w:fldCharType="separate"/>
      </w:r>
      <w:r>
        <w:rPr>
          <w:rFonts w:hint="eastAsia" w:ascii="Times New Roman" w:hAnsi="Times New Roman" w:eastAsia="宋体"/>
          <w:szCs w:val="24"/>
          <w:lang w:val="en-GB"/>
        </w:rPr>
        <w:t xml:space="preserve">3.3.2 </w:t>
      </w:r>
      <w:r>
        <w:rPr>
          <w:rFonts w:hint="eastAsia"/>
        </w:rPr>
        <w:t>冷凝计算界面温度</w:t>
      </w:r>
      <w:r>
        <w:rPr>
          <w:position w:val="-6"/>
        </w:rPr>
        <w:drawing>
          <wp:inline distT="0" distB="0" distL="114300" distR="114300">
            <wp:extent cx="171450" cy="171450"/>
            <wp:effectExtent l="0" t="0" r="0" b="0"/>
            <wp:docPr id="2" name="图片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2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fldChar w:fldCharType="begin"/>
      </w:r>
      <w:r>
        <w:instrText xml:space="preserve"> PAGEREF _Toc12944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tabs>
          <w:tab w:val="right" w:pos="9026"/>
        </w:tabs>
      </w:pPr>
      <w:r>
        <w:fldChar w:fldCharType="begin"/>
      </w:r>
      <w:r>
        <w:instrText xml:space="preserve"> HYPERLINK \l _Toc7566 </w:instrText>
      </w:r>
      <w:r>
        <w:fldChar w:fldCharType="separate"/>
      </w:r>
      <w:r>
        <w:rPr>
          <w:rFonts w:hint="eastAsia" w:ascii="Times New Roman" w:hAnsi="Times New Roman" w:eastAsia="宋体"/>
          <w:szCs w:val="24"/>
          <w:lang w:val="en-GB"/>
        </w:rPr>
        <w:t xml:space="preserve">3.3.3 </w:t>
      </w:r>
      <w:r>
        <w:rPr>
          <w:rFonts w:hint="eastAsia"/>
          <w:bCs w:val="0"/>
        </w:rPr>
        <w:t>围护结构冷凝受潮验算</w:t>
      </w:r>
      <w:r>
        <w:tab/>
      </w:r>
      <w:r>
        <w:fldChar w:fldCharType="begin"/>
      </w:r>
      <w:r>
        <w:instrText xml:space="preserve"> PAGEREF _Toc7566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8"/>
        <w:tabs>
          <w:tab w:val="right" w:pos="9026"/>
        </w:tabs>
      </w:pPr>
      <w:r>
        <w:fldChar w:fldCharType="begin"/>
      </w:r>
      <w:r>
        <w:instrText xml:space="preserve"> HYPERLINK \l _Toc19109 </w:instrText>
      </w:r>
      <w:r>
        <w:fldChar w:fldCharType="separate"/>
      </w:r>
      <w:r>
        <w:rPr>
          <w:kern w:val="2"/>
          <w:lang w:val="en-GB"/>
        </w:rPr>
        <w:t xml:space="preserve">3.4 </w:t>
      </w:r>
      <w:r>
        <w:rPr>
          <w:rFonts w:hint="eastAsia"/>
          <w:kern w:val="2"/>
        </w:rPr>
        <w:t>阳台隔墙构造一</w:t>
      </w:r>
      <w:r>
        <w:tab/>
      </w:r>
      <w:r>
        <w:fldChar w:fldCharType="begin"/>
      </w:r>
      <w:r>
        <w:instrText xml:space="preserve"> PAGEREF _Toc19109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right" w:pos="9026"/>
        </w:tabs>
      </w:pPr>
      <w:r>
        <w:fldChar w:fldCharType="begin"/>
      </w:r>
      <w:r>
        <w:instrText xml:space="preserve"> HYPERLINK \l _Toc21341 </w:instrText>
      </w:r>
      <w:r>
        <w:fldChar w:fldCharType="separate"/>
      </w:r>
      <w:r>
        <w:rPr>
          <w:rFonts w:hint="eastAsia" w:ascii="Times New Roman" w:hAnsi="Times New Roman" w:eastAsia="宋体"/>
          <w:szCs w:val="24"/>
          <w:lang w:val="en-GB"/>
        </w:rPr>
        <w:t xml:space="preserve">3.4.1 </w:t>
      </w:r>
      <w:r>
        <w:rPr>
          <w:rFonts w:hint="eastAsia"/>
        </w:rPr>
        <w:t>冷凝计算界面至围护结构内表面之间的热阻</w:t>
      </w:r>
      <w:r>
        <w:drawing>
          <wp:inline distT="0" distB="0" distL="114300" distR="114300">
            <wp:extent cx="241300" cy="171450"/>
            <wp:effectExtent l="0" t="0" r="6350" b="0"/>
            <wp:docPr id="3" name="图片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fldChar w:fldCharType="begin"/>
      </w:r>
      <w:r>
        <w:instrText xml:space="preserve"> PAGEREF _Toc21341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right" w:pos="9026"/>
        </w:tabs>
      </w:pPr>
      <w:r>
        <w:fldChar w:fldCharType="begin"/>
      </w:r>
      <w:r>
        <w:instrText xml:space="preserve"> HYPERLINK \l _Toc15021 </w:instrText>
      </w:r>
      <w:r>
        <w:fldChar w:fldCharType="separate"/>
      </w:r>
      <w:r>
        <w:rPr>
          <w:rFonts w:hint="eastAsia" w:ascii="Times New Roman" w:hAnsi="Times New Roman" w:eastAsia="宋体"/>
          <w:szCs w:val="24"/>
          <w:lang w:val="en-GB"/>
        </w:rPr>
        <w:t xml:space="preserve">3.4.2 </w:t>
      </w:r>
      <w:r>
        <w:rPr>
          <w:rFonts w:hint="eastAsia"/>
        </w:rPr>
        <w:t>冷凝计算界面温度</w:t>
      </w:r>
      <w:r>
        <w:rPr>
          <w:position w:val="-6"/>
        </w:rPr>
        <w:drawing>
          <wp:inline distT="0" distB="0" distL="114300" distR="114300">
            <wp:extent cx="171450" cy="171450"/>
            <wp:effectExtent l="0" t="0" r="0" b="0"/>
            <wp:docPr id="4" name="图片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2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fldChar w:fldCharType="begin"/>
      </w:r>
      <w:r>
        <w:instrText xml:space="preserve"> PAGEREF _Toc15021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right" w:pos="9026"/>
        </w:tabs>
      </w:pPr>
      <w:r>
        <w:fldChar w:fldCharType="begin"/>
      </w:r>
      <w:r>
        <w:instrText xml:space="preserve"> HYPERLINK \l _Toc11271 </w:instrText>
      </w:r>
      <w:r>
        <w:fldChar w:fldCharType="separate"/>
      </w:r>
      <w:r>
        <w:rPr>
          <w:rFonts w:hint="eastAsia" w:ascii="Times New Roman" w:hAnsi="Times New Roman" w:eastAsia="宋体"/>
          <w:szCs w:val="24"/>
          <w:lang w:val="en-GB"/>
        </w:rPr>
        <w:t xml:space="preserve">3.4.3 </w:t>
      </w:r>
      <w:r>
        <w:rPr>
          <w:rFonts w:hint="eastAsia"/>
          <w:bCs w:val="0"/>
        </w:rPr>
        <w:t>围护结构冷凝受潮验算</w:t>
      </w:r>
      <w:r>
        <w:tab/>
      </w:r>
      <w:r>
        <w:fldChar w:fldCharType="begin"/>
      </w:r>
      <w:r>
        <w:instrText xml:space="preserve"> PAGEREF _Toc11271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pos="9026"/>
        </w:tabs>
      </w:pPr>
      <w:r>
        <w:fldChar w:fldCharType="begin"/>
      </w:r>
      <w:r>
        <w:instrText xml:space="preserve"> HYPERLINK \l _Toc7944 </w:instrText>
      </w:r>
      <w:r>
        <w:fldChar w:fldCharType="separate"/>
      </w:r>
      <w:r>
        <w:t>4 验算结论</w:t>
      </w:r>
      <w:r>
        <w:tab/>
      </w:r>
      <w:r>
        <w:fldChar w:fldCharType="begin"/>
      </w:r>
      <w:r>
        <w:instrText xml:space="preserve"> PAGEREF _Toc7944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r>
        <w:fldChar w:fldCharType="end"/>
      </w:r>
      <w:bookmarkEnd w:id="13"/>
    </w:p>
    <w:p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>
      <w:pPr>
        <w:pStyle w:val="2"/>
        <w:spacing w:line="240" w:lineRule="atLeast"/>
      </w:pPr>
      <w:bookmarkStart w:id="14" w:name="_Toc480186122"/>
      <w:bookmarkStart w:id="15" w:name="_Toc480218444"/>
      <w:bookmarkStart w:id="16" w:name="_Toc480186060"/>
      <w:bookmarkStart w:id="17" w:name="_Toc316568035"/>
      <w:bookmarkStart w:id="18" w:name="_Toc22253"/>
      <w:r>
        <w:rPr>
          <w:rFonts w:hint="eastAsia"/>
        </w:rPr>
        <w:t>建筑概况</w:t>
      </w:r>
      <w:bookmarkEnd w:id="14"/>
      <w:bookmarkEnd w:id="15"/>
      <w:bookmarkEnd w:id="16"/>
      <w:bookmarkEnd w:id="17"/>
      <w:bookmarkEnd w:id="18"/>
    </w:p>
    <w:tbl>
      <w:tblPr>
        <w:tblStyle w:val="20"/>
        <w:tblW w:w="488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3115"/>
        <w:gridCol w:w="31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bookmarkStart w:id="19" w:name="建筑概况表"/>
            <w:r>
              <w:rPr>
                <w:rFonts w:hint="eastAsia"/>
              </w:rPr>
              <w:t>工程名称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20" w:name="工程名称"/>
            <w:r>
              <w:t>祝家大集设计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工程地点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21" w:name="工程地点"/>
            <w:r>
              <w:t>辽宁-沈阳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32" w:type="dxa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 w:ascii="宋体" w:hAnsi="宋体"/>
              </w:rPr>
              <w:t>北纬：</w:t>
            </w:r>
            <w:bookmarkStart w:id="22" w:name="纬度"/>
            <w:r>
              <w:rPr>
                <w:rFonts w:hint="eastAsia"/>
              </w:rPr>
              <w:t>41.81</w:t>
            </w:r>
            <w:bookmarkEnd w:id="22"/>
            <w:r>
              <w:rPr>
                <w:rFonts w:hint="eastAsia" w:ascii="宋体" w:hAnsi="宋体"/>
              </w:rPr>
              <w:t>°</w:t>
            </w:r>
          </w:p>
        </w:tc>
        <w:tc>
          <w:tcPr>
            <w:tcW w:w="3032" w:type="dxa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 w:ascii="宋体" w:hAnsi="宋体"/>
              </w:rPr>
              <w:t>东经：</w:t>
            </w:r>
            <w:bookmarkStart w:id="23" w:name="经度"/>
            <w:r>
              <w:rPr>
                <w:rFonts w:hint="eastAsia"/>
              </w:rPr>
              <w:t>123.43</w:t>
            </w:r>
            <w:bookmarkEnd w:id="23"/>
            <w:r>
              <w:rPr>
                <w:rFonts w:hint="eastAsia" w:ascii="宋体" w:hAnsi="宋体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气候子区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24" w:name="气候分区"/>
            <w:r>
              <w:t>严寒C区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5" w:name="地上建筑面积"/>
            <w:r>
              <w:rPr>
                <w:rFonts w:hint="eastAsia"/>
              </w:rPr>
              <w:t>775</w:t>
            </w:r>
            <w:bookmarkEnd w:id="25"/>
            <w:r>
              <w:rPr>
                <w:rFonts w:hint="eastAsia"/>
              </w:rPr>
              <w:t>㎡    地下</w:t>
            </w:r>
            <w:bookmarkStart w:id="26" w:name="地下建筑面积"/>
            <w:r>
              <w:rPr>
                <w:rFonts w:hint="eastAsia"/>
              </w:rPr>
              <w:t>0</w:t>
            </w:r>
            <w:bookmarkEnd w:id="26"/>
            <w:r>
              <w:rPr>
                <w:rFonts w:hint="eastAsia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建筑层数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7" w:name="地上建筑层数"/>
            <w:r>
              <w:rPr>
                <w:rFonts w:hint="eastAsia"/>
              </w:rPr>
              <w:t>2</w:t>
            </w:r>
            <w:bookmarkEnd w:id="27"/>
            <w:r>
              <w:rPr>
                <w:rFonts w:hint="eastAsia"/>
              </w:rPr>
              <w:t xml:space="preserve">          地下</w:t>
            </w:r>
            <w:bookmarkStart w:id="28" w:name="地下建筑层数"/>
            <w:r>
              <w:t>0</w:t>
            </w:r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29" w:name="地上建筑高度"/>
            <w:r>
              <w:rPr>
                <w:rFonts w:hint="eastAsia"/>
              </w:rPr>
              <w:t>14.0</w:t>
            </w:r>
            <w:bookmarkEnd w:id="29"/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结构类型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30" w:name="结构类型"/>
            <w:bookmarkEnd w:id="30"/>
          </w:p>
        </w:tc>
      </w:tr>
      <w:bookmarkEnd w:id="19"/>
    </w:tbl>
    <w:p>
      <w:pPr>
        <w:rPr>
          <w:b/>
          <w:sz w:val="24"/>
        </w:rPr>
      </w:pPr>
    </w:p>
    <w:p>
      <w:pPr>
        <w:pStyle w:val="2"/>
        <w:spacing w:line="240" w:lineRule="atLeast"/>
      </w:pPr>
      <w:bookmarkStart w:id="31" w:name="_Toc316568036"/>
      <w:bookmarkStart w:id="32" w:name="_Toc480186123"/>
      <w:bookmarkStart w:id="33" w:name="_Toc480186061"/>
      <w:bookmarkStart w:id="34" w:name="_Toc480218445"/>
      <w:bookmarkStart w:id="35" w:name="_Toc21380"/>
      <w:bookmarkStart w:id="36" w:name="TitleFormat"/>
      <w:r>
        <w:rPr>
          <w:rFonts w:hint="eastAsia"/>
        </w:rPr>
        <w:t>评价依据</w:t>
      </w:r>
      <w:bookmarkEnd w:id="31"/>
      <w:bookmarkEnd w:id="32"/>
      <w:bookmarkEnd w:id="33"/>
      <w:bookmarkEnd w:id="34"/>
      <w:bookmarkEnd w:id="35"/>
    </w:p>
    <w:bookmarkEnd w:id="36"/>
    <w:p>
      <w:pPr>
        <w:spacing w:line="240" w:lineRule="atLeast"/>
        <w:rPr>
          <w:b/>
          <w:color w:val="FF0000"/>
        </w:rPr>
      </w:pPr>
      <w:r>
        <w:rPr>
          <w:rFonts w:hint="eastAsia"/>
        </w:rPr>
        <w:t xml:space="preserve">1. </w:t>
      </w:r>
      <w:bookmarkStart w:id="37" w:name="标准名称"/>
      <w:r>
        <w:rPr>
          <w:rFonts w:hint="eastAsia"/>
        </w:rPr>
        <w:t>《辽宁省公共建筑节能设计标准》(DB21/T 1899-2011)</w:t>
      </w:r>
      <w:bookmarkEnd w:id="37"/>
    </w:p>
    <w:p>
      <w:pPr>
        <w:spacing w:line="240" w:lineRule="atLeast"/>
      </w:pPr>
      <w:r>
        <w:rPr>
          <w:rFonts w:hint="eastAsia"/>
        </w:rPr>
        <w:t>2. 《民用建筑热工设计规范》</w:t>
      </w:r>
      <w:r>
        <w:t>GB50176</w:t>
      </w:r>
    </w:p>
    <w:p>
      <w:pPr>
        <w:spacing w:line="240" w:lineRule="atLeast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 xml:space="preserve"> </w:t>
      </w:r>
      <w:bookmarkStart w:id="38" w:name="地方绿建评价标准"/>
      <w:r>
        <w:rPr>
          <w:rFonts w:hint="eastAsia"/>
        </w:rPr>
        <w:t>《绿色建筑评价标准》GB/T 50378-2019</w:t>
      </w:r>
      <w:bookmarkEnd w:id="38"/>
    </w:p>
    <w:p>
      <w:pPr>
        <w:spacing w:line="240" w:lineRule="atLeast"/>
      </w:pPr>
      <w:r>
        <w:rPr>
          <w:rFonts w:hint="eastAsia"/>
        </w:rPr>
        <w:t>4</w:t>
      </w:r>
      <w:r>
        <w:t xml:space="preserve">. </w:t>
      </w:r>
      <w:r>
        <w:rPr>
          <w:rFonts w:hint="eastAsia"/>
        </w:rPr>
        <w:t>《绿色建筑评价技术细则》</w:t>
      </w:r>
    </w:p>
    <w:p>
      <w:pPr>
        <w:spacing w:line="240" w:lineRule="atLeast"/>
      </w:pPr>
      <w:r>
        <w:rPr>
          <w:rFonts w:hint="eastAsia"/>
        </w:rPr>
        <w:t>5</w:t>
      </w:r>
      <w:r>
        <w:t xml:space="preserve">.  </w:t>
      </w:r>
      <w:r>
        <w:rPr>
          <w:rFonts w:hint="eastAsia"/>
        </w:rPr>
        <w:t>施工图、设计说明、节能计算书</w:t>
      </w:r>
    </w:p>
    <w:p>
      <w:pPr>
        <w:pStyle w:val="41"/>
        <w:spacing w:line="240" w:lineRule="atLeast"/>
        <w:ind w:left="420" w:firstLine="0" w:firstLineChars="0"/>
      </w:pPr>
    </w:p>
    <w:p>
      <w:pPr>
        <w:pStyle w:val="4"/>
        <w:spacing w:line="240" w:lineRule="atLeast"/>
        <w:rPr>
          <w:kern w:val="2"/>
        </w:rPr>
      </w:pPr>
      <w:bookmarkStart w:id="39" w:name="_Toc480186062"/>
      <w:bookmarkStart w:id="40" w:name="_Toc480186124"/>
      <w:bookmarkStart w:id="41" w:name="_Toc480218446"/>
      <w:bookmarkStart w:id="42" w:name="_Toc23258"/>
      <w:r>
        <w:rPr>
          <w:rFonts w:hint="eastAsia"/>
          <w:kern w:val="2"/>
        </w:rPr>
        <w:t>评价目标</w:t>
      </w:r>
      <w:bookmarkEnd w:id="39"/>
      <w:bookmarkEnd w:id="40"/>
      <w:bookmarkEnd w:id="41"/>
      <w:bookmarkEnd w:id="42"/>
    </w:p>
    <w:p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>
        <w:t>依据《民用建筑热工设计规范》</w:t>
      </w:r>
      <w:r>
        <w:rPr>
          <w:rFonts w:hint="eastAsia"/>
        </w:rPr>
        <w:t>GB50176和</w:t>
      </w:r>
      <w:bookmarkStart w:id="43" w:name="地方绿建评价标准：1"/>
      <w:r>
        <w:rPr>
          <w:rFonts w:hint="eastAsia"/>
        </w:rPr>
        <w:t>《绿色建筑评价标准》GB/T 50378-2019</w:t>
      </w:r>
      <w:bookmarkEnd w:id="43"/>
      <w:r>
        <w:rPr>
          <w:rFonts w:hint="eastAsia"/>
        </w:rPr>
        <w:t>的要求和规定，采暖</w:t>
      </w:r>
      <w:r>
        <w:t>期间，</w:t>
      </w:r>
      <w:r>
        <w:rPr>
          <w:rFonts w:hint="eastAsia"/>
        </w:rPr>
        <w:t>围护结构</w:t>
      </w:r>
      <w:r>
        <w:t>中保温材料因内部冷凝受潮而增加的重量</w:t>
      </w:r>
      <w:r>
        <w:rPr>
          <w:rFonts w:hint="eastAsia"/>
        </w:rPr>
        <w:t>湿度允许增量，应符合要求。</w:t>
      </w:r>
    </w:p>
    <w:p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>
        <w:rPr>
          <w:rFonts w:hint="eastAsia"/>
        </w:rPr>
        <w:t>通过计算采暖期间围护结构中</w:t>
      </w:r>
      <w:r>
        <w:t>保温材料因内部冷凝受潮而增加的湿度，判断是否</w:t>
      </w:r>
      <w:r>
        <w:rPr>
          <w:rFonts w:hint="eastAsia"/>
        </w:rPr>
        <w:t>不大于</w:t>
      </w:r>
      <w:r>
        <w:t>《民用建筑热工设计规范</w:t>
      </w:r>
      <w:r>
        <w:rPr>
          <w:rFonts w:hint="eastAsia"/>
        </w:rPr>
        <w:t>》GB50176规定</w:t>
      </w:r>
      <w:r>
        <w:t>的</w:t>
      </w:r>
      <w:r>
        <w:rPr>
          <w:rFonts w:hint="eastAsia"/>
        </w:rPr>
        <w:t>采暖期间保温材料重量湿度的允许增量。</w:t>
      </w:r>
    </w:p>
    <w:p>
      <w:pPr>
        <w:pStyle w:val="4"/>
        <w:spacing w:line="240" w:lineRule="atLeast"/>
        <w:rPr>
          <w:kern w:val="2"/>
        </w:rPr>
      </w:pPr>
      <w:bookmarkStart w:id="44" w:name="_Toc480186063"/>
      <w:bookmarkStart w:id="45" w:name="_Toc480186125"/>
      <w:bookmarkStart w:id="46" w:name="_Toc480218447"/>
      <w:bookmarkStart w:id="47" w:name="_Toc479931706"/>
      <w:bookmarkStart w:id="48" w:name="_Toc15035"/>
      <w:r>
        <w:rPr>
          <w:rFonts w:hint="eastAsia"/>
          <w:kern w:val="2"/>
        </w:rPr>
        <w:t>评价方法</w:t>
      </w:r>
      <w:bookmarkEnd w:id="44"/>
      <w:bookmarkEnd w:id="45"/>
      <w:bookmarkEnd w:id="46"/>
      <w:bookmarkEnd w:id="47"/>
      <w:bookmarkEnd w:id="48"/>
    </w:p>
    <w:p>
      <w:pPr>
        <w:pStyle w:val="41"/>
      </w:pPr>
      <w:r>
        <w:rPr>
          <w:rFonts w:hint="eastAsia"/>
        </w:rPr>
        <w:t>根据《民用建筑热工设计规范》GB50176-2016第</w:t>
      </w:r>
      <w:r>
        <w:t>7.1.4</w:t>
      </w:r>
      <w:r>
        <w:rPr>
          <w:rFonts w:hint="eastAsia"/>
        </w:rPr>
        <w:t>条，</w:t>
      </w:r>
      <w:r>
        <w:t>,</w:t>
      </w:r>
      <w:r>
        <w:rPr>
          <w:rFonts w:hint="eastAsia"/>
        </w:rPr>
        <w:t>当围护结构内部可能发生冷凝时，冷凝计算界面内侧所需的蒸汽渗透阻应按式（3.2-1）计算：</w:t>
      </w:r>
    </w:p>
    <w:p>
      <w:pPr>
        <w:wordWrap w:val="0"/>
        <w:jc w:val="right"/>
      </w:pPr>
      <w:r>
        <w:rPr>
          <w:position w:val="-54"/>
        </w:rPr>
        <w:object>
          <v:shape id="_x0000_i1025" o:spt="75" type="#_x0000_t75" style="height:46pt;width:141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5" DrawAspect="Content" ObjectID="_1468075727" r:id="rId11">
            <o:LockedField>false</o:LockedField>
          </o:OLEObject>
        </w:object>
      </w:r>
      <w:r>
        <w:t xml:space="preserve">                          </w:t>
      </w:r>
      <w:r>
        <w:rPr>
          <w:rFonts w:hint="eastAsia"/>
        </w:rPr>
        <w:t xml:space="preserve">（3.2-1） </w:t>
      </w:r>
    </w:p>
    <w:p>
      <w:r>
        <w:rPr>
          <w:rFonts w:hint="eastAsia"/>
        </w:rPr>
        <w:t>则推导：</w:t>
      </w:r>
    </w:p>
    <w:p>
      <w:pPr>
        <w:wordWrap w:val="0"/>
        <w:jc w:val="right"/>
      </w:pPr>
      <w:r>
        <w:rPr>
          <w:position w:val="-28"/>
        </w:rPr>
        <w:object>
          <v:shape id="_x0000_i1026" o:spt="75" type="#_x0000_t75" style="height:50pt;width:162.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6" DrawAspect="Content" ObjectID="_1468075728" r:id="rId13">
            <o:LockedField>false</o:LockedField>
          </o:OLEObject>
        </w:object>
      </w:r>
      <w:r>
        <w:t xml:space="preserve">                        </w:t>
      </w:r>
      <w:r>
        <w:rPr>
          <w:rFonts w:hint="eastAsia"/>
        </w:rPr>
        <w:t>（3.2-2）</w:t>
      </w:r>
    </w:p>
    <w:p>
      <w:r>
        <w:rPr>
          <w:rFonts w:hint="eastAsia"/>
        </w:rPr>
        <w:t>式中：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27" o:spt="75" type="#_x0000_t75" style="height:16.5pt;width:2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7" DrawAspect="Content" ObjectID="_1468075729" r:id="rId15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采暖期间保温材料重量湿度的允许增量限值(%)；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28" o:spt="75" type="#_x0000_t75" style="height:13.5pt;width:20.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28" DrawAspect="Content" ObjectID="_1468075730" r:id="rId17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冷凝计算界面内侧实际的蒸汽渗透阻(㎡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29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030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1" o:spt="75" type="#_x0000_t75" style="height:16pt;width: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032" o:spt="75" type="#_x0000_t75" style="height:16pt;width: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3" o:spt="75" type="#_x0000_t75" style="height:13.5pt;width:22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1" r:id="rId21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冷凝计算界面至围护结构外表面之间的蒸汽渗透阻(㎡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4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035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6" o:spt="75" type="#_x0000_t75" style="height:16pt;width: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037" o:spt="75" type="#_x0000_t75" style="height:16pt;width: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8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8" DrawAspect="Content" ObjectID="_1468075732" r:id="rId23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室内空气水蒸气分压力(Pa)，根据室内计算温度和相对湿度确定；</w:t>
      </w:r>
    </w:p>
    <w:p>
      <w:pPr>
        <w:autoSpaceDE w:val="0"/>
        <w:autoSpaceDN w:val="0"/>
        <w:adjustRightInd w:val="0"/>
        <w:ind w:left="1470" w:leftChars="400" w:hanging="630" w:hangingChars="3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9" o:spt="75" type="#_x0000_t75" style="height:13.5pt;width:1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9" DrawAspect="Content" ObjectID="_1468075733" r:id="rId25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室外空气水蒸气分压力(Pa)，根据本规范附录三附表3.1查得的采暖期室外平均温度和平均相对温度确定；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0" o:spt="75" type="#_x0000_t75" style="height:13.5pt;width:20.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40" DrawAspect="Content" ObjectID="_1468075734" r:id="rId27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冷凝计算界面处与界面温度</w:t>
      </w:r>
      <w:r>
        <w:rPr>
          <w:rFonts w:ascii="宋体" w:cs="宋体"/>
          <w:kern w:val="0"/>
          <w:position w:val="-6"/>
          <w:szCs w:val="21"/>
        </w:rPr>
        <w:object>
          <v:shape id="_x0000_i1041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41" DrawAspect="Content" ObjectID="_1468075735" r:id="rId29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hint="eastAsia" w:ascii="宋体" w:cs="宋体"/>
          <w:kern w:val="0"/>
          <w:szCs w:val="21"/>
        </w:rPr>
        <w:t>对应的饱和水蒸气分压力(Pa)；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Z—</w:t>
      </w:r>
      <w:r>
        <w:rPr>
          <w:rFonts w:hint="eastAsia" w:ascii="宋体" w:cs="宋体"/>
          <w:kern w:val="0"/>
          <w:szCs w:val="21"/>
        </w:rPr>
        <w:t>采暖期天数，应符合本规范附录三附表3.1的规定；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42" o:spt="75" type="#_x0000_t75" style="height:13.5pt;width:1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42" DrawAspect="Content" ObjectID="_1468075736" r:id="rId31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保温材料的干密度(kg/m</w:t>
      </w:r>
      <w:r>
        <w:rPr>
          <w:rFonts w:ascii="宋体" w:cs="宋体"/>
          <w:kern w:val="0"/>
          <w:szCs w:val="21"/>
          <w:vertAlign w:val="superscript"/>
        </w:rPr>
        <w:t>3</w:t>
      </w:r>
      <w:r>
        <w:rPr>
          <w:rFonts w:hint="eastAsia" w:ascii="宋体" w:cs="宋体"/>
          <w:kern w:val="0"/>
          <w:szCs w:val="21"/>
        </w:rPr>
        <w:t>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3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43" DrawAspect="Content" ObjectID="_1468075737" r:id="rId33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保温材料厚度(m)；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冷凝计算界面温度可按下式计算：</w:t>
      </w:r>
    </w:p>
    <w:p>
      <w:pPr>
        <w:jc w:val="center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4" o:spt="75" type="#_x0000_t75" style="height:34pt;width:118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3" ShapeID="_x0000_i1044" DrawAspect="Content" ObjectID="_1468075738" r:id="rId35">
            <o:LockedField>false</o:LockedField>
          </o:OLEObject>
        </w:objec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式中：</w:t>
      </w:r>
      <w:r>
        <w:rPr>
          <w:rFonts w:eastAsiaTheme="minorEastAsia"/>
        </w:rPr>
        <w:object>
          <v:shape id="_x0000_i1045" o:spt="75" type="#_x0000_t75" style="height:18pt;width:13.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3" ShapeID="_x0000_i1045" DrawAspect="Content" ObjectID="_1468075739" r:id="rId37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6" o:spt="75" type="#_x0000_t75" style="height:18pt;width:9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046" DrawAspect="Content" ObjectID="_1468075740" r:id="rId39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室内计算温度（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7" o:spt="75" type="#_x0000_t75" style="height:18pt;width:10.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3" ShapeID="_x0000_i1047" DrawAspect="Content" ObjectID="_1468075741" r:id="rId41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采暖期室外平均温度（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8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3" ShapeID="_x0000_i1048" DrawAspect="Content" ObjectID="_1468075742" r:id="rId43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9" o:spt="75" type="#_x0000_t75" style="height:18pt;width:13.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3" ShapeID="_x0000_i1049" DrawAspect="Content" ObjectID="_1468075743" r:id="rId45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hint="eastAsia" w:eastAsiaTheme="minorEastAsia"/>
          <w:szCs w:val="22"/>
        </w:rPr>
        <w:t>）</w:t>
      </w:r>
    </w:p>
    <w:p>
      <w:pPr>
        <w:rPr>
          <w:rFonts w:asciiTheme="minorHAnsi" w:hAnsiTheme="minorHAnsi" w:eastAsiaTheme="minorEastAsia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>
          <v:shape id="_x0000_i1050" o:spt="75" type="#_x0000_t75" style="height:19.5pt;width:19.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3" ShapeID="_x0000_i1050" DrawAspect="Content" ObjectID="_1468075744" r:id="rId47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>
      <w:pPr>
        <w:pStyle w:val="2"/>
        <w:spacing w:line="240" w:lineRule="atLeast"/>
      </w:pPr>
      <w:bookmarkStart w:id="49" w:name="_Toc480186064"/>
      <w:bookmarkStart w:id="50" w:name="_Toc480186126"/>
      <w:bookmarkStart w:id="51" w:name="_Toc480218448"/>
      <w:bookmarkStart w:id="52" w:name="_Toc12765"/>
      <w:r>
        <w:rPr>
          <w:rFonts w:hint="eastAsia"/>
        </w:rPr>
        <w:t>防潮验算</w:t>
      </w:r>
      <w:r>
        <w:t>计算过程</w:t>
      </w:r>
      <w:bookmarkEnd w:id="49"/>
      <w:bookmarkEnd w:id="50"/>
      <w:bookmarkEnd w:id="51"/>
      <w:bookmarkEnd w:id="52"/>
    </w:p>
    <w:p>
      <w:pPr>
        <w:pStyle w:val="4"/>
        <w:spacing w:line="240" w:lineRule="atLeast"/>
        <w:rPr>
          <w:kern w:val="2"/>
        </w:rPr>
      </w:pPr>
      <w:bookmarkStart w:id="53" w:name="_Toc24277"/>
      <w:r>
        <w:rPr>
          <w:rFonts w:hint="eastAsia"/>
          <w:kern w:val="2"/>
        </w:rPr>
        <w:t>计算条件</w:t>
      </w:r>
      <w:bookmarkEnd w:id="53"/>
    </w:p>
    <w:tbl>
      <w:tblPr>
        <w:tblStyle w:val="20"/>
        <w:tblW w:w="932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2"/>
        <w:gridCol w:w="2693"/>
        <w:gridCol w:w="367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962" w:type="dxa"/>
            <w:tcBorders>
              <w:top w:val="single" w:color="auto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rPr>
                <w:position w:val="-6"/>
              </w:rPr>
              <w:object>
                <v:shape id="_x0000_i1051" o:spt="75" type="#_x0000_t75" style="height:13.5pt;width:13.5pt;" o:ole="t" filled="f" o:preferrelative="t" stroked="f" coordsize="21600,21600">
                  <v:path/>
                  <v:fill on="f" focussize="0,0"/>
                  <v:stroke on="f" joinstyle="miter"/>
                  <v:imagedata r:id="rId50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45" r:id="rId49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内表面换热阻（㎡</w:t>
            </w:r>
            <w:r>
              <w:fldChar w:fldCharType="begin"/>
            </w:r>
            <w:r>
              <w:instrText xml:space="preserve"> QUOTE </w:instrText>
            </w:r>
            <w:r>
              <w:rPr>
                <w:position w:val="-8"/>
              </w:rPr>
              <w:pict>
                <v:shape id="_x0000_i1052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instrText xml:space="preserve"> </w:instrText>
            </w:r>
            <w:r>
              <w:fldChar w:fldCharType="separate"/>
            </w:r>
            <w:r>
              <w:rPr>
                <w:position w:val="-8"/>
              </w:rPr>
              <w:pict>
                <v:shape id="_x0000_i1053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fldChar w:fldCharType="end"/>
            </w:r>
            <w:r>
              <w:rPr>
                <w:rFonts w:hint="eastAsia"/>
              </w:rPr>
              <w:t>K/W）</w:t>
            </w:r>
          </w:p>
        </w:tc>
        <w:tc>
          <w:tcPr>
            <w:tcW w:w="2693" w:type="dxa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GB50176附录B.4的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t xml:space="preserve">ti </w:t>
            </w:r>
            <w:r>
              <w:rPr>
                <w:rFonts w:hint="eastAsia"/>
              </w:rPr>
              <w:t>室内计算温度</w:t>
            </w:r>
            <w:r>
              <w:t>(</w:t>
            </w:r>
            <w:r>
              <w:rPr>
                <w:rFonts w:hint="eastAsia" w:ascii="宋体" w:hAnsi="宋体" w:cs="宋体"/>
              </w:rPr>
              <w:t>℃</w:t>
            </w:r>
            <w: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bookmarkStart w:id="54" w:name="t_i_avg"/>
            <w:r>
              <w:rPr>
                <w:rFonts w:hint="eastAsia"/>
              </w:rPr>
              <w:t>18</w:t>
            </w:r>
            <w:bookmarkEnd w:id="54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rPr>
                <w:rFonts w:hint="eastAsia"/>
              </w:rPr>
              <w:t>室内</w:t>
            </w:r>
            <w:r>
              <w:t>相对湿度(</w:t>
            </w:r>
            <w:r>
              <w:rPr>
                <w:rFonts w:hint="eastAsia" w:ascii="宋体" w:hAnsi="宋体" w:cs="宋体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bookmarkStart w:id="55" w:name="室内相对湿度"/>
            <w:r>
              <w:rPr>
                <w:rFonts w:hint="eastAsia"/>
              </w:rPr>
              <w:t>60</w:t>
            </w:r>
            <w:bookmarkEnd w:id="55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rPr>
                <w:position w:val="-6"/>
              </w:rPr>
              <w:object>
                <v:shape id="_x0000_i1054" o:spt="75" type="#_x0000_t75" style="height:17.5pt;width:10pt;" o:ole="t" filled="f" o:preferrelative="t" stroked="f" coordsize="21600,21600">
                  <v:path/>
                  <v:fill on="f" focussize="0,0"/>
                  <v:stroke on="f" joinstyle="miter"/>
                  <v:imagedata r:id="rId52" o:title=""/>
                  <o:lock v:ext="edit" aspectratio="t"/>
                  <w10:wrap type="none"/>
                  <w10:anchorlock/>
                </v:shape>
                <o:OLEObject Type="Embed" ProgID="Equation.DSMT4" ShapeID="_x0000_i1054" DrawAspect="Content" ObjectID="_1468075746" r:id="rId51">
                  <o:LockedField>false</o:LockedField>
                </o:OLEObject>
              </w:object>
            </w:r>
            <w:r>
              <w:rPr>
                <w:rFonts w:hint="eastAsia"/>
              </w:rPr>
              <w:t xml:space="preserve"> 采暖期室外平均温度（℃）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bookmarkStart w:id="56" w:name="t_e_avg"/>
            <w:r>
              <w:rPr>
                <w:rFonts w:hint="eastAsia"/>
              </w:rPr>
              <w:t>-4.50</w:t>
            </w:r>
            <w:bookmarkEnd w:id="56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rPr>
                <w:rFonts w:hint="eastAsia"/>
              </w:rPr>
              <w:t>室外</w:t>
            </w:r>
            <w:r>
              <w:t>相对湿度(</w:t>
            </w:r>
            <w:r>
              <w:rPr>
                <w:rFonts w:hint="eastAsia" w:ascii="宋体" w:hAnsi="宋体" w:cs="宋体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bookmarkStart w:id="57" w:name="室外相对湿度"/>
            <w:r>
              <w:rPr>
                <w:rFonts w:hint="eastAsia"/>
              </w:rPr>
              <w:t>55.00</w:t>
            </w:r>
            <w:bookmarkEnd w:id="57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auto" w:sz="8" w:space="0"/>
            </w:tcBorders>
            <w:shd w:val="clear" w:color="auto" w:fill="E6E6E6"/>
            <w:vAlign w:val="center"/>
          </w:tcPr>
          <w:p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bookmarkStart w:id="58" w:name="Z"/>
            <w:r>
              <w:rPr>
                <w:rFonts w:hint="eastAsia"/>
              </w:rPr>
              <w:t>150</w:t>
            </w:r>
            <w:bookmarkEnd w:id="58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GB50176附录A表A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>
      <w:r>
        <w:rPr>
          <w:rFonts w:hint="eastAsia"/>
        </w:rPr>
        <w:t xml:space="preserve"> </w:t>
      </w:r>
      <w:bookmarkStart w:id="59" w:name="气象数据参考"/>
      <w:bookmarkEnd w:id="59"/>
    </w:p>
    <w:p>
      <w:pPr>
        <w:pStyle w:val="3"/>
        <w:ind w:left="0" w:leftChars="0" w:right="1470"/>
      </w:pPr>
    </w:p>
    <w:p>
      <w:pPr>
        <w:pStyle w:val="4"/>
        <w:spacing w:line="240" w:lineRule="atLeast"/>
        <w:rPr>
          <w:kern w:val="2"/>
        </w:rPr>
      </w:pPr>
      <w:bookmarkStart w:id="60" w:name="_Toc23747"/>
      <w:bookmarkStart w:id="61" w:name="构造ID"/>
      <w:bookmarkStart w:id="62" w:name="DataTab"/>
      <w:r>
        <w:rPr>
          <w:rFonts w:hint="eastAsia"/>
          <w:kern w:val="2"/>
        </w:rPr>
        <w:t>屋顶构造一</w:t>
      </w:r>
      <w:bookmarkEnd w:id="60"/>
    </w:p>
    <w:tbl>
      <w:tblPr>
        <w:tblStyle w:val="20"/>
        <w:tblW w:w="948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kern w:val="0"/>
                <w:szCs w:val="20"/>
                <w:lang w:val="en-GB"/>
              </w:rPr>
            </w:pPr>
            <w:bookmarkStart w:id="63" w:name="构造表"/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vAlign w:val="center"/>
          </w:tcPr>
          <w:p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防水层L</w:t>
            </w:r>
          </w:p>
        </w:tc>
        <w:tc>
          <w:tcPr>
            <w:tcW w:w="848" w:type="dxa"/>
            <w:vAlign w:val="center"/>
          </w:tcPr>
          <w:p>
            <w:r>
              <w:t>10</w:t>
            </w:r>
          </w:p>
        </w:tc>
        <w:tc>
          <w:tcPr>
            <w:tcW w:w="1075" w:type="dxa"/>
            <w:vAlign w:val="center"/>
          </w:tcPr>
          <w:p>
            <w:r>
              <w:t>0.170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1.20</w:t>
            </w:r>
          </w:p>
        </w:tc>
        <w:tc>
          <w:tcPr>
            <w:tcW w:w="1559" w:type="dxa"/>
            <w:vAlign w:val="center"/>
          </w:tcPr>
          <w:p>
            <w:r>
              <w:t>0.0140</w:t>
            </w:r>
          </w:p>
        </w:tc>
        <w:tc>
          <w:tcPr>
            <w:tcW w:w="993" w:type="dxa"/>
            <w:vAlign w:val="center"/>
          </w:tcPr>
          <w:p>
            <w:r>
              <w:t>0.059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硬泡聚氨酯板PUR（ρ≥35）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0.024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35.00</w:t>
            </w:r>
          </w:p>
        </w:tc>
        <w:tc>
          <w:tcPr>
            <w:tcW w:w="1559" w:type="dxa"/>
            <w:vAlign w:val="center"/>
          </w:tcPr>
          <w:p>
            <w:r>
              <w:t>0.0130</w:t>
            </w:r>
          </w:p>
        </w:tc>
        <w:tc>
          <w:tcPr>
            <w:tcW w:w="993" w:type="dxa"/>
            <w:vAlign w:val="center"/>
          </w:tcPr>
          <w:p>
            <w:r>
              <w:t>0.833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硬泡聚氨酯板PIR（ρ≥30）</w:t>
            </w:r>
          </w:p>
        </w:tc>
        <w:tc>
          <w:tcPr>
            <w:tcW w:w="848" w:type="dxa"/>
            <w:vAlign w:val="center"/>
          </w:tcPr>
          <w:p>
            <w:r>
              <w:t>100</w:t>
            </w:r>
          </w:p>
        </w:tc>
        <w:tc>
          <w:tcPr>
            <w:tcW w:w="1075" w:type="dxa"/>
            <w:vAlign w:val="center"/>
          </w:tcPr>
          <w:p>
            <w:r>
              <w:t>0.024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30.00</w:t>
            </w:r>
          </w:p>
        </w:tc>
        <w:tc>
          <w:tcPr>
            <w:tcW w:w="1559" w:type="dxa"/>
            <w:vAlign w:val="center"/>
          </w:tcPr>
          <w:p>
            <w:r>
              <w:t>0.0140</w:t>
            </w:r>
          </w:p>
        </w:tc>
        <w:tc>
          <w:tcPr>
            <w:tcW w:w="993" w:type="dxa"/>
            <w:vAlign w:val="center"/>
          </w:tcPr>
          <w:p>
            <w:r>
              <w:t>4.167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岩棉保温板（ρ≥140）</w:t>
            </w:r>
          </w:p>
        </w:tc>
        <w:tc>
          <w:tcPr>
            <w:tcW w:w="848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0.040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140.00</w:t>
            </w:r>
          </w:p>
        </w:tc>
        <w:tc>
          <w:tcPr>
            <w:tcW w:w="1559" w:type="dxa"/>
            <w:vAlign w:val="center"/>
          </w:tcPr>
          <w:p>
            <w:r>
              <w:t>0.0000</w:t>
            </w:r>
          </w:p>
        </w:tc>
        <w:tc>
          <w:tcPr>
            <w:tcW w:w="993" w:type="dxa"/>
            <w:vAlign w:val="center"/>
          </w:tcPr>
          <w:p>
            <w:r>
              <w:t>3.000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酚醛泡沫板（ρ≥35）</w:t>
            </w:r>
          </w:p>
        </w:tc>
        <w:tc>
          <w:tcPr>
            <w:tcW w:w="848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0.024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35.00</w:t>
            </w:r>
          </w:p>
        </w:tc>
        <w:tc>
          <w:tcPr>
            <w:tcW w:w="1559" w:type="dxa"/>
            <w:vAlign w:val="center"/>
          </w:tcPr>
          <w:p>
            <w:r>
              <w:t>0.0042</w:t>
            </w:r>
          </w:p>
        </w:tc>
        <w:tc>
          <w:tcPr>
            <w:tcW w:w="993" w:type="dxa"/>
            <w:vAlign w:val="center"/>
          </w:tcPr>
          <w:p>
            <w:r>
              <w:t>5.000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混合砂浆L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0.870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1700.00</w:t>
            </w:r>
          </w:p>
        </w:tc>
        <w:tc>
          <w:tcPr>
            <w:tcW w:w="1559" w:type="dxa"/>
            <w:vAlign w:val="center"/>
          </w:tcPr>
          <w:p>
            <w:r>
              <w:t>0.0230</w:t>
            </w:r>
          </w:p>
        </w:tc>
        <w:tc>
          <w:tcPr>
            <w:tcW w:w="993" w:type="dxa"/>
            <w:vAlign w:val="center"/>
          </w:tcPr>
          <w:p>
            <w:r>
              <w:t>0.023</w:t>
            </w:r>
          </w:p>
        </w:tc>
      </w:tr>
    </w:tbl>
    <w:p>
      <w:pPr>
        <w:pStyle w:val="3"/>
        <w:ind w:left="1470" w:right="1470"/>
      </w:pPr>
    </w:p>
    <w:p>
      <w:pPr>
        <w:pStyle w:val="5"/>
      </w:pPr>
      <w:bookmarkStart w:id="64" w:name="_Toc24745"/>
      <w:r>
        <w:rPr>
          <w:rFonts w:hint="eastAsia"/>
        </w:rPr>
        <w:t>冷凝计算界面至围护结构内表面之间的热阻</w:t>
      </w:r>
      <w:r>
        <w:object>
          <v:shape id="_x0000_i1055" o:spt="75" type="#_x0000_t75" style="height:13.5pt;width:19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55" DrawAspect="Content" ObjectID="_1468075747" r:id="rId53">
            <o:LockedField>false</o:LockedField>
          </o:OLEObject>
        </w:object>
      </w:r>
      <w:bookmarkEnd w:id="64"/>
    </w:p>
    <w:p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object>
          <v:shape id="_x0000_i1056" o:spt="75" type="#_x0000_t75" style="height:13.5pt;width:19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56" DrawAspect="Content" ObjectID="_1468075748" r:id="rId54">
            <o:LockedField>false</o:LockedField>
          </o:OLEObject>
        </w:object>
      </w:r>
      <w:r>
        <w:rPr>
          <w:b/>
          <w:bCs/>
        </w:rPr>
        <w:t>=</w:t>
      </w:r>
      <w:bookmarkStart w:id="65" w:name="R_o_i"/>
      <w:r>
        <w:rPr>
          <w:rFonts w:hint="eastAsia"/>
        </w:rPr>
        <w:t>13.02</w:t>
      </w:r>
    </w:p>
    <w:p>
      <w:pPr>
        <w:pStyle w:val="5"/>
        <w:ind w:right="1470"/>
      </w:pPr>
      <w:bookmarkStart w:id="66" w:name="_Toc30551"/>
      <w:r>
        <w:rPr>
          <w:rFonts w:hint="eastAsia"/>
        </w:rPr>
        <w:t>冷凝计算界面温度</w:t>
      </w:r>
      <w:r>
        <w:rPr>
          <w:position w:val="-6"/>
        </w:rPr>
        <w:object>
          <v:shape id="_x0000_i1057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57" DrawAspect="Content" ObjectID="_1468075749" r:id="rId55">
            <o:LockedField>false</o:LockedField>
          </o:OLEObject>
        </w:object>
      </w:r>
      <w:bookmarkEnd w:id="66"/>
    </w:p>
    <w:p>
      <w:pPr>
        <w:jc w:val="center"/>
      </w:pPr>
      <w:r>
        <w:object>
          <v:shape id="_x0000_i1058" o:spt="75" type="#_x0000_t75" style="height:33pt;width:112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8" DrawAspect="Content" ObjectID="_1468075750" r:id="rId56">
            <o:LockedField>false</o:LockedField>
          </o:OLEObject>
        </w:object>
      </w:r>
    </w:p>
    <w:p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object>
          <v:shape id="_x0000_i1059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59" DrawAspect="Content" ObjectID="_1468075751" r:id="rId58">
            <o:LockedField>false</o:LockedField>
          </o:OLEObject>
        </w:object>
      </w:r>
      <w:r>
        <w:t>=</w:t>
      </w:r>
      <w:bookmarkStart w:id="67" w:name="θ_c"/>
      <w:r>
        <w:rPr>
          <w:rFonts w:hint="eastAsia"/>
        </w:rPr>
        <w:t>-4.33</w:t>
      </w:r>
    </w:p>
    <w:p>
      <w:pPr>
        <w:pStyle w:val="5"/>
        <w:ind w:right="1470"/>
      </w:pPr>
      <w:bookmarkStart w:id="68" w:name="_Toc14814"/>
      <w:r>
        <w:rPr>
          <w:rStyle w:val="32"/>
          <w:rFonts w:hint="eastAsia"/>
          <w:b/>
          <w:bCs w:val="0"/>
        </w:rPr>
        <w:t>围护结构冷凝受潮验算</w:t>
      </w:r>
      <w:bookmarkEnd w:id="68"/>
    </w:p>
    <w:tbl>
      <w:tblPr>
        <w:tblStyle w:val="20"/>
        <w:tblW w:w="99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8"/>
        <w:gridCol w:w="2693"/>
        <w:gridCol w:w="1374"/>
        <w:gridCol w:w="27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object>
                <v:shape id="_x0000_i1060" o:spt="75" type="#_x0000_t75" style="height:13.5pt;width:20.5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60" DrawAspect="Content" ObjectID="_1468075752" r:id="rId59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61" o:spt="75" type="#_x0000_t75" style="height:13.5pt;width:20.5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61" DrawAspect="Content" ObjectID="_1468075753" r:id="rId60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2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63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4" o:spt="75" type="#_x0000_t75" style="height:16pt;width: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65" o:spt="75" type="#_x0000_t75" style="height:16pt;width: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69" w:name="H_o_i"/>
            <w:r>
              <w:rPr>
                <w:rFonts w:hint="eastAsia"/>
              </w:rPr>
              <w:t>38122.31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object>
                <v:shape id="_x0000_i1066" o:spt="75" type="#_x0000_t75" style="height:13.5pt;width:22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66" DrawAspect="Content" ObjectID="_1468075754" r:id="rId61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67" o:spt="75" type="#_x0000_t75" style="height:13.5pt;width:22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67" DrawAspect="Content" ObjectID="_1468075755" r:id="rId62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8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69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70" o:spt="75" type="#_x0000_t75" style="height:16pt;width: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71" o:spt="75" type="#_x0000_t75" style="height:16pt;width: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0" w:name="H_o_e"/>
            <w:r>
              <w:rPr>
                <w:rFonts w:hint="eastAsia"/>
              </w:rPr>
              <w:t>714.29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object>
                <v:shape id="_x0000_i1072" o:spt="75" type="#_x0000_t75" style="height:13.5pt;width:13.5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56" r:id="rId63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73" o:spt="75" type="#_x0000_t75" style="height:13.5pt;width:13.5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57" r:id="rId64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1" w:name="Pi"/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object>
                <v:shape id="_x0000_i1074" o:spt="75" type="#_x0000_t75" style="height:13.5pt;width:15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58" r:id="rId65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75" o:spt="75" type="#_x0000_t75" style="height:13.5pt;width:15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59" r:id="rId66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2" w:name="Pe"/>
            <w:r>
              <w:rPr>
                <w:rFonts w:hint="eastAsia"/>
              </w:rPr>
              <w:t>230.45</w:t>
            </w:r>
          </w:p>
        </w:tc>
        <w:tc>
          <w:tcPr>
            <w:tcW w:w="2737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object>
                <v:shape id="_x0000_i1076" o:spt="75" type="#_x0000_t75" style="height:13.5pt;width:20.5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60" r:id="rId67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77" o:spt="75" type="#_x0000_t75" style="height:13.5pt;width:20.5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77" DrawAspect="Content" ObjectID="_1468075761" r:id="rId68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object>
                <v:shape id="_x0000_i1078" o:spt="75" type="#_x0000_t75" style="height:13.5pt;width:13.5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62" r:id="rId69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3" w:name="Psc"/>
            <w:r>
              <w:rPr>
                <w:rFonts w:hint="eastAsia"/>
              </w:rPr>
              <w:t>425.05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10"/>
              </w:rPr>
              <w:object>
                <v:shape id="_x0000_i1079" o:spt="75" type="#_x0000_t75" style="height:13.5pt;width:15pt;" o:ole="t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63" r:id="rId70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object>
                <v:shape id="_x0000_i1080" o:spt="75" type="#_x0000_t75" style="height:13.5pt;width:15pt;" o:ole="t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64" r:id="rId71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4" w:name="ρ"/>
            <w:r>
              <w:rPr>
                <w:rFonts w:hint="eastAsia"/>
              </w:rPr>
              <w:t>35.00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</w:tcPr>
          <w:p>
            <w:r>
              <w:rPr>
                <w:position w:val="-6"/>
              </w:rPr>
              <w:object>
                <v:shape id="_x0000_i1081" o:spt="75" type="#_x0000_t75" style="height:13.5pt;width:13.5pt;" o:ole="t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65" r:id="rId72">
                  <o:LockedField>false</o:LockedField>
                </o:OLEObject>
              </w:object>
            </w:r>
          </w:p>
        </w:tc>
        <w:tc>
          <w:tcPr>
            <w:tcW w:w="2693" w:type="dxa"/>
          </w:tcPr>
          <w:p>
            <w:r>
              <w:rPr>
                <w:position w:val="-6"/>
              </w:rPr>
              <w:object>
                <v:shape id="_x0000_i1082" o:spt="75" type="#_x0000_t75" style="height:13.5pt;width:13.5pt;" o:ole="t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66" r:id="rId73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5" w:name="δi"/>
            <w:r>
              <w:rPr>
                <w:rFonts w:hint="eastAsia"/>
              </w:rPr>
              <w:t>0.02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28"/>
              </w:rPr>
              <w:object>
                <v:shape id="_x0000_i1083" o:spt="75" type="#_x0000_t75" style="height:43.5pt;width:142.5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83" DrawAspect="Content" ObjectID="_1468075767" r:id="rId74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object>
                <v:shape id="_x0000_i1084" o:spt="75" type="#_x0000_t75" style="height:16.5pt;width:25pt;" o:ole="t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  <o:OLEObject Type="Embed" ProgID="Equation.DSMT4" ShapeID="_x0000_i1084" DrawAspect="Content" ObjectID="_1468075768" r:id="rId75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6" w:name="ω_l"/>
            <w:r>
              <w:rPr>
                <w:rFonts w:hint="eastAsia"/>
              </w:rPr>
              <w:t>0.00</w:t>
            </w:r>
          </w:p>
        </w:tc>
        <w:tc>
          <w:tcPr>
            <w:tcW w:w="2737" w:type="dxa"/>
            <w:vAlign w:val="center"/>
          </w:tcPr>
          <w:p>
            <w:r>
              <w:rPr>
                <w:rFonts w:hint="eastAsia"/>
              </w:rPr>
              <w:t>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77" w:name="ω"/>
            <w:r>
              <w:rPr>
                <w:rFonts w:hint="eastAsia"/>
              </w:rPr>
              <w:t>10.00</w:t>
            </w:r>
          </w:p>
        </w:tc>
      </w:tr>
    </w:tbl>
    <w:p>
      <w:pPr>
        <w:widowControl/>
        <w:jc w:val="left"/>
      </w:pPr>
    </w:p>
    <w:p>
      <w:pPr>
        <w:pStyle w:val="4"/>
        <w:spacing w:line="240" w:lineRule="atLeast"/>
        <w:rPr>
          <w:kern w:val="2"/>
        </w:rPr>
      </w:pPr>
      <w:bookmarkStart w:id="78" w:name="_Toc21895"/>
      <w:r>
        <w:rPr>
          <w:rFonts w:hint="eastAsia"/>
          <w:kern w:val="2"/>
        </w:rPr>
        <w:t>外墙构造一</w:t>
      </w:r>
      <w:bookmarkEnd w:id="78"/>
    </w:p>
    <w:tbl>
      <w:tblPr>
        <w:tblStyle w:val="20"/>
        <w:tblW w:w="948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vAlign w:val="center"/>
          </w:tcPr>
          <w:p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岩棉板(ρ=60-160)</w:t>
            </w:r>
          </w:p>
        </w:tc>
        <w:tc>
          <w:tcPr>
            <w:tcW w:w="848" w:type="dxa"/>
            <w:vAlign w:val="center"/>
          </w:tcPr>
          <w:p>
            <w:r>
              <w:t>100</w:t>
            </w:r>
          </w:p>
        </w:tc>
        <w:tc>
          <w:tcPr>
            <w:tcW w:w="1075" w:type="dxa"/>
            <w:vAlign w:val="center"/>
          </w:tcPr>
          <w:p>
            <w:r>
              <w:t>0.041</w:t>
            </w:r>
          </w:p>
        </w:tc>
        <w:tc>
          <w:tcPr>
            <w:tcW w:w="671" w:type="dxa"/>
            <w:vAlign w:val="center"/>
          </w:tcPr>
          <w:p>
            <w:r>
              <w:t>1.10</w:t>
            </w:r>
          </w:p>
        </w:tc>
        <w:tc>
          <w:tcPr>
            <w:tcW w:w="992" w:type="dxa"/>
            <w:vAlign w:val="center"/>
          </w:tcPr>
          <w:p>
            <w:r>
              <w:t>110.00</w:t>
            </w:r>
          </w:p>
        </w:tc>
        <w:tc>
          <w:tcPr>
            <w:tcW w:w="1559" w:type="dxa"/>
            <w:vAlign w:val="center"/>
          </w:tcPr>
          <w:p>
            <w:r>
              <w:t>0.4880</w:t>
            </w:r>
          </w:p>
        </w:tc>
        <w:tc>
          <w:tcPr>
            <w:tcW w:w="993" w:type="dxa"/>
            <w:vAlign w:val="center"/>
          </w:tcPr>
          <w:p>
            <w:r>
              <w:t>2.217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0.0210</w:t>
            </w:r>
          </w:p>
        </w:tc>
        <w:tc>
          <w:tcPr>
            <w:tcW w:w="993" w:type="dxa"/>
            <w:vAlign w:val="center"/>
          </w:tcPr>
          <w:p>
            <w:r>
              <w:t>0.022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粘土实心砖</w:t>
            </w:r>
          </w:p>
        </w:tc>
        <w:tc>
          <w:tcPr>
            <w:tcW w:w="848" w:type="dxa"/>
            <w:vAlign w:val="center"/>
          </w:tcPr>
          <w:p>
            <w:r>
              <w:t>370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0.1050</w:t>
            </w:r>
          </w:p>
        </w:tc>
        <w:tc>
          <w:tcPr>
            <w:tcW w:w="993" w:type="dxa"/>
            <w:vAlign w:val="center"/>
          </w:tcPr>
          <w:p>
            <w:r>
              <w:t>0.457</w:t>
            </w:r>
          </w:p>
        </w:tc>
      </w:tr>
    </w:tbl>
    <w:p>
      <w:pPr>
        <w:pStyle w:val="3"/>
        <w:ind w:left="1470" w:right="1470"/>
      </w:pPr>
    </w:p>
    <w:p>
      <w:pPr>
        <w:pStyle w:val="5"/>
      </w:pPr>
      <w:bookmarkStart w:id="79" w:name="_Toc13317"/>
      <w:r>
        <w:rPr>
          <w:rFonts w:hint="eastAsia"/>
        </w:rPr>
        <w:t>冷凝计算界面至围护结构内表面之间的热阻</w:t>
      </w:r>
      <w:r>
        <w:pict>
          <v:shape id="_x0000_i1085" o:spt="75" type="#_x0000_t75" style="height:13.5pt;width:19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bookmarkEnd w:id="79"/>
    </w:p>
    <w:p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pict>
          <v:shape id="_x0000_i1086" o:spt="75" type="#_x0000_t75" style="height:13.5pt;width:19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rPr>
          <w:b/>
          <w:bCs/>
        </w:rPr>
        <w:t>=</w:t>
      </w:r>
      <w:r>
        <w:rPr>
          <w:rFonts w:hint="eastAsia"/>
        </w:rPr>
        <w:t>-</w:t>
      </w:r>
    </w:p>
    <w:p>
      <w:pPr>
        <w:pStyle w:val="5"/>
        <w:ind w:right="1470"/>
      </w:pPr>
      <w:bookmarkStart w:id="80" w:name="_Toc12944"/>
      <w:r>
        <w:rPr>
          <w:rFonts w:hint="eastAsia"/>
        </w:rPr>
        <w:t>冷凝计算界面温度</w:t>
      </w:r>
      <w:r>
        <w:rPr>
          <w:position w:val="-6"/>
        </w:rPr>
        <w:pict>
          <v:shape id="_x0000_i1087" o:spt="75" type="#_x0000_t75" style="height:13.5pt;width:13.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bookmarkEnd w:id="80"/>
    </w:p>
    <w:p>
      <w:pPr>
        <w:jc w:val="center"/>
      </w:pPr>
      <w:r>
        <w:pict>
          <v:shape id="_x0000_i1088" o:spt="75" type="#_x0000_t75" style="height:33pt;width:112pt;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</w:pict>
      </w:r>
    </w:p>
    <w:p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pict>
          <v:shape id="_x0000_i1089" o:spt="75" type="#_x0000_t75" style="height:13.5pt;width:13.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t>=</w:t>
      </w:r>
      <w:r>
        <w:rPr>
          <w:rFonts w:hint="eastAsia"/>
        </w:rPr>
        <w:t>-</w:t>
      </w:r>
    </w:p>
    <w:p>
      <w:pPr>
        <w:pStyle w:val="5"/>
        <w:ind w:right="1470"/>
      </w:pPr>
      <w:bookmarkStart w:id="81" w:name="_Toc7566"/>
      <w:r>
        <w:rPr>
          <w:rStyle w:val="32"/>
          <w:rFonts w:hint="eastAsia"/>
          <w:b/>
          <w:bCs w:val="0"/>
        </w:rPr>
        <w:t>围护结构冷凝受潮验算</w:t>
      </w:r>
      <w:bookmarkEnd w:id="81"/>
    </w:p>
    <w:tbl>
      <w:tblPr>
        <w:tblStyle w:val="20"/>
        <w:tblW w:w="99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8"/>
        <w:gridCol w:w="2693"/>
        <w:gridCol w:w="1374"/>
        <w:gridCol w:w="27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090" o:spt="75" type="#_x0000_t75" style="height:13.5pt;width:20.5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091" o:spt="75" type="#_x0000_t75" style="height:13.5pt;width:20.5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2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93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4" o:spt="75" type="#_x0000_t75" style="height:16pt;width: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95" o:spt="75" type="#_x0000_t75" style="height:16pt;width: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096" o:spt="75" type="#_x0000_t75" style="height:13.5pt;width:22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097" o:spt="75" type="#_x0000_t75" style="height:13.5pt;width:22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8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99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00" o:spt="75" type="#_x0000_t75" style="height:16pt;width: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01" o:spt="75" type="#_x0000_t75" style="height:16pt;width: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02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03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04" o:spt="75" type="#_x0000_t75" style="height:13.5pt;width:15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05" o:spt="75" type="#_x0000_t75" style="height:13.5pt;width:15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230.45</w:t>
            </w:r>
          </w:p>
        </w:tc>
        <w:tc>
          <w:tcPr>
            <w:tcW w:w="2737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06" o:spt="75" type="#_x0000_t75" style="height:13.5pt;width:20.5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07" o:spt="75" type="#_x0000_t75" style="height:13.5pt;width:20.5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108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10"/>
              </w:rPr>
              <w:pict>
                <v:shape id="_x0000_i1109" o:spt="75" type="#_x0000_t75" style="height:13.5pt;width:15pt;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pict>
                <v:shape id="_x0000_i1110" o:spt="75" type="#_x0000_t75" style="height:13.5pt;width:15pt;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</w:tcPr>
          <w:p>
            <w:r>
              <w:rPr>
                <w:position w:val="-6"/>
              </w:rPr>
              <w:pict>
                <v:shape id="_x0000_i1111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</w:tcPr>
          <w:p>
            <w:r>
              <w:rPr>
                <w:position w:val="-6"/>
              </w:rPr>
              <w:pict>
                <v:shape id="_x0000_i1112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28"/>
              </w:rPr>
              <w:pict>
                <v:shape id="_x0000_i1113" o:spt="75" type="#_x0000_t75" style="height:43.5pt;width:142.5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pict>
                <v:shape id="_x0000_i1114" o:spt="75" type="#_x0000_t75" style="height:16.5pt;width:25pt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>
            <w:r>
              <w:rPr>
                <w:rFonts w:hint="eastAsia"/>
              </w:rPr>
              <w:t>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=5.00</w:t>
            </w:r>
          </w:p>
        </w:tc>
      </w:tr>
    </w:tbl>
    <w:p>
      <w:pPr>
        <w:widowControl/>
        <w:jc w:val="left"/>
      </w:pPr>
    </w:p>
    <w:p>
      <w:pPr>
        <w:pStyle w:val="4"/>
        <w:spacing w:line="240" w:lineRule="atLeast"/>
        <w:rPr>
          <w:kern w:val="2"/>
        </w:rPr>
      </w:pPr>
      <w:bookmarkStart w:id="82" w:name="_Toc19109"/>
      <w:r>
        <w:rPr>
          <w:rFonts w:hint="eastAsia"/>
          <w:kern w:val="2"/>
        </w:rPr>
        <w:t>阳台隔墙构造一</w:t>
      </w:r>
      <w:bookmarkEnd w:id="61"/>
      <w:bookmarkEnd w:id="82"/>
    </w:p>
    <w:tbl>
      <w:tblPr>
        <w:tblStyle w:val="20"/>
        <w:tblW w:w="948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vAlign w:val="center"/>
          </w:tcPr>
          <w:p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0.0210</w:t>
            </w:r>
          </w:p>
        </w:tc>
        <w:tc>
          <w:tcPr>
            <w:tcW w:w="993" w:type="dxa"/>
            <w:vAlign w:val="center"/>
          </w:tcPr>
          <w:p>
            <w:r>
              <w:t>0.022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671" w:type="dxa"/>
            <w:vAlign w:val="center"/>
          </w:tcPr>
          <w:p>
            <w:r>
              <w:t>1.20</w:t>
            </w:r>
          </w:p>
        </w:tc>
        <w:tc>
          <w:tcPr>
            <w:tcW w:w="992" w:type="dxa"/>
            <w:vAlign w:val="center"/>
          </w:tcPr>
          <w:p>
            <w:r>
              <w:t>35.00</w:t>
            </w:r>
          </w:p>
        </w:tc>
        <w:tc>
          <w:tcPr>
            <w:tcW w:w="1559" w:type="dxa"/>
            <w:vAlign w:val="center"/>
          </w:tcPr>
          <w:p>
            <w:r>
              <w:t>0.0000</w:t>
            </w:r>
          </w:p>
        </w:tc>
        <w:tc>
          <w:tcPr>
            <w:tcW w:w="993" w:type="dxa"/>
            <w:vAlign w:val="center"/>
          </w:tcPr>
          <w:p>
            <w:r>
              <w:t>0.556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0.0210</w:t>
            </w:r>
          </w:p>
        </w:tc>
        <w:tc>
          <w:tcPr>
            <w:tcW w:w="993" w:type="dxa"/>
            <w:vAlign w:val="center"/>
          </w:tcPr>
          <w:p>
            <w:r>
              <w:t>0.022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2500.00</w:t>
            </w:r>
          </w:p>
        </w:tc>
        <w:tc>
          <w:tcPr>
            <w:tcW w:w="1559" w:type="dxa"/>
            <w:vAlign w:val="center"/>
          </w:tcPr>
          <w:p>
            <w:r>
              <w:t>0.0158</w:t>
            </w:r>
          </w:p>
        </w:tc>
        <w:tc>
          <w:tcPr>
            <w:tcW w:w="993" w:type="dxa"/>
            <w:vAlign w:val="center"/>
          </w:tcPr>
          <w:p>
            <w:r>
              <w:t>0.115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1600.00</w:t>
            </w:r>
          </w:p>
        </w:tc>
        <w:tc>
          <w:tcPr>
            <w:tcW w:w="1559" w:type="dxa"/>
            <w:vAlign w:val="center"/>
          </w:tcPr>
          <w:p>
            <w:r>
              <w:t>0.0443</w:t>
            </w:r>
          </w:p>
        </w:tc>
        <w:tc>
          <w:tcPr>
            <w:tcW w:w="993" w:type="dxa"/>
            <w:vAlign w:val="center"/>
          </w:tcPr>
          <w:p>
            <w:r>
              <w:t>0.025</w:t>
            </w:r>
          </w:p>
        </w:tc>
      </w:tr>
      <w:bookmarkEnd w:id="63"/>
    </w:tbl>
    <w:p>
      <w:pPr>
        <w:pStyle w:val="3"/>
        <w:ind w:left="1470" w:right="1470"/>
      </w:pPr>
    </w:p>
    <w:p>
      <w:pPr>
        <w:pStyle w:val="5"/>
      </w:pPr>
      <w:bookmarkStart w:id="83" w:name="_Toc21341"/>
      <w:r>
        <w:rPr>
          <w:rFonts w:hint="eastAsia"/>
        </w:rPr>
        <w:t>冷凝计算界面至围护结构内表面之间的热阻</w:t>
      </w:r>
      <w:r>
        <w:pict>
          <v:shape id="_x0000_i1115" o:spt="75" type="#_x0000_t75" style="height:13.5pt;width:19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bookmarkEnd w:id="83"/>
    </w:p>
    <w:p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pict>
          <v:shape id="_x0000_i1116" o:spt="75" type="#_x0000_t75" style="height:13.5pt;width:19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rPr>
          <w:b/>
          <w:bCs/>
        </w:rPr>
        <w:t>=</w:t>
      </w:r>
      <w:r>
        <w:rPr>
          <w:rFonts w:hint="eastAsia"/>
        </w:rPr>
        <w:t>0.72</w:t>
      </w:r>
      <w:bookmarkEnd w:id="65"/>
    </w:p>
    <w:p>
      <w:pPr>
        <w:pStyle w:val="5"/>
        <w:ind w:right="1470"/>
      </w:pPr>
      <w:bookmarkStart w:id="84" w:name="_Toc15021"/>
      <w:r>
        <w:rPr>
          <w:rFonts w:hint="eastAsia"/>
        </w:rPr>
        <w:t>冷凝计算界面温度</w:t>
      </w:r>
      <w:r>
        <w:rPr>
          <w:position w:val="-6"/>
        </w:rPr>
        <w:pict>
          <v:shape id="_x0000_i1117" o:spt="75" type="#_x0000_t75" style="height:13.5pt;width:13.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bookmarkEnd w:id="84"/>
    </w:p>
    <w:p>
      <w:pPr>
        <w:jc w:val="center"/>
      </w:pPr>
      <w:r>
        <w:pict>
          <v:shape id="_x0000_i1118" o:spt="75" type="#_x0000_t75" style="height:33pt;width:112pt;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</w:pict>
      </w:r>
    </w:p>
    <w:p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pict>
          <v:shape id="_x0000_i1119" o:spt="75" type="#_x0000_t75" style="height:13.5pt;width:13.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t>=</w:t>
      </w:r>
      <w:r>
        <w:rPr>
          <w:rFonts w:hint="eastAsia"/>
        </w:rPr>
        <w:t>-2.94</w:t>
      </w:r>
      <w:bookmarkEnd w:id="67"/>
    </w:p>
    <w:p>
      <w:pPr>
        <w:pStyle w:val="5"/>
        <w:ind w:right="1470"/>
      </w:pPr>
      <w:bookmarkStart w:id="85" w:name="_Toc11271"/>
      <w:r>
        <w:rPr>
          <w:rStyle w:val="32"/>
          <w:rFonts w:hint="eastAsia"/>
          <w:b/>
          <w:bCs w:val="0"/>
        </w:rPr>
        <w:t>围护结构冷凝受潮验算</w:t>
      </w:r>
      <w:bookmarkEnd w:id="85"/>
    </w:p>
    <w:tbl>
      <w:tblPr>
        <w:tblStyle w:val="20"/>
        <w:tblW w:w="99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8"/>
        <w:gridCol w:w="2693"/>
        <w:gridCol w:w="1374"/>
        <w:gridCol w:w="27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120" o:spt="75" type="#_x0000_t75" style="height:13.5pt;width:20.5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21" o:spt="75" type="#_x0000_t75" style="height:13.5pt;width:20.5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22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3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24" o:spt="75" type="#_x0000_t75" style="height:16pt;width: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5" o:spt="75" type="#_x0000_t75" style="height:16pt;width: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14062.08</w:t>
            </w:r>
            <w:bookmarkEnd w:id="69"/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26" o:spt="75" type="#_x0000_t75" style="height:13.5pt;width:22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27" o:spt="75" type="#_x0000_t75" style="height:13.5pt;width:22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28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9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30" o:spt="75" type="#_x0000_t75" style="height:16pt;width: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31" o:spt="75" type="#_x0000_t75" style="height:16pt;width: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952.38</w:t>
            </w:r>
            <w:bookmarkEnd w:id="70"/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32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33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1237.20</w:t>
            </w:r>
            <w:bookmarkEnd w:id="71"/>
          </w:p>
        </w:tc>
        <w:tc>
          <w:tcPr>
            <w:tcW w:w="2737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34" o:spt="75" type="#_x0000_t75" style="height:13.5pt;width:15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35" o:spt="75" type="#_x0000_t75" style="height:13.5pt;width:15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230.45</w:t>
            </w:r>
            <w:bookmarkEnd w:id="72"/>
          </w:p>
        </w:tc>
        <w:tc>
          <w:tcPr>
            <w:tcW w:w="2737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36" o:spt="75" type="#_x0000_t75" style="height:13.5pt;width:20.5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37" o:spt="75" type="#_x0000_t75" style="height:13.5pt;width:20.5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138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477.44</w:t>
            </w:r>
            <w:bookmarkEnd w:id="73"/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10"/>
              </w:rPr>
              <w:pict>
                <v:shape id="_x0000_i1139" o:spt="75" type="#_x0000_t75" style="height:13.5pt;width:15pt;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pict>
                <v:shape id="_x0000_i1140" o:spt="75" type="#_x0000_t75" style="height:13.5pt;width:15pt;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35.00</w:t>
            </w:r>
            <w:bookmarkEnd w:id="74"/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</w:tcPr>
          <w:p>
            <w:r>
              <w:rPr>
                <w:position w:val="-6"/>
              </w:rPr>
              <w:pict>
                <v:shape id="_x0000_i1141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</w:tcPr>
          <w:p>
            <w:r>
              <w:rPr>
                <w:position w:val="-6"/>
              </w:rPr>
              <w:pict>
                <v:shape id="_x0000_i1142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0.02</w:t>
            </w:r>
            <w:bookmarkEnd w:id="75"/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28"/>
              </w:rPr>
              <w:pict>
                <v:shape id="_x0000_i1143" o:spt="75" type="#_x0000_t75" style="height:43.5pt;width:142.5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pict>
                <v:shape id="_x0000_i1144" o:spt="75" type="#_x0000_t75" style="height:16.5pt;width:25pt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</w:t>
            </w:r>
            <w:bookmarkEnd w:id="76"/>
          </w:p>
        </w:tc>
        <w:tc>
          <w:tcPr>
            <w:tcW w:w="2737" w:type="dxa"/>
            <w:vAlign w:val="center"/>
          </w:tcPr>
          <w:p>
            <w:r>
              <w:rPr>
                <w:rFonts w:hint="eastAsia"/>
              </w:rPr>
              <w:t>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  <w:bookmarkEnd w:id="77"/>
          </w:p>
        </w:tc>
      </w:tr>
    </w:tbl>
    <w:p>
      <w:pPr>
        <w:widowControl/>
        <w:jc w:val="left"/>
      </w:pPr>
    </w:p>
    <w:bookmarkEnd w:id="62"/>
    <w:p>
      <w:pPr>
        <w:pStyle w:val="2"/>
        <w:widowControl/>
        <w:jc w:val="left"/>
      </w:pPr>
      <w:bookmarkStart w:id="86" w:name="_Toc7944"/>
      <w:bookmarkStart w:id="87" w:name="_GoBack"/>
      <w:bookmarkEnd w:id="87"/>
      <w:r>
        <w:t>验算结论</w:t>
      </w:r>
      <w:bookmarkEnd w:id="86"/>
    </w:p>
    <w:tbl>
      <w:tblPr>
        <w:tblStyle w:val="20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3112"/>
        <w:gridCol w:w="1811"/>
        <w:gridCol w:w="1811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DEDEDE"/>
            <w:vAlign w:val="center"/>
          </w:tcPr>
          <w:p>
            <w:r>
              <w:t>类型</w:t>
            </w:r>
          </w:p>
        </w:tc>
        <w:tc>
          <w:tcPr>
            <w:shd w:val="clear" w:color="auto" w:fill="DEDEDE"/>
            <w:vAlign w:val="center"/>
          </w:tcPr>
          <w:p>
            <w:r>
              <w:t>构造</w:t>
            </w:r>
          </w:p>
        </w:tc>
        <w:tc>
          <w:tcPr>
            <w:shd w:val="clear" w:color="auto" w:fill="DEDEDE"/>
            <w:vAlign w:val="center"/>
          </w:tcPr>
          <w:p>
            <w:r>
              <w:t>增量限值(%)</w:t>
            </w:r>
          </w:p>
        </w:tc>
        <w:tc>
          <w:tcPr>
            <w:shd w:val="clear" w:color="auto" w:fill="DEDEDE"/>
            <w:vAlign w:val="center"/>
          </w:tcPr>
          <w:p>
            <w:r>
              <w:t>实际增量(%)</w:t>
            </w:r>
          </w:p>
        </w:tc>
        <w:tc>
          <w:tcPr>
            <w:shd w:val="clear" w:color="auto" w:fill="DEDEDE"/>
            <w:vAlign w:val="center"/>
          </w:tcPr>
          <w:p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屋顶</w:t>
            </w:r>
          </w:p>
        </w:tc>
        <w:tc>
          <w:tcPr>
            <w:vAlign w:val="center"/>
          </w:tcPr>
          <w:p>
            <w:r>
              <w:t>屋顶构造一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</w:t>
            </w:r>
          </w:p>
        </w:tc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阳台隔墙</w:t>
            </w:r>
          </w:p>
        </w:tc>
        <w:tc>
          <w:tcPr>
            <w:vAlign w:val="center"/>
          </w:tcPr>
          <w:p>
            <w:r>
              <w:t>阳台隔墙构造一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</w:tbl>
    <w:p>
      <w:pPr>
        <w:widowControl/>
        <w:jc w:val="left"/>
      </w:pPr>
    </w:p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</w:pPr>
    <w:r>
      <w:rPr>
        <w:rFonts w:hint="eastAsia" w:ascii="宋体" w:hAnsi="宋体"/>
        <w:sz w:val="21"/>
        <w:szCs w:val="21"/>
      </w:rPr>
      <w:t xml:space="preserve">第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PAGE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6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/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NUMPAGES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6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both"/>
    </w:pPr>
    <w:r>
      <w:drawing>
        <wp:inline distT="0" distB="0" distL="0" distR="0">
          <wp:extent cx="857250" cy="161925"/>
          <wp:effectExtent l="0" t="0" r="0" b="0"/>
          <wp:docPr id="61" name="图片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图片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Times New Roman" w:hAnsi="Times New Roman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69497065"/>
    <w:multiLevelType w:val="multilevel"/>
    <w:tmpl w:val="69497065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ljNGQ2Y2E5NGE5ZjliMWU0NTVhOGQ2MTI1MDM0ZGMifQ=="/>
  </w:docVars>
  <w:rsids>
    <w:rsidRoot w:val="764105D9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5D28"/>
    <w:rsid w:val="00090856"/>
    <w:rsid w:val="00091778"/>
    <w:rsid w:val="0009767D"/>
    <w:rsid w:val="000A2E66"/>
    <w:rsid w:val="000B0926"/>
    <w:rsid w:val="000B176F"/>
    <w:rsid w:val="000B2704"/>
    <w:rsid w:val="000B2C23"/>
    <w:rsid w:val="000B701F"/>
    <w:rsid w:val="000B7039"/>
    <w:rsid w:val="000D642C"/>
    <w:rsid w:val="000E3800"/>
    <w:rsid w:val="000E4E4E"/>
    <w:rsid w:val="000E5450"/>
    <w:rsid w:val="000F15E2"/>
    <w:rsid w:val="000F338B"/>
    <w:rsid w:val="000F48DF"/>
    <w:rsid w:val="000F5B88"/>
    <w:rsid w:val="001009AE"/>
    <w:rsid w:val="00116DB2"/>
    <w:rsid w:val="00117F3E"/>
    <w:rsid w:val="00124491"/>
    <w:rsid w:val="001577F0"/>
    <w:rsid w:val="001611A7"/>
    <w:rsid w:val="00161E2D"/>
    <w:rsid w:val="00162EF0"/>
    <w:rsid w:val="00171BFE"/>
    <w:rsid w:val="0017677D"/>
    <w:rsid w:val="001814D3"/>
    <w:rsid w:val="001828CC"/>
    <w:rsid w:val="00184C94"/>
    <w:rsid w:val="00186508"/>
    <w:rsid w:val="00191451"/>
    <w:rsid w:val="001937AD"/>
    <w:rsid w:val="0019614D"/>
    <w:rsid w:val="001A36CC"/>
    <w:rsid w:val="001A387C"/>
    <w:rsid w:val="001B6C9B"/>
    <w:rsid w:val="001B7877"/>
    <w:rsid w:val="001C00E7"/>
    <w:rsid w:val="001C5A7B"/>
    <w:rsid w:val="001E4004"/>
    <w:rsid w:val="001F3390"/>
    <w:rsid w:val="001F4F6C"/>
    <w:rsid w:val="00231194"/>
    <w:rsid w:val="0024070B"/>
    <w:rsid w:val="00240EC2"/>
    <w:rsid w:val="0027727F"/>
    <w:rsid w:val="00282DF5"/>
    <w:rsid w:val="002A5E42"/>
    <w:rsid w:val="002B2C77"/>
    <w:rsid w:val="002B5E55"/>
    <w:rsid w:val="002B76E4"/>
    <w:rsid w:val="002D6B2F"/>
    <w:rsid w:val="002E1B9B"/>
    <w:rsid w:val="0030652E"/>
    <w:rsid w:val="003124C0"/>
    <w:rsid w:val="003200B7"/>
    <w:rsid w:val="00332516"/>
    <w:rsid w:val="003344E6"/>
    <w:rsid w:val="003409F3"/>
    <w:rsid w:val="00345CB2"/>
    <w:rsid w:val="00345E18"/>
    <w:rsid w:val="00347F24"/>
    <w:rsid w:val="0035328F"/>
    <w:rsid w:val="00353501"/>
    <w:rsid w:val="00376607"/>
    <w:rsid w:val="00377277"/>
    <w:rsid w:val="00386168"/>
    <w:rsid w:val="003939B0"/>
    <w:rsid w:val="003A69B5"/>
    <w:rsid w:val="003A6EFB"/>
    <w:rsid w:val="003B6F8A"/>
    <w:rsid w:val="003C2C73"/>
    <w:rsid w:val="003E5517"/>
    <w:rsid w:val="003F135F"/>
    <w:rsid w:val="003F6427"/>
    <w:rsid w:val="00400FD8"/>
    <w:rsid w:val="004300F4"/>
    <w:rsid w:val="00430148"/>
    <w:rsid w:val="00431405"/>
    <w:rsid w:val="00447C20"/>
    <w:rsid w:val="00452E2F"/>
    <w:rsid w:val="004556B3"/>
    <w:rsid w:val="00464AC4"/>
    <w:rsid w:val="00467230"/>
    <w:rsid w:val="0049117E"/>
    <w:rsid w:val="00491C89"/>
    <w:rsid w:val="00495EFD"/>
    <w:rsid w:val="004A676E"/>
    <w:rsid w:val="004B1BD3"/>
    <w:rsid w:val="004B2B00"/>
    <w:rsid w:val="004B5CEB"/>
    <w:rsid w:val="004C2C08"/>
    <w:rsid w:val="004C416D"/>
    <w:rsid w:val="004C772F"/>
    <w:rsid w:val="004C7C6B"/>
    <w:rsid w:val="004D29C2"/>
    <w:rsid w:val="004E31C9"/>
    <w:rsid w:val="004E53B8"/>
    <w:rsid w:val="005012CD"/>
    <w:rsid w:val="00504D39"/>
    <w:rsid w:val="0050552D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7B03"/>
    <w:rsid w:val="005734B3"/>
    <w:rsid w:val="00574037"/>
    <w:rsid w:val="005A30A0"/>
    <w:rsid w:val="005A4C09"/>
    <w:rsid w:val="005A6A34"/>
    <w:rsid w:val="005B01B5"/>
    <w:rsid w:val="005B73FD"/>
    <w:rsid w:val="005E215F"/>
    <w:rsid w:val="0060196C"/>
    <w:rsid w:val="00601C56"/>
    <w:rsid w:val="00606705"/>
    <w:rsid w:val="006134C5"/>
    <w:rsid w:val="00635599"/>
    <w:rsid w:val="00635CEC"/>
    <w:rsid w:val="0063600F"/>
    <w:rsid w:val="00640D3D"/>
    <w:rsid w:val="006648EC"/>
    <w:rsid w:val="00673F68"/>
    <w:rsid w:val="00674D10"/>
    <w:rsid w:val="00685502"/>
    <w:rsid w:val="00693E06"/>
    <w:rsid w:val="006A7613"/>
    <w:rsid w:val="006B7EC3"/>
    <w:rsid w:val="006C2E11"/>
    <w:rsid w:val="006C56DD"/>
    <w:rsid w:val="006E0F6C"/>
    <w:rsid w:val="006E678B"/>
    <w:rsid w:val="006F3495"/>
    <w:rsid w:val="00707791"/>
    <w:rsid w:val="0071259B"/>
    <w:rsid w:val="00715DF4"/>
    <w:rsid w:val="007171C5"/>
    <w:rsid w:val="00721641"/>
    <w:rsid w:val="00725F84"/>
    <w:rsid w:val="00730C7D"/>
    <w:rsid w:val="00762CFD"/>
    <w:rsid w:val="00772865"/>
    <w:rsid w:val="00777E12"/>
    <w:rsid w:val="00790E85"/>
    <w:rsid w:val="007932A0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800874"/>
    <w:rsid w:val="00804FEA"/>
    <w:rsid w:val="0083156B"/>
    <w:rsid w:val="00841D90"/>
    <w:rsid w:val="00843DEA"/>
    <w:rsid w:val="0084571F"/>
    <w:rsid w:val="008469FD"/>
    <w:rsid w:val="0085517B"/>
    <w:rsid w:val="0086069E"/>
    <w:rsid w:val="00860C37"/>
    <w:rsid w:val="00873755"/>
    <w:rsid w:val="00894904"/>
    <w:rsid w:val="0089552D"/>
    <w:rsid w:val="008A6C16"/>
    <w:rsid w:val="008C68C6"/>
    <w:rsid w:val="008E5546"/>
    <w:rsid w:val="008F04DC"/>
    <w:rsid w:val="008F15DA"/>
    <w:rsid w:val="008F3FF5"/>
    <w:rsid w:val="008F4BB6"/>
    <w:rsid w:val="008F7783"/>
    <w:rsid w:val="0092041B"/>
    <w:rsid w:val="00921307"/>
    <w:rsid w:val="00935543"/>
    <w:rsid w:val="009401C7"/>
    <w:rsid w:val="009470F7"/>
    <w:rsid w:val="00960A51"/>
    <w:rsid w:val="00960FE3"/>
    <w:rsid w:val="00970E7C"/>
    <w:rsid w:val="00971DC8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563B"/>
    <w:rsid w:val="00A32761"/>
    <w:rsid w:val="00A351F6"/>
    <w:rsid w:val="00A454B0"/>
    <w:rsid w:val="00A57369"/>
    <w:rsid w:val="00A63B8E"/>
    <w:rsid w:val="00A63FAA"/>
    <w:rsid w:val="00A64605"/>
    <w:rsid w:val="00A84E26"/>
    <w:rsid w:val="00A906F7"/>
    <w:rsid w:val="00A924CF"/>
    <w:rsid w:val="00A92962"/>
    <w:rsid w:val="00A97E4F"/>
    <w:rsid w:val="00AA656C"/>
    <w:rsid w:val="00AB03BE"/>
    <w:rsid w:val="00AB4689"/>
    <w:rsid w:val="00AB713E"/>
    <w:rsid w:val="00AB7A40"/>
    <w:rsid w:val="00AC1527"/>
    <w:rsid w:val="00AC7E8F"/>
    <w:rsid w:val="00AD4B59"/>
    <w:rsid w:val="00AE0113"/>
    <w:rsid w:val="00AF1110"/>
    <w:rsid w:val="00B06145"/>
    <w:rsid w:val="00B12132"/>
    <w:rsid w:val="00B16E92"/>
    <w:rsid w:val="00B227E6"/>
    <w:rsid w:val="00B23996"/>
    <w:rsid w:val="00B35129"/>
    <w:rsid w:val="00B505F2"/>
    <w:rsid w:val="00B512B1"/>
    <w:rsid w:val="00B52CF8"/>
    <w:rsid w:val="00B5734A"/>
    <w:rsid w:val="00B63B08"/>
    <w:rsid w:val="00B658C0"/>
    <w:rsid w:val="00B801D9"/>
    <w:rsid w:val="00B8711B"/>
    <w:rsid w:val="00B905F7"/>
    <w:rsid w:val="00B970F9"/>
    <w:rsid w:val="00BA0784"/>
    <w:rsid w:val="00BA0B17"/>
    <w:rsid w:val="00BA56E7"/>
    <w:rsid w:val="00BC7076"/>
    <w:rsid w:val="00BD0D2A"/>
    <w:rsid w:val="00BE2D61"/>
    <w:rsid w:val="00BF59AD"/>
    <w:rsid w:val="00C011AF"/>
    <w:rsid w:val="00C026F3"/>
    <w:rsid w:val="00C054D0"/>
    <w:rsid w:val="00C10401"/>
    <w:rsid w:val="00C20461"/>
    <w:rsid w:val="00C34844"/>
    <w:rsid w:val="00C36178"/>
    <w:rsid w:val="00C60674"/>
    <w:rsid w:val="00C60D5D"/>
    <w:rsid w:val="00C66112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45640"/>
    <w:rsid w:val="00D46BD1"/>
    <w:rsid w:val="00D47A95"/>
    <w:rsid w:val="00D528E7"/>
    <w:rsid w:val="00D55050"/>
    <w:rsid w:val="00D562E0"/>
    <w:rsid w:val="00D60B8C"/>
    <w:rsid w:val="00D60BFB"/>
    <w:rsid w:val="00D62D4B"/>
    <w:rsid w:val="00D7656E"/>
    <w:rsid w:val="00D772A9"/>
    <w:rsid w:val="00D801D5"/>
    <w:rsid w:val="00D92904"/>
    <w:rsid w:val="00D92A2B"/>
    <w:rsid w:val="00DA48B1"/>
    <w:rsid w:val="00DA7566"/>
    <w:rsid w:val="00DC0007"/>
    <w:rsid w:val="00DC2299"/>
    <w:rsid w:val="00DC40FC"/>
    <w:rsid w:val="00DD0640"/>
    <w:rsid w:val="00DD0B5D"/>
    <w:rsid w:val="00DF5D40"/>
    <w:rsid w:val="00E0221C"/>
    <w:rsid w:val="00E05C35"/>
    <w:rsid w:val="00E138F9"/>
    <w:rsid w:val="00E26A44"/>
    <w:rsid w:val="00E273C9"/>
    <w:rsid w:val="00E3077E"/>
    <w:rsid w:val="00E309AF"/>
    <w:rsid w:val="00E35757"/>
    <w:rsid w:val="00E43223"/>
    <w:rsid w:val="00E461BA"/>
    <w:rsid w:val="00E47CA8"/>
    <w:rsid w:val="00E550E9"/>
    <w:rsid w:val="00E62CAB"/>
    <w:rsid w:val="00E631B6"/>
    <w:rsid w:val="00E70F18"/>
    <w:rsid w:val="00E94DAA"/>
    <w:rsid w:val="00EA2DCF"/>
    <w:rsid w:val="00EA5041"/>
    <w:rsid w:val="00EA67B5"/>
    <w:rsid w:val="00EB1894"/>
    <w:rsid w:val="00EB4739"/>
    <w:rsid w:val="00EB73E7"/>
    <w:rsid w:val="00EC0097"/>
    <w:rsid w:val="00EC091B"/>
    <w:rsid w:val="00EE1B15"/>
    <w:rsid w:val="00EF3F30"/>
    <w:rsid w:val="00F0466A"/>
    <w:rsid w:val="00F11D8A"/>
    <w:rsid w:val="00F206C5"/>
    <w:rsid w:val="00F2136F"/>
    <w:rsid w:val="00F2650F"/>
    <w:rsid w:val="00F32A1B"/>
    <w:rsid w:val="00F3652C"/>
    <w:rsid w:val="00F40508"/>
    <w:rsid w:val="00F52375"/>
    <w:rsid w:val="00F54048"/>
    <w:rsid w:val="00F579EF"/>
    <w:rsid w:val="00F645AA"/>
    <w:rsid w:val="00F80BF0"/>
    <w:rsid w:val="00F9357F"/>
    <w:rsid w:val="00F94530"/>
    <w:rsid w:val="00F94640"/>
    <w:rsid w:val="00F94707"/>
    <w:rsid w:val="00F951D3"/>
    <w:rsid w:val="00FB2E10"/>
    <w:rsid w:val="00FB4EEB"/>
    <w:rsid w:val="00FC25B1"/>
    <w:rsid w:val="00FC29E3"/>
    <w:rsid w:val="00FC41F8"/>
    <w:rsid w:val="00FE2B54"/>
    <w:rsid w:val="00FE48A4"/>
    <w:rsid w:val="00FF517B"/>
    <w:rsid w:val="00FF5295"/>
    <w:rsid w:val="00FF6537"/>
    <w:rsid w:val="7641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link w:val="39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31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32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33"/>
    <w:qFormat/>
    <w:uiPriority w:val="0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7">
    <w:name w:val="heading 5"/>
    <w:basedOn w:val="1"/>
    <w:next w:val="1"/>
    <w:link w:val="34"/>
    <w:qFormat/>
    <w:uiPriority w:val="0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8">
    <w:name w:val="heading 6"/>
    <w:basedOn w:val="1"/>
    <w:next w:val="1"/>
    <w:link w:val="35"/>
    <w:qFormat/>
    <w:uiPriority w:val="0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9">
    <w:name w:val="heading 7"/>
    <w:basedOn w:val="1"/>
    <w:next w:val="1"/>
    <w:link w:val="36"/>
    <w:qFormat/>
    <w:uiPriority w:val="0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10">
    <w:name w:val="heading 8"/>
    <w:basedOn w:val="1"/>
    <w:next w:val="1"/>
    <w:link w:val="37"/>
    <w:qFormat/>
    <w:uiPriority w:val="0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11">
    <w:name w:val="heading 9"/>
    <w:basedOn w:val="1"/>
    <w:next w:val="1"/>
    <w:link w:val="38"/>
    <w:qFormat/>
    <w:uiPriority w:val="0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uiPriority w:val="39"/>
    <w:pPr>
      <w:ind w:left="840" w:leftChars="400"/>
    </w:pPr>
  </w:style>
  <w:style w:type="paragraph" w:styleId="14">
    <w:name w:val="Balloon Text"/>
    <w:basedOn w:val="1"/>
    <w:link w:val="42"/>
    <w:uiPriority w:val="0"/>
    <w:rPr>
      <w:sz w:val="18"/>
      <w:szCs w:val="18"/>
    </w:rPr>
  </w:style>
  <w:style w:type="paragraph" w:styleId="15">
    <w:name w:val="footer"/>
    <w:basedOn w:val="1"/>
    <w:link w:val="2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2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uiPriority w:val="39"/>
    <w:rPr>
      <w:b/>
    </w:rPr>
  </w:style>
  <w:style w:type="paragraph" w:styleId="18">
    <w:name w:val="toc 2"/>
    <w:basedOn w:val="1"/>
    <w:next w:val="1"/>
    <w:uiPriority w:val="39"/>
    <w:pPr>
      <w:ind w:left="420" w:leftChars="200"/>
    </w:pPr>
  </w:style>
  <w:style w:type="paragraph" w:styleId="19">
    <w:name w:val="Title"/>
    <w:basedOn w:val="1"/>
    <w:next w:val="1"/>
    <w:link w:val="29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21">
    <w:name w:val="Table Grid"/>
    <w:basedOn w:val="2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page number"/>
    <w:basedOn w:val="22"/>
    <w:uiPriority w:val="0"/>
  </w:style>
  <w:style w:type="character" w:styleId="24">
    <w:name w:val="Hyperlink"/>
    <w:unhideWhenUsed/>
    <w:uiPriority w:val="99"/>
    <w:rPr>
      <w:color w:val="0563C1"/>
      <w:u w:val="single"/>
    </w:rPr>
  </w:style>
  <w:style w:type="character" w:customStyle="1" w:styleId="25">
    <w:name w:val="页眉 字符1"/>
    <w:link w:val="16"/>
    <w:uiPriority w:val="0"/>
    <w:rPr>
      <w:kern w:val="2"/>
      <w:sz w:val="18"/>
      <w:szCs w:val="18"/>
    </w:rPr>
  </w:style>
  <w:style w:type="character" w:customStyle="1" w:styleId="26">
    <w:name w:val="页脚 字符1"/>
    <w:link w:val="15"/>
    <w:uiPriority w:val="99"/>
    <w:rPr>
      <w:kern w:val="2"/>
      <w:sz w:val="18"/>
      <w:szCs w:val="18"/>
    </w:rPr>
  </w:style>
  <w:style w:type="character" w:customStyle="1" w:styleId="27">
    <w:name w:val="页眉 字符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页脚 字符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标题 字符"/>
    <w:link w:val="19"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30">
    <w:name w:val="标题 1 Char"/>
    <w:qFormat/>
    <w:uiPriority w:val="0"/>
    <w:rPr>
      <w:b/>
      <w:bCs/>
      <w:kern w:val="44"/>
      <w:sz w:val="44"/>
      <w:szCs w:val="44"/>
    </w:rPr>
  </w:style>
  <w:style w:type="character" w:customStyle="1" w:styleId="31">
    <w:name w:val="标题 2 字符1"/>
    <w:link w:val="4"/>
    <w:qFormat/>
    <w:uiPriority w:val="0"/>
    <w:rPr>
      <w:rFonts w:ascii="宋体" w:cs="Arial"/>
      <w:b/>
      <w:bCs/>
      <w:iCs/>
      <w:color w:val="000000"/>
      <w:sz w:val="24"/>
      <w:szCs w:val="24"/>
    </w:rPr>
  </w:style>
  <w:style w:type="character" w:customStyle="1" w:styleId="32">
    <w:name w:val="标题 3 字符"/>
    <w:link w:val="5"/>
    <w:uiPriority w:val="0"/>
    <w:rPr>
      <w:rFonts w:ascii="宋体" w:hAnsi="宋体" w:cs="Arial"/>
      <w:b/>
      <w:bCs/>
      <w:sz w:val="21"/>
      <w:szCs w:val="21"/>
    </w:rPr>
  </w:style>
  <w:style w:type="character" w:customStyle="1" w:styleId="33">
    <w:name w:val="标题 4 字符"/>
    <w:link w:val="6"/>
    <w:uiPriority w:val="0"/>
    <w:rPr>
      <w:b/>
      <w:bCs/>
      <w:sz w:val="21"/>
      <w:szCs w:val="28"/>
      <w:lang w:val="en-GB"/>
    </w:rPr>
  </w:style>
  <w:style w:type="character" w:customStyle="1" w:styleId="34">
    <w:name w:val="标题 5 字符"/>
    <w:link w:val="7"/>
    <w:uiPriority w:val="0"/>
    <w:rPr>
      <w:b/>
      <w:bCs/>
      <w:iCs/>
      <w:sz w:val="21"/>
      <w:szCs w:val="26"/>
      <w:lang w:val="en-GB"/>
    </w:rPr>
  </w:style>
  <w:style w:type="character" w:customStyle="1" w:styleId="35">
    <w:name w:val="标题 6 字符"/>
    <w:link w:val="8"/>
    <w:uiPriority w:val="0"/>
    <w:rPr>
      <w:b/>
      <w:bCs/>
      <w:sz w:val="21"/>
      <w:szCs w:val="22"/>
      <w:lang w:val="en-GB"/>
    </w:rPr>
  </w:style>
  <w:style w:type="character" w:customStyle="1" w:styleId="36">
    <w:name w:val="标题 7 字符"/>
    <w:link w:val="9"/>
    <w:uiPriority w:val="0"/>
    <w:rPr>
      <w:sz w:val="24"/>
      <w:szCs w:val="24"/>
      <w:lang w:val="en-GB"/>
    </w:rPr>
  </w:style>
  <w:style w:type="character" w:customStyle="1" w:styleId="37">
    <w:name w:val="标题 8 字符"/>
    <w:link w:val="10"/>
    <w:uiPriority w:val="0"/>
    <w:rPr>
      <w:i/>
      <w:iCs/>
      <w:sz w:val="24"/>
      <w:szCs w:val="24"/>
      <w:lang w:val="en-GB"/>
    </w:rPr>
  </w:style>
  <w:style w:type="character" w:customStyle="1" w:styleId="38">
    <w:name w:val="标题 9 字符"/>
    <w:link w:val="11"/>
    <w:uiPriority w:val="0"/>
    <w:rPr>
      <w:rFonts w:ascii="Arial" w:hAnsi="Arial" w:cs="Arial"/>
      <w:sz w:val="22"/>
      <w:szCs w:val="22"/>
      <w:lang w:val="en-GB"/>
    </w:rPr>
  </w:style>
  <w:style w:type="character" w:customStyle="1" w:styleId="39">
    <w:name w:val="标题 1 字符"/>
    <w:link w:val="2"/>
    <w:uiPriority w:val="0"/>
    <w:rPr>
      <w:b/>
      <w:bCs/>
      <w:kern w:val="32"/>
      <w:sz w:val="28"/>
      <w:szCs w:val="28"/>
    </w:rPr>
  </w:style>
  <w:style w:type="character" w:customStyle="1" w:styleId="40">
    <w:name w:val="标题 2 字符"/>
    <w:uiPriority w:val="0"/>
    <w:rPr>
      <w:rFonts w:ascii="宋体" w:hAnsi="Times New Roman" w:eastAsia="宋体" w:cs="Arial"/>
      <w:b/>
      <w:bCs/>
      <w:iCs/>
      <w:color w:val="000000"/>
      <w:kern w:val="0"/>
      <w:sz w:val="24"/>
      <w:szCs w:val="24"/>
    </w:rPr>
  </w:style>
  <w:style w:type="paragraph" w:styleId="41">
    <w:name w:val="List Paragraph"/>
    <w:basedOn w:val="1"/>
    <w:qFormat/>
    <w:uiPriority w:val="34"/>
    <w:pPr>
      <w:ind w:firstLine="420" w:firstLineChars="200"/>
    </w:pPr>
  </w:style>
  <w:style w:type="character" w:customStyle="1" w:styleId="42">
    <w:name w:val="批注框文本 字符"/>
    <w:link w:val="14"/>
    <w:uiPriority w:val="0"/>
    <w:rPr>
      <w:kern w:val="2"/>
      <w:sz w:val="18"/>
      <w:szCs w:val="18"/>
    </w:rPr>
  </w:style>
  <w:style w:type="character" w:styleId="43">
    <w:name w:val="Placeholder Text"/>
    <w:semiHidden/>
    <w:uiPriority w:val="99"/>
    <w:rPr>
      <w:color w:val="808080"/>
    </w:rPr>
  </w:style>
  <w:style w:type="paragraph" w:customStyle="1" w:styleId="44">
    <w:name w:val="TOC Heading"/>
    <w:basedOn w:val="2"/>
    <w:next w:val="1"/>
    <w:qFormat/>
    <w:uiPriority w:val="39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45">
    <w:name w:val="页眉 Char1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3.wmf"/><Relationship Id="rId78" Type="http://schemas.openxmlformats.org/officeDocument/2006/relationships/fontTable" Target="fontTable.xml"/><Relationship Id="rId77" Type="http://schemas.openxmlformats.org/officeDocument/2006/relationships/customXml" Target="../customXml/item1.xml"/><Relationship Id="rId76" Type="http://schemas.openxmlformats.org/officeDocument/2006/relationships/numbering" Target="numbering.xml"/><Relationship Id="rId75" Type="http://schemas.openxmlformats.org/officeDocument/2006/relationships/oleObject" Target="embeddings/oleObject44.bin"/><Relationship Id="rId74" Type="http://schemas.openxmlformats.org/officeDocument/2006/relationships/oleObject" Target="embeddings/oleObject43.bin"/><Relationship Id="rId73" Type="http://schemas.openxmlformats.org/officeDocument/2006/relationships/oleObject" Target="embeddings/oleObject42.bin"/><Relationship Id="rId72" Type="http://schemas.openxmlformats.org/officeDocument/2006/relationships/oleObject" Target="embeddings/oleObject41.bin"/><Relationship Id="rId71" Type="http://schemas.openxmlformats.org/officeDocument/2006/relationships/oleObject" Target="embeddings/oleObject40.bin"/><Relationship Id="rId70" Type="http://schemas.openxmlformats.org/officeDocument/2006/relationships/oleObject" Target="embeddings/oleObject39.bin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8.bin"/><Relationship Id="rId68" Type="http://schemas.openxmlformats.org/officeDocument/2006/relationships/oleObject" Target="embeddings/oleObject37.bin"/><Relationship Id="rId67" Type="http://schemas.openxmlformats.org/officeDocument/2006/relationships/oleObject" Target="embeddings/oleObject36.bin"/><Relationship Id="rId66" Type="http://schemas.openxmlformats.org/officeDocument/2006/relationships/oleObject" Target="embeddings/oleObject35.bin"/><Relationship Id="rId65" Type="http://schemas.openxmlformats.org/officeDocument/2006/relationships/oleObject" Target="embeddings/oleObject34.bin"/><Relationship Id="rId64" Type="http://schemas.openxmlformats.org/officeDocument/2006/relationships/oleObject" Target="embeddings/oleObject33.bin"/><Relationship Id="rId63" Type="http://schemas.openxmlformats.org/officeDocument/2006/relationships/oleObject" Target="embeddings/oleObject32.bin"/><Relationship Id="rId62" Type="http://schemas.openxmlformats.org/officeDocument/2006/relationships/oleObject" Target="embeddings/oleObject31.bin"/><Relationship Id="rId61" Type="http://schemas.openxmlformats.org/officeDocument/2006/relationships/oleObject" Target="embeddings/oleObject30.bin"/><Relationship Id="rId60" Type="http://schemas.openxmlformats.org/officeDocument/2006/relationships/oleObject" Target="embeddings/oleObject29.bin"/><Relationship Id="rId6" Type="http://schemas.openxmlformats.org/officeDocument/2006/relationships/image" Target="media/image2.bmp"/><Relationship Id="rId59" Type="http://schemas.openxmlformats.org/officeDocument/2006/relationships/oleObject" Target="embeddings/oleObject28.bin"/><Relationship Id="rId58" Type="http://schemas.openxmlformats.org/officeDocument/2006/relationships/oleObject" Target="embeddings/oleObject27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6.bin"/><Relationship Id="rId55" Type="http://schemas.openxmlformats.org/officeDocument/2006/relationships/oleObject" Target="embeddings/oleObject25.bin"/><Relationship Id="rId54" Type="http://schemas.openxmlformats.org/officeDocument/2006/relationships/oleObject" Target="embeddings/oleObject24.bin"/><Relationship Id="rId53" Type="http://schemas.openxmlformats.org/officeDocument/2006/relationships/oleObject" Target="embeddings/oleObject23.bin"/><Relationship Id="rId52" Type="http://schemas.openxmlformats.org/officeDocument/2006/relationships/image" Target="media/image26.wmf"/><Relationship Id="rId51" Type="http://schemas.openxmlformats.org/officeDocument/2006/relationships/oleObject" Target="embeddings/oleObject22.bin"/><Relationship Id="rId50" Type="http://schemas.openxmlformats.org/officeDocument/2006/relationships/image" Target="media/image25.wmf"/><Relationship Id="rId5" Type="http://schemas.openxmlformats.org/officeDocument/2006/relationships/theme" Target="theme/theme1.xml"/><Relationship Id="rId49" Type="http://schemas.openxmlformats.org/officeDocument/2006/relationships/oleObject" Target="embeddings/oleObject21.bin"/><Relationship Id="rId48" Type="http://schemas.openxmlformats.org/officeDocument/2006/relationships/image" Target="media/image24.wmf"/><Relationship Id="rId47" Type="http://schemas.openxmlformats.org/officeDocument/2006/relationships/oleObject" Target="embeddings/oleObject20.bin"/><Relationship Id="rId46" Type="http://schemas.openxmlformats.org/officeDocument/2006/relationships/image" Target="media/image23.wmf"/><Relationship Id="rId45" Type="http://schemas.openxmlformats.org/officeDocument/2006/relationships/oleObject" Target="embeddings/oleObject19.bin"/><Relationship Id="rId44" Type="http://schemas.openxmlformats.org/officeDocument/2006/relationships/image" Target="media/image22.wmf"/><Relationship Id="rId43" Type="http://schemas.openxmlformats.org/officeDocument/2006/relationships/oleObject" Target="embeddings/oleObject18.bin"/><Relationship Id="rId42" Type="http://schemas.openxmlformats.org/officeDocument/2006/relationships/image" Target="media/image21.wmf"/><Relationship Id="rId41" Type="http://schemas.openxmlformats.org/officeDocument/2006/relationships/oleObject" Target="embeddings/oleObject17.bin"/><Relationship Id="rId40" Type="http://schemas.openxmlformats.org/officeDocument/2006/relationships/image" Target="media/image20.wmf"/><Relationship Id="rId4" Type="http://schemas.openxmlformats.org/officeDocument/2006/relationships/footer" Target="footer1.xml"/><Relationship Id="rId39" Type="http://schemas.openxmlformats.org/officeDocument/2006/relationships/oleObject" Target="embeddings/oleObject16.bin"/><Relationship Id="rId38" Type="http://schemas.openxmlformats.org/officeDocument/2006/relationships/image" Target="media/image19.wmf"/><Relationship Id="rId37" Type="http://schemas.openxmlformats.org/officeDocument/2006/relationships/oleObject" Target="embeddings/oleObject15.bin"/><Relationship Id="rId36" Type="http://schemas.openxmlformats.org/officeDocument/2006/relationships/image" Target="media/image18.wmf"/><Relationship Id="rId35" Type="http://schemas.openxmlformats.org/officeDocument/2006/relationships/oleObject" Target="embeddings/oleObject14.bin"/><Relationship Id="rId34" Type="http://schemas.openxmlformats.org/officeDocument/2006/relationships/image" Target="media/image17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6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5.wmf"/><Relationship Id="rId3" Type="http://schemas.openxmlformats.org/officeDocument/2006/relationships/header" Target="header1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4.wmf"/><Relationship Id="rId27" Type="http://schemas.openxmlformats.org/officeDocument/2006/relationships/oleObject" Target="embeddings/oleObject10.bin"/><Relationship Id="rId26" Type="http://schemas.openxmlformats.org/officeDocument/2006/relationships/image" Target="media/image13.wmf"/><Relationship Id="rId25" Type="http://schemas.openxmlformats.org/officeDocument/2006/relationships/oleObject" Target="embeddings/oleObject9.bin"/><Relationship Id="rId24" Type="http://schemas.openxmlformats.org/officeDocument/2006/relationships/image" Target="media/image12.wmf"/><Relationship Id="rId23" Type="http://schemas.openxmlformats.org/officeDocument/2006/relationships/oleObject" Target="embeddings/oleObject8.bin"/><Relationship Id="rId22" Type="http://schemas.openxmlformats.org/officeDocument/2006/relationships/image" Target="media/image11.wmf"/><Relationship Id="rId21" Type="http://schemas.openxmlformats.org/officeDocument/2006/relationships/oleObject" Target="embeddings/oleObject7.bin"/><Relationship Id="rId20" Type="http://schemas.openxmlformats.org/officeDocument/2006/relationships/image" Target="media/image10.png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image" Target="media/image8.wmf"/><Relationship Id="rId17" Type="http://schemas.openxmlformats.org/officeDocument/2006/relationships/oleObject" Target="embeddings/oleObject6.bin"/><Relationship Id="rId16" Type="http://schemas.openxmlformats.org/officeDocument/2006/relationships/image" Target="media/image7.wmf"/><Relationship Id="rId15" Type="http://schemas.openxmlformats.org/officeDocument/2006/relationships/oleObject" Target="embeddings/oleObject5.bin"/><Relationship Id="rId14" Type="http://schemas.openxmlformats.org/officeDocument/2006/relationships/image" Target="media/image6.wmf"/><Relationship Id="rId13" Type="http://schemas.openxmlformats.org/officeDocument/2006/relationships/oleObject" Target="embeddings/oleObject4.bin"/><Relationship Id="rId12" Type="http://schemas.openxmlformats.org/officeDocument/2006/relationships/image" Target="media/image5.wmf"/><Relationship Id="rId11" Type="http://schemas.openxmlformats.org/officeDocument/2006/relationships/oleObject" Target="embeddings/oleObject3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HUI\AppData\Local\Temp\tmp6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00CBD-2BB4-4C8C-B79D-CC4AFF803B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tmp6.dotx</Template>
  <Pages>8</Pages>
  <Words>2299</Words>
  <Characters>3283</Characters>
  <Lines>27</Lines>
  <Paragraphs>7</Paragraphs>
  <TotalTime>0</TotalTime>
  <ScaleCrop>false</ScaleCrop>
  <LinksUpToDate>false</LinksUpToDate>
  <CharactersWithSpaces>3415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2023-11-22T02:30:00Z</dcterms:created>
  <dc:creator></dc:creator>
  <cp:lastModifiedBy></cp:lastModifiedBy>
  <dcterms:modified xsi:type="dcterms:W3CDTF">2023-11-22T02:30:39Z</dcterms:modified>
  <dc:title>防潮验算计算书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ICV">
    <vt:lpwstr>3BE2020AF46B4CDEADA79051922D50ED_11</vt:lpwstr>
  </property>
  <property fmtid="{D5CDD505-2E9C-101B-9397-08002B2CF9AE}" pid="4" name="KSOProductBuildVer">
    <vt:lpwstr>2052-12.1.0.15712</vt:lpwstr>
  </property>
</Properties>
</file>