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公共建筑－规定性指标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>
        <w:rPr>
          <w:rFonts w:hint="eastAsia" w:ascii="宋体" w:hAnsi="宋体"/>
          <w:bCs/>
          <w:sz w:val="32"/>
          <w:szCs w:val="32"/>
          <w:lang w:val="en-US"/>
        </w:rPr>
        <w:t>分散供暖空调</w:t>
      </w:r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rPr>
                <w:rFonts w:hint="eastAsia" w:ascii="宋体" w:hAnsi="宋体"/>
                <w:szCs w:val="21"/>
              </w:rPr>
              <w:t>祝家大集设计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辽宁-沈阳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2023年11月22日</w:t>
            </w:r>
            <w:bookmarkEnd w:id="9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T13774722166</w:t>
            </w:r>
            <w:bookmarkEnd w:id="13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_Toc20875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_Toc20875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_Toc7536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_Toc7536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_Toc21217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_Toc21217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_Toc18397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_Toc18397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_Toc18159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_Toc18159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_Toc5597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_Toc5597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_Toc21013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_Toc21013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_Toc14871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_Toc14871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_Toc9476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_Toc9476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_Toc20626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_Toc20626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_Toc18775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_Toc18775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_Toc27497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_Toc27497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_Toc9218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_Toc9218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_Toc4600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_Toc4600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_Toc25665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_Toc25665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_Toc11930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9.1.1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_Toc11930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_Toc2788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_Toc1843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_Toc21813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_Toc21813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_Toc32529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_Toc32529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_Toc28614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采暖与非采暖楼板</w:t>
      </w:r>
      <w:r>
        <w:tab/>
      </w:r>
      <w:r>
        <w:fldChar w:fldCharType="begin"/>
      </w:r>
      <w:r>
        <w:instrText xml:space="preserve"> PAGEREF _Toc28614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_Toc5367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13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_Toc5367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_Toc14566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13.1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_Toc14566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_Toc26181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13.2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_Toc26181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_Toc22418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13.3 </w:t>
      </w:r>
      <w:r>
        <w:rPr>
          <w:kern w:val="2"/>
          <w:szCs w:val="24"/>
          <w:lang w:val="en-US"/>
        </w:rPr>
        <w:t>平均遮阳系数</w:t>
      </w:r>
      <w:r>
        <w:tab/>
      </w:r>
      <w:r>
        <w:fldChar w:fldCharType="begin"/>
      </w:r>
      <w:r>
        <w:instrText xml:space="preserve"> PAGEREF _Toc22418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13.4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_Toc2205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_Toc21274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13.5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_Toc21274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_Toc21877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14 </w:t>
      </w:r>
      <w:r>
        <w:rPr>
          <w:kern w:val="2"/>
          <w:szCs w:val="24"/>
          <w:lang w:val="en-US"/>
        </w:rPr>
        <w:t>外门</w:t>
      </w:r>
      <w:r>
        <w:tab/>
      </w:r>
      <w:r>
        <w:fldChar w:fldCharType="begin"/>
      </w:r>
      <w:r>
        <w:instrText xml:space="preserve"> PAGEREF _Toc21877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_Toc30939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15 </w:t>
      </w:r>
      <w:r>
        <w:rPr>
          <w:kern w:val="2"/>
          <w:szCs w:val="24"/>
          <w:lang w:val="en-US"/>
        </w:rPr>
        <w:t>周边地面-控温</w:t>
      </w:r>
      <w:r>
        <w:tab/>
      </w:r>
      <w:r>
        <w:fldChar w:fldCharType="begin"/>
      </w:r>
      <w:r>
        <w:instrText xml:space="preserve"> PAGEREF _Toc30939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_Toc24438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15.1 </w:t>
      </w:r>
      <w:r>
        <w:rPr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_Toc24438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_Toc2223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16 </w:t>
      </w:r>
      <w:r>
        <w:rPr>
          <w:kern w:val="2"/>
          <w:szCs w:val="24"/>
          <w:lang w:val="en-US"/>
        </w:rPr>
        <w:t>非周边地面-控温</w:t>
      </w:r>
      <w:r>
        <w:tab/>
      </w:r>
      <w:r>
        <w:fldChar w:fldCharType="begin"/>
      </w:r>
      <w:r>
        <w:instrText xml:space="preserve"> PAGEREF _Toc2223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_Toc18329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16.1 </w:t>
      </w:r>
      <w:r>
        <w:rPr>
          <w:kern w:val="2"/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_Toc18329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_Toc9737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17 </w:t>
      </w:r>
      <w:r>
        <w:rPr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_Toc9737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_Toc6239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18 </w:t>
      </w:r>
      <w:r>
        <w:rPr>
          <w:kern w:val="2"/>
          <w:szCs w:val="24"/>
          <w:lang w:val="en-US"/>
        </w:rPr>
        <w:t>可开启面积</w:t>
      </w:r>
      <w:r>
        <w:tab/>
      </w:r>
      <w:r>
        <w:fldChar w:fldCharType="begin"/>
      </w:r>
      <w:r>
        <w:instrText xml:space="preserve"> PAGEREF _Toc6239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_Toc15068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19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_Toc15068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_Toc16280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20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_Toc16280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_Toc8887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21 </w:t>
      </w:r>
      <w:r>
        <w:rPr>
          <w:kern w:val="2"/>
          <w:szCs w:val="24"/>
          <w:lang w:val="en-US"/>
        </w:rPr>
        <w:t>结论</w:t>
      </w:r>
      <w:r>
        <w:tab/>
      </w:r>
      <w:r>
        <w:fldChar w:fldCharType="begin"/>
      </w:r>
      <w:r>
        <w:instrText xml:space="preserve"> PAGEREF _Toc8887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4" w:name="_Toc20875"/>
      <w:r>
        <w:rPr>
          <w:rFonts w:hint="eastAsia"/>
        </w:rPr>
        <w:t>建筑概况</w:t>
      </w:r>
      <w:bookmarkEnd w:id="14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名称"/>
            <w:r>
              <w:t>祝家大集设计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地点"/>
            <w:r>
              <w:t>辽宁-沈阳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8" w:name="纬度"/>
            <w:r>
              <w:rPr>
                <w:rFonts w:hint="eastAsia" w:ascii="宋体" w:hAnsi="宋体"/>
                <w:lang w:val="en-US"/>
              </w:rPr>
              <w:t>41.81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9" w:name="经度"/>
            <w:r>
              <w:rPr>
                <w:rFonts w:hint="eastAsia" w:ascii="宋体" w:hAnsi="宋体"/>
                <w:lang w:val="en-US"/>
              </w:rPr>
              <w:t>123.43</w:t>
            </w:r>
            <w:bookmarkEnd w:id="19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严寒C区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775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14.0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0.00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0.00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5"/>
    </w:tbl>
    <w:p>
      <w:pPr>
        <w:pStyle w:val="2"/>
      </w:pPr>
      <w:bookmarkStart w:id="32" w:name="_Toc7536"/>
      <w:bookmarkStart w:id="33" w:name="TitleFormat"/>
      <w:r>
        <w:rPr>
          <w:rFonts w:hint="eastAsia"/>
        </w:rPr>
        <w:t>设计依据</w:t>
      </w:r>
      <w:bookmarkEnd w:id="32"/>
    </w:p>
    <w:bookmarkEnd w:id="33"/>
    <w:p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《辽宁省公共建筑节能设计标准》(DB21/T 1899-2011)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《建筑幕墙物理性能分级》(GB/T21086)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5" w:name="_Toc21217"/>
      <w:r>
        <w:rPr>
          <w:kern w:val="2"/>
          <w:szCs w:val="24"/>
          <w:lang w:val="en-US"/>
        </w:rPr>
        <w:t>工程材料</w:t>
      </w:r>
      <w:bookmarkEnd w:id="35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岩棉保温板（ρ≥140）</w:t>
            </w:r>
          </w:p>
        </w:tc>
        <w:tc>
          <w:tcPr>
            <w:vAlign w:val="center"/>
          </w:tcPr>
          <w:p>
            <w:r>
              <w:t>0.040</w:t>
            </w:r>
          </w:p>
        </w:tc>
        <w:tc>
          <w:tcPr>
            <w:vAlign w:val="center"/>
          </w:tcPr>
          <w:p>
            <w:r>
              <w:t>0.428</w:t>
            </w:r>
          </w:p>
        </w:tc>
        <w:tc>
          <w:tcPr>
            <w:vAlign w:val="center"/>
          </w:tcPr>
          <w:p>
            <w:r>
              <w:t>140.0</w:t>
            </w:r>
          </w:p>
        </w:tc>
        <w:tc>
          <w:tcPr>
            <w:vAlign w:val="center"/>
          </w:tcPr>
          <w:p>
            <w:r>
              <w:t>2515.0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K≤0.04 W/（m·k）；燃烧性能等级：A1级；同上；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防水层L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0.122</w:t>
            </w:r>
          </w:p>
        </w:tc>
        <w:tc>
          <w:tcPr>
            <w:vAlign w:val="center"/>
          </w:tcPr>
          <w:p>
            <w:r>
              <w:t>1.2</w:t>
            </w:r>
          </w:p>
        </w:tc>
        <w:tc>
          <w:tcPr>
            <w:vAlign w:val="center"/>
          </w:tcPr>
          <w:p>
            <w:r>
              <w:t>1005.0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硬泡聚氨酯板PUR（ρ≥35）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4.293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1185.0</w:t>
            </w:r>
          </w:p>
        </w:tc>
        <w:tc>
          <w:tcPr>
            <w:vAlign w:val="center"/>
          </w:tcPr>
          <w:p>
            <w:r>
              <w:t>0.0130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K≤0.024 W/（m·k）；燃烧性能等级：B2级；导热系数修正系数依据：附表A.3；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硬泡聚氨酯板PIR（ρ≥30）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6.321</w:t>
            </w:r>
          </w:p>
        </w:tc>
        <w:tc>
          <w:tcPr>
            <w:vAlign w:val="center"/>
          </w:tcPr>
          <w:p>
            <w:r>
              <w:t>30.0</w:t>
            </w:r>
          </w:p>
        </w:tc>
        <w:tc>
          <w:tcPr>
            <w:vAlign w:val="center"/>
          </w:tcPr>
          <w:p>
            <w:r>
              <w:t>1263.0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K≤0.024 W/（m·k）；燃烧性能等级：B2级；同上；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酚醛泡沫板（ρ≥35）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2.523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2515.0</w:t>
            </w:r>
          </w:p>
        </w:tc>
        <w:tc>
          <w:tcPr>
            <w:vAlign w:val="center"/>
          </w:tcPr>
          <w:p>
            <w:r>
              <w:t>0.0042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K≤0.024 W/（m·k）；燃烧性能等级：B1级；同上；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混合砂浆L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岩棉板(ρ=60-160)</w:t>
            </w:r>
          </w:p>
        </w:tc>
        <w:tc>
          <w:tcPr>
            <w:vAlign w:val="center"/>
          </w:tcPr>
          <w:p>
            <w:r>
              <w:t>0.041</w:t>
            </w:r>
          </w:p>
        </w:tc>
        <w:tc>
          <w:tcPr>
            <w:vAlign w:val="center"/>
          </w:tcPr>
          <w:p>
            <w:r>
              <w:t>0.615</w:t>
            </w:r>
          </w:p>
        </w:tc>
        <w:tc>
          <w:tcPr>
            <w:vAlign w:val="center"/>
          </w:tcPr>
          <w:p>
            <w:r>
              <w:t>110.0</w:t>
            </w:r>
          </w:p>
        </w:tc>
        <w:tc>
          <w:tcPr>
            <w:vAlign w:val="center"/>
          </w:tcPr>
          <w:p>
            <w:r>
              <w:t>1220.0</w:t>
            </w:r>
          </w:p>
        </w:tc>
        <w:tc>
          <w:tcPr>
            <w:vAlign w:val="center"/>
          </w:tcPr>
          <w:p>
            <w:r>
              <w:t>0.4880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粘土实心砖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10.630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0.1050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吉J2009-116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挤塑聚苯乙烯泡沫塑料（带表皮）（1）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夯实粘土(ρ=2000)</w:t>
            </w:r>
          </w:p>
        </w:tc>
        <w:tc>
          <w:tcPr>
            <w:vAlign w:val="center"/>
          </w:tcPr>
          <w:p>
            <w:r>
              <w:t>1.160</w:t>
            </w:r>
          </w:p>
        </w:tc>
        <w:tc>
          <w:tcPr>
            <w:vAlign w:val="center"/>
          </w:tcPr>
          <w:p>
            <w:r>
              <w:t>12.990</w:t>
            </w:r>
          </w:p>
        </w:tc>
        <w:tc>
          <w:tcPr>
            <w:vAlign w:val="center"/>
          </w:tcPr>
          <w:p>
            <w:r>
              <w:t>2000.0</w:t>
            </w:r>
          </w:p>
        </w:tc>
        <w:tc>
          <w:tcPr>
            <w:vAlign w:val="center"/>
          </w:tcPr>
          <w:p>
            <w:r>
              <w:t>1010.0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6" w:name="_Toc18397"/>
      <w:r>
        <w:rPr>
          <w:kern w:val="2"/>
          <w:szCs w:val="24"/>
          <w:lang w:val="en-US"/>
        </w:rPr>
        <w:t>体形系数</w:t>
      </w:r>
      <w:bookmarkEnd w:id="3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043.95</w:t>
            </w:r>
            <w:bookmarkStart w:id="71" w:name="_GoBack"/>
            <w:bookmarkEnd w:id="71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2747.26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《辽宁省公共建筑节能设计标准》(DB21/T 1899-2011)第4.2.2条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S≤0.4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18159"/>
      <w:r>
        <w:rPr>
          <w:kern w:val="2"/>
          <w:szCs w:val="24"/>
          <w:lang w:val="en-US"/>
        </w:rPr>
        <w:t>窗墙比</w:t>
      </w:r>
      <w:bookmarkEnd w:id="37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8" w:name="_Toc5597"/>
      <w:r>
        <w:rPr>
          <w:kern w:val="2"/>
          <w:szCs w:val="24"/>
          <w:lang w:val="en-US"/>
        </w:rPr>
        <w:t>窗墙比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9.63</w:t>
            </w:r>
          </w:p>
        </w:tc>
        <w:tc>
          <w:tcPr>
            <w:vAlign w:val="center"/>
          </w:tcPr>
          <w:p>
            <w:r>
              <w:t>173.24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16.11</w:t>
            </w:r>
          </w:p>
        </w:tc>
        <w:tc>
          <w:tcPr>
            <w:vAlign w:val="center"/>
          </w:tcPr>
          <w:p>
            <w:r>
              <w:t>172.52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4.05</w:t>
            </w:r>
          </w:p>
        </w:tc>
        <w:tc>
          <w:tcPr>
            <w:vAlign w:val="center"/>
          </w:tcPr>
          <w:p>
            <w:r>
              <w:t>220.02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8.10</w:t>
            </w:r>
          </w:p>
        </w:tc>
        <w:tc>
          <w:tcPr>
            <w:vAlign w:val="center"/>
          </w:tcPr>
          <w:p>
            <w:r>
              <w:t>219.92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vAlign w:val="center"/>
          </w:tcPr>
          <w:p>
            <w:r>
              <w:t>37.89</w:t>
            </w:r>
          </w:p>
        </w:tc>
        <w:tc>
          <w:tcPr>
            <w:vAlign w:val="center"/>
          </w:tcPr>
          <w:p>
            <w:r>
              <w:t>785.70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《辽宁省公共建筑节能设计标准》(DB21/T 1899-2011)第4.2.4条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每个朝向窗墙比不超过0.7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21013"/>
      <w:r>
        <w:rPr>
          <w:kern w:val="2"/>
          <w:szCs w:val="24"/>
          <w:lang w:val="en-US"/>
        </w:rPr>
        <w:t>外窗表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562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  <w:r>
              <w:br w:type="textWrapping"/>
            </w:r>
            <w:r>
              <w:t>9.63</w:t>
            </w:r>
          </w:p>
        </w:tc>
        <w:tc>
          <w:tcPr>
            <w:vAlign w:val="center"/>
          </w:tcPr>
          <w:p>
            <w:r>
              <w:t xml:space="preserve"> </w:t>
            </w:r>
          </w:p>
        </w:tc>
        <w:tc>
          <w:tcPr>
            <w:vAlign w:val="center"/>
          </w:tcPr>
          <w:p>
            <w:r>
              <w:t>1.80×0.90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1.62</w:t>
            </w:r>
          </w:p>
        </w:tc>
        <w:tc>
          <w:tcPr>
            <w:vAlign w:val="center"/>
          </w:tcPr>
          <w:p>
            <w:r>
              <w:t>1.62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1.50×2.10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3.15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C1809</w:t>
            </w:r>
          </w:p>
        </w:tc>
        <w:tc>
          <w:tcPr>
            <w:vAlign w:val="center"/>
          </w:tcPr>
          <w:p>
            <w:r>
              <w:t>1.80×0.90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1.62</w:t>
            </w:r>
          </w:p>
        </w:tc>
        <w:tc>
          <w:tcPr>
            <w:vAlign w:val="center"/>
          </w:tcPr>
          <w:p>
            <w:r>
              <w:t>1.62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1.80×1.80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3.24</w:t>
            </w:r>
          </w:p>
        </w:tc>
        <w:tc>
          <w:tcPr>
            <w:vAlign w:val="center"/>
          </w:tcPr>
          <w:p>
            <w:r>
              <w:t>3.24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  <w:r>
              <w:br w:type="textWrapping"/>
            </w:r>
            <w:r>
              <w:t>16.11</w:t>
            </w:r>
          </w:p>
        </w:tc>
        <w:tc>
          <w:tcPr>
            <w:vAlign w:val="center"/>
          </w:tcPr>
          <w:p>
            <w:r>
              <w:t xml:space="preserve"> </w:t>
            </w:r>
          </w:p>
        </w:tc>
        <w:tc>
          <w:tcPr>
            <w:vAlign w:val="center"/>
          </w:tcPr>
          <w:p>
            <w:r>
              <w:t>1.80×0.90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1.62</w:t>
            </w:r>
          </w:p>
        </w:tc>
        <w:tc>
          <w:tcPr>
            <w:vAlign w:val="center"/>
          </w:tcPr>
          <w:p>
            <w:r>
              <w:t>1.62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1.50×2.10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3.15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C1809</w:t>
            </w:r>
          </w:p>
        </w:tc>
        <w:tc>
          <w:tcPr>
            <w:vAlign w:val="center"/>
          </w:tcPr>
          <w:p>
            <w:r>
              <w:t>1.80×0.90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1.62</w:t>
            </w:r>
          </w:p>
        </w:tc>
        <w:tc>
          <w:tcPr>
            <w:vAlign w:val="center"/>
          </w:tcPr>
          <w:p>
            <w:r>
              <w:t>8.10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1.80×1.80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3.24</w:t>
            </w:r>
          </w:p>
        </w:tc>
        <w:tc>
          <w:tcPr>
            <w:vAlign w:val="center"/>
          </w:tcPr>
          <w:p>
            <w:r>
              <w:t>3.24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  <w:r>
              <w:br w:type="textWrapping"/>
            </w:r>
            <w:r>
              <w:t>4.05</w:t>
            </w:r>
          </w:p>
        </w:tc>
        <w:tc>
          <w:tcPr>
            <w:vAlign w:val="center"/>
          </w:tcPr>
          <w:p>
            <w:r>
              <w:t>C0909</w:t>
            </w:r>
          </w:p>
        </w:tc>
        <w:tc>
          <w:tcPr>
            <w:vAlign w:val="center"/>
          </w:tcPr>
          <w:p>
            <w:r>
              <w:t>0.90×0.90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0.81</w:t>
            </w:r>
          </w:p>
        </w:tc>
        <w:tc>
          <w:tcPr>
            <w:vAlign w:val="center"/>
          </w:tcPr>
          <w:p>
            <w:r>
              <w:t>0.81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C1809</w:t>
            </w:r>
          </w:p>
        </w:tc>
        <w:tc>
          <w:tcPr>
            <w:vAlign w:val="center"/>
          </w:tcPr>
          <w:p>
            <w:r>
              <w:t>1.80×0.90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1.62</w:t>
            </w:r>
          </w:p>
        </w:tc>
        <w:tc>
          <w:tcPr>
            <w:vAlign w:val="center"/>
          </w:tcPr>
          <w:p>
            <w:r>
              <w:t>3.24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西向</w:t>
            </w:r>
            <w:r>
              <w:br w:type="textWrapping"/>
            </w:r>
            <w:r>
              <w:t>8.10</w:t>
            </w:r>
          </w:p>
        </w:tc>
        <w:tc>
          <w:tcPr>
            <w:vAlign w:val="center"/>
          </w:tcPr>
          <w:p>
            <w:r>
              <w:t>C1809</w:t>
            </w:r>
          </w:p>
        </w:tc>
        <w:tc>
          <w:tcPr>
            <w:vAlign w:val="center"/>
          </w:tcPr>
          <w:p>
            <w:r>
              <w:t>1.80×0.90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1.62</w:t>
            </w:r>
          </w:p>
        </w:tc>
        <w:tc>
          <w:tcPr>
            <w:vAlign w:val="center"/>
          </w:tcPr>
          <w:p>
            <w:r>
              <w:t>8.10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0" w:name="_Toc14871"/>
      <w:r>
        <w:rPr>
          <w:kern w:val="2"/>
          <w:szCs w:val="24"/>
          <w:lang w:val="en-US"/>
        </w:rPr>
        <w:t>可见光透射比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924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t xml:space="preserve"> 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 xml:space="preserve"> 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t>C0909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t>C1809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3"/>
            <w:vAlign w:val="center"/>
          </w:tcPr>
          <w:p>
            <w:r>
              <w:t>《辽宁省公共建筑节能设计标准》(DB21/T 1899-2011)第4.2.4条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3"/>
            <w:vAlign w:val="center"/>
          </w:tcPr>
          <w:p>
            <w:r>
              <w:t>当窗墙面积比小于0.40时，玻璃的可见光透射比不应当小于0.4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3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1" w:name="_Toc9476"/>
      <w:r>
        <w:rPr>
          <w:kern w:val="2"/>
          <w:szCs w:val="24"/>
          <w:lang w:val="en-US"/>
        </w:rPr>
        <w:t>天窗</w:t>
      </w:r>
      <w:bookmarkEnd w:id="41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2" w:name="_Toc20626"/>
      <w:r>
        <w:rPr>
          <w:kern w:val="2"/>
          <w:szCs w:val="24"/>
          <w:lang w:val="en-US"/>
        </w:rPr>
        <w:t>天窗屋顶比</w:t>
      </w:r>
      <w:bookmarkEnd w:id="42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3" w:name="_Toc18775"/>
      <w:r>
        <w:rPr>
          <w:kern w:val="2"/>
          <w:szCs w:val="24"/>
          <w:lang w:val="en-US"/>
        </w:rPr>
        <w:t>天窗类型</w:t>
      </w:r>
      <w:bookmarkEnd w:id="43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4" w:name="_Toc27497"/>
      <w:r>
        <w:rPr>
          <w:kern w:val="2"/>
          <w:szCs w:val="24"/>
          <w:lang w:val="en-US"/>
        </w:rPr>
        <w:t>屋顶构造</w:t>
      </w:r>
      <w:bookmarkEnd w:id="44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5" w:name="_Toc9218"/>
      <w:r>
        <w:rPr>
          <w:kern w:val="2"/>
          <w:szCs w:val="24"/>
          <w:lang w:val="en-US"/>
        </w:rPr>
        <w:t>屋顶构造一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防水层L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0.122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0.059</w:t>
            </w:r>
          </w:p>
        </w:tc>
        <w:tc>
          <w:tcPr>
            <w:vAlign w:val="center"/>
          </w:tcPr>
          <w:p>
            <w:r>
              <w:t>0.007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硬泡聚氨酯板PUR（ρ≥35）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4.293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0.833</w:t>
            </w:r>
          </w:p>
        </w:tc>
        <w:tc>
          <w:tcPr>
            <w:vAlign w:val="center"/>
          </w:tcPr>
          <w:p>
            <w:r>
              <w:t>3.578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硬泡聚氨酯板PIR（ρ≥30）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6.321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4.167</w:t>
            </w:r>
          </w:p>
        </w:tc>
        <w:tc>
          <w:tcPr>
            <w:vAlign w:val="center"/>
          </w:tcPr>
          <w:p>
            <w:r>
              <w:t>26.338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岩棉保温板（ρ≥140）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0.040</w:t>
            </w:r>
          </w:p>
        </w:tc>
        <w:tc>
          <w:tcPr>
            <w:vAlign w:val="center"/>
          </w:tcPr>
          <w:p>
            <w:r>
              <w:t>0.428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1.284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酚醛泡沫板（ρ≥35）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2.523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12.615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混合砂浆L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390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13.082</w:t>
            </w:r>
          </w:p>
        </w:tc>
        <w:tc>
          <w:tcPr>
            <w:vAlign w:val="center"/>
          </w:tcPr>
          <w:p>
            <w:r>
              <w:t>44.065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0.34, D = 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辽宁居住规范11页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《辽宁省公共建筑节能设计标准》(DB21/T 1899-2011)第4.3.1条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屋顶热工应当符合表4.3.1-2的要求(K≤0.38)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6" w:name="_Toc4600"/>
      <w:r>
        <w:rPr>
          <w:kern w:val="2"/>
          <w:szCs w:val="24"/>
          <w:lang w:val="en-US"/>
        </w:rPr>
        <w:t>外墙构造</w:t>
      </w:r>
      <w:bookmarkEnd w:id="46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7" w:name="_Toc25665"/>
      <w:r>
        <w:rPr>
          <w:kern w:val="2"/>
          <w:szCs w:val="24"/>
          <w:lang w:val="en-US"/>
        </w:rPr>
        <w:t>外墙相关构造</w:t>
      </w:r>
      <w:bookmarkEnd w:id="47"/>
    </w:p>
    <w:p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8" w:name="_Toc11930"/>
      <w:r>
        <w:rPr>
          <w:kern w:val="2"/>
          <w:szCs w:val="24"/>
          <w:lang w:val="en-US"/>
        </w:rPr>
        <w:t>外墙构造一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岩棉板(ρ=60-160)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0.041</w:t>
            </w:r>
          </w:p>
        </w:tc>
        <w:tc>
          <w:tcPr>
            <w:vAlign w:val="center"/>
          </w:tcPr>
          <w:p>
            <w:r>
              <w:t>0.615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2.217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粘土实心砖</w:t>
            </w:r>
          </w:p>
        </w:tc>
        <w:tc>
          <w:tcPr>
            <w:vAlign w:val="center"/>
          </w:tcPr>
          <w:p>
            <w:r>
              <w:t>370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10.630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0.457</w:t>
            </w:r>
          </w:p>
        </w:tc>
        <w:tc>
          <w:tcPr>
            <w:vAlign w:val="center"/>
          </w:tcPr>
          <w:p>
            <w:r>
              <w:t>4.856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490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2.696</w:t>
            </w:r>
          </w:p>
        </w:tc>
        <w:tc>
          <w:tcPr>
            <w:vAlign w:val="center"/>
          </w:tcPr>
          <w:p>
            <w:r>
              <w:t>6.600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0.35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9" w:name="_Toc2788"/>
      <w:r>
        <w:rPr>
          <w:kern w:val="2"/>
          <w:szCs w:val="24"/>
          <w:lang w:val="en-US"/>
        </w:rPr>
        <w:t>外墙主断面传热系数的修正系数ψ</w:t>
      </w:r>
      <w:bookmarkEnd w:id="49"/>
    </w:p>
    <w:p>
      <w:pPr>
        <w:jc w:val="center"/>
        <w:rPr>
          <w:szCs w:val="21"/>
          <w:lang w:val="en-US"/>
        </w:rPr>
      </w:pPr>
      <w:bookmarkStart w:id="50" w:name="辽宁外墙K修正系数表3"/>
      <w:r>
        <w:rPr>
          <w:rFonts w:hint="eastAsia"/>
          <w:szCs w:val="21"/>
          <w:lang w:val="en-US"/>
        </w:rPr>
        <w:t>表B.0.5 外墙主断面传热系数的修正系数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9D9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763"/>
        <w:gridCol w:w="1001"/>
        <w:gridCol w:w="1001"/>
        <w:gridCol w:w="1001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980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外墙传热系数限值Km[ </w:t>
            </w:r>
            <w:r>
              <w:rPr>
                <w:rFonts w:ascii="宋体" w:hAnsi="宋体"/>
                <w:b/>
                <w:color w:val="000000"/>
                <w:szCs w:val="21"/>
              </w:rPr>
              <w:t>W/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(</w:t>
            </w:r>
            <w:r>
              <w:rPr>
                <w:rFonts w:ascii="宋体" w:hAnsi="宋体"/>
                <w:b/>
                <w:color w:val="000000"/>
                <w:szCs w:val="21"/>
              </w:rPr>
              <w:t>m</w:t>
            </w:r>
            <w:r>
              <w:rPr>
                <w:rFonts w:hint="eastAsia" w:ascii="宋体" w:hAnsi="宋体"/>
                <w:b/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·</w:t>
            </w:r>
            <w:r>
              <w:rPr>
                <w:rFonts w:ascii="宋体" w:hAnsi="宋体"/>
                <w:b/>
                <w:color w:val="000000"/>
                <w:szCs w:val="21"/>
              </w:rPr>
              <w:t>K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)]</w:t>
            </w:r>
          </w:p>
        </w:tc>
        <w:tc>
          <w:tcPr>
            <w:tcW w:w="1613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外保温</w:t>
            </w:r>
          </w:p>
        </w:tc>
        <w:tc>
          <w:tcPr>
            <w:tcW w:w="2002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夹心保温</w:t>
            </w:r>
          </w:p>
        </w:tc>
        <w:tc>
          <w:tcPr>
            <w:tcW w:w="2003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内保温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980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763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  <w:tc>
          <w:tcPr>
            <w:tcW w:w="1001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1001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  <w:tc>
          <w:tcPr>
            <w:tcW w:w="1001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1002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980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0.47&lt;Km≤0.52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1.7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980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0.45&lt;Km≤0.47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1.7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980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0.42&lt;Km≤0.45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1.8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980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0.40&lt;Km≤0.42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1.9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1.8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980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Km≤0.40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763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2.1</w:t>
            </w:r>
          </w:p>
        </w:tc>
        <w:tc>
          <w:tcPr>
            <w:tcW w:w="100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1.9</w:t>
            </w:r>
          </w:p>
        </w:tc>
        <w:tc>
          <w:tcPr>
            <w:tcW w:w="100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2.3</w:t>
            </w:r>
          </w:p>
        </w:tc>
      </w:tr>
    </w:tbl>
    <w:p>
      <w:pPr>
        <w:ind w:firstLine="630" w:firstLineChars="300"/>
        <w:rPr>
          <w:szCs w:val="21"/>
          <w:lang w:val="en-US"/>
        </w:rPr>
      </w:pPr>
      <w:r>
        <w:rPr>
          <w:rFonts w:hint="eastAsia"/>
          <w:szCs w:val="21"/>
          <w:lang w:val="en-US"/>
        </w:rPr>
        <w:t>注：凸窗所占外窗比例&gt;30%，墙体平均传热系数的修正系数则应按凸窗一栏取值。</w:t>
      </w:r>
      <w:bookmarkEnd w:id="50"/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1" w:name="_Toc1843"/>
      <w:r>
        <w:rPr>
          <w:kern w:val="2"/>
          <w:szCs w:val="24"/>
          <w:lang w:val="en-US"/>
        </w:rPr>
        <w:t>外墙平均热工特性</w:t>
      </w:r>
      <w:bookmarkEnd w:id="51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133.79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6.60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0.35 × 1.20 = 0.42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135.83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6.60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0.35 × 1.20 = 0.42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190.77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6.60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0.35 × 1.20 = 0.42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195.02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6.60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0.35 × 1.20 = 0.42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655.41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6.60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0.35 × 1.20 = 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《辽宁省公共建筑节能设计标准》(DB21/T 1899-2011)第4.3.1条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外墙热工应当符合表4.3.1-2的要求(K≤0.45)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2" w:name="_Toc21813"/>
      <w:r>
        <w:rPr>
          <w:kern w:val="2"/>
          <w:szCs w:val="24"/>
          <w:lang w:val="en-US"/>
        </w:rPr>
        <w:t>挑空楼板构造</w:t>
      </w:r>
      <w:bookmarkEnd w:id="52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3" w:name="_Toc32529"/>
      <w:r>
        <w:rPr>
          <w:kern w:val="2"/>
          <w:szCs w:val="24"/>
          <w:lang w:val="en-US"/>
        </w:rPr>
        <w:t>采暖与非采暖隔墙</w:t>
      </w:r>
      <w:bookmarkEnd w:id="53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4" w:name="_Toc28614"/>
      <w:r>
        <w:rPr>
          <w:kern w:val="2"/>
          <w:szCs w:val="24"/>
          <w:lang w:val="en-US"/>
        </w:rPr>
        <w:t>采暖与非采暖楼板</w:t>
      </w:r>
      <w:bookmarkEnd w:id="54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55" w:name="_Toc5367"/>
      <w:r>
        <w:rPr>
          <w:kern w:val="2"/>
          <w:szCs w:val="24"/>
          <w:lang w:val="en-US"/>
        </w:rPr>
        <w:t>外窗热工</w:t>
      </w:r>
      <w:bookmarkEnd w:id="55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6" w:name="_Toc14566"/>
      <w:r>
        <w:rPr>
          <w:kern w:val="2"/>
          <w:szCs w:val="24"/>
          <w:lang w:val="en-US"/>
        </w:rPr>
        <w:t>外窗构造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60系列（三腔） 空气 4+12A+4Low-E 暖边密封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2.01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选自《吉J2011-772》，仅作为设计参考，实际选用时应以生产企业的实测数据为准。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7" w:name="_Toc26181"/>
      <w:r>
        <w:rPr>
          <w:kern w:val="2"/>
          <w:szCs w:val="24"/>
          <w:lang w:val="en-US"/>
        </w:rPr>
        <w:t>外遮阳类型</w:t>
      </w:r>
      <w:bookmarkEnd w:id="57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本工程无此内容</w:t>
      </w: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8" w:name="_Toc22418"/>
      <w:r>
        <w:rPr>
          <w:kern w:val="2"/>
          <w:szCs w:val="24"/>
          <w:lang w:val="en-US"/>
        </w:rPr>
        <w:t>平均遮阳系数</w:t>
      </w:r>
      <w:bookmarkEnd w:id="58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 xml:space="preserve"> 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1.620</w:t>
            </w:r>
          </w:p>
        </w:tc>
        <w:tc>
          <w:tcPr>
            <w:vAlign w:val="center"/>
          </w:tcPr>
          <w:p>
            <w:r>
              <w:t>1.620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0.890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0.890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C1809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1.620</w:t>
            </w:r>
          </w:p>
        </w:tc>
        <w:tc>
          <w:tcPr>
            <w:vAlign w:val="center"/>
          </w:tcPr>
          <w:p>
            <w:r>
              <w:t>1.620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0.890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3.240</w:t>
            </w:r>
          </w:p>
        </w:tc>
        <w:tc>
          <w:tcPr>
            <w:vAlign w:val="center"/>
          </w:tcPr>
          <w:p>
            <w:r>
              <w:t>3.240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0.890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9.630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0.890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 xml:space="preserve"> 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1.620</w:t>
            </w:r>
          </w:p>
        </w:tc>
        <w:tc>
          <w:tcPr>
            <w:vAlign w:val="center"/>
          </w:tcPr>
          <w:p>
            <w:r>
              <w:t>1.620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0.890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0.890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C1809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1.620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0.890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3.240</w:t>
            </w:r>
          </w:p>
        </w:tc>
        <w:tc>
          <w:tcPr>
            <w:vAlign w:val="center"/>
          </w:tcPr>
          <w:p>
            <w:r>
              <w:t>3.240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0.890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16.110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0.890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C0909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0.890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C1809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1.620</w:t>
            </w:r>
          </w:p>
        </w:tc>
        <w:tc>
          <w:tcPr>
            <w:vAlign w:val="center"/>
          </w:tcPr>
          <w:p>
            <w:r>
              <w:t>3.240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0.890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4.050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0.890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C1809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1.620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0.890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0.890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平均遮阳系数：</w:t>
      </w:r>
    </w:p>
    <w:tbl>
      <w:tblPr>
        <w:tblStyle w:val="18"/>
        <w:tblW w:w="0" w:type="auto"/>
        <w:tblInd w:w="0" w:type="dxa"/>
        <w:tblBorders>
          <w:top w:val="none" w:color="FFFFFF" w:sz="2" w:space="0"/>
          <w:left w:val="none" w:color="FFFFFF" w:sz="2" w:space="0"/>
          <w:bottom w:val="none" w:color="FFFFFF" w:sz="2" w:space="0"/>
          <w:right w:val="none" w:color="FFFFFF" w:sz="2" w:space="0"/>
          <w:insideH w:val="none" w:color="FFFFFF" w:sz="2" w:space="0"/>
          <w:insideV w:val="none" w:color="FFFFFF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1"/>
        <w:gridCol w:w="807"/>
      </w:tblGrid>
      <w:tr>
        <w:tblPrEx>
          <w:tblBorders>
            <w:top w:val="none" w:color="FFFFFF" w:sz="2" w:space="0"/>
            <w:left w:val="none" w:color="FFFFFF" w:sz="2" w:space="0"/>
            <w:bottom w:val="none" w:color="FFFFFF" w:sz="2" w:space="0"/>
            <w:right w:val="none" w:color="FFFFFF" w:sz="2" w:space="0"/>
            <w:insideH w:val="none" w:color="FFFFFF" w:sz="2" w:space="0"/>
            <w:insideV w:val="non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r>
              <w:drawing>
                <wp:inline distT="0" distB="0" distL="0" distR="0">
                  <wp:extent cx="4086225" cy="457200"/>
                  <wp:effectExtent l="0" t="0" r="0" b="0"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>
            <w:r>
              <w:t>=0.890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3"/>
        <w:gridCol w:w="2405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权重系数b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9.630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0.890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16.110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0.890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4.050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0.890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0.890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整个建筑平均遮阳系数</w:t>
            </w:r>
          </w:p>
        </w:tc>
        <w:tc>
          <w:tcPr>
            <w:gridSpan w:val="2"/>
            <w:vAlign w:val="center"/>
          </w:tcPr>
          <w:p>
            <w:r>
              <w:t>0.890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9" w:name="_Toc2205"/>
      <w:r>
        <w:rPr>
          <w:kern w:val="2"/>
          <w:szCs w:val="24"/>
          <w:lang w:val="en-US"/>
        </w:rPr>
        <w:t>平均传热系数</w:t>
      </w:r>
      <w:bookmarkEnd w:id="59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 xml:space="preserve"> 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1.620</w:t>
            </w:r>
          </w:p>
        </w:tc>
        <w:tc>
          <w:tcPr>
            <w:vAlign w:val="center"/>
          </w:tcPr>
          <w:p>
            <w:r>
              <w:t>1.620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C1809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1.620</w:t>
            </w:r>
          </w:p>
        </w:tc>
        <w:tc>
          <w:tcPr>
            <w:vAlign w:val="center"/>
          </w:tcPr>
          <w:p>
            <w:r>
              <w:t>1.620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3.240</w:t>
            </w:r>
          </w:p>
        </w:tc>
        <w:tc>
          <w:tcPr>
            <w:vAlign w:val="center"/>
          </w:tcPr>
          <w:p>
            <w:r>
              <w:t>3.240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9.630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2.010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 xml:space="preserve"> 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1.620</w:t>
            </w:r>
          </w:p>
        </w:tc>
        <w:tc>
          <w:tcPr>
            <w:vAlign w:val="center"/>
          </w:tcPr>
          <w:p>
            <w:r>
              <w:t>1.620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C1809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1.620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3.240</w:t>
            </w:r>
          </w:p>
        </w:tc>
        <w:tc>
          <w:tcPr>
            <w:vAlign w:val="center"/>
          </w:tcPr>
          <w:p>
            <w:r>
              <w:t>3.240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16.110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2.010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C0909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C1809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1.620</w:t>
            </w:r>
          </w:p>
        </w:tc>
        <w:tc>
          <w:tcPr>
            <w:vAlign w:val="center"/>
          </w:tcPr>
          <w:p>
            <w:r>
              <w:t>3.240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4.050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2.010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C1809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1.620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2.010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0" w:name="_Toc21274"/>
      <w:r>
        <w:rPr>
          <w:kern w:val="2"/>
          <w:szCs w:val="24"/>
          <w:lang w:val="en-US"/>
        </w:rPr>
        <w:t>总体热工性能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131"/>
        <w:gridCol w:w="1245"/>
        <w:gridCol w:w="1245"/>
        <w:gridCol w:w="2314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9.63</w:t>
            </w:r>
          </w:p>
        </w:tc>
        <w:tc>
          <w:tcPr>
            <w:vAlign w:val="center"/>
          </w:tcPr>
          <w:p>
            <w:r>
              <w:t>2.01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t>K≤2.70, SC(不要求)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16.11</w:t>
            </w:r>
          </w:p>
        </w:tc>
        <w:tc>
          <w:tcPr>
            <w:vAlign w:val="center"/>
          </w:tcPr>
          <w:p>
            <w:r>
              <w:t>2.01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K≤2.70, SC(不要求)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4.05</w:t>
            </w:r>
          </w:p>
        </w:tc>
        <w:tc>
          <w:tcPr>
            <w:vAlign w:val="center"/>
          </w:tcPr>
          <w:p>
            <w:r>
              <w:t>2.01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0.02</w:t>
            </w:r>
          </w:p>
        </w:tc>
        <w:tc>
          <w:tcPr>
            <w:vAlign w:val="center"/>
          </w:tcPr>
          <w:p>
            <w:r>
              <w:t>K≤2.70, SC(不要求)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8.10</w:t>
            </w:r>
          </w:p>
        </w:tc>
        <w:tc>
          <w:tcPr>
            <w:vAlign w:val="center"/>
          </w:tcPr>
          <w:p>
            <w:r>
              <w:t>2.01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t>K≤2.70, SC(不要求)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>
            <w:r>
              <w:t>37.89</w:t>
            </w:r>
          </w:p>
        </w:tc>
        <w:tc>
          <w:tcPr>
            <w:vAlign w:val="center"/>
          </w:tcPr>
          <w:p>
            <w:r>
              <w:t>2.01</w:t>
            </w:r>
          </w:p>
        </w:tc>
        <w:tc>
          <w:tcPr>
            <w:vAlign w:val="center"/>
          </w:tcPr>
          <w:p>
            <w:r>
              <w:t>0.89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  <w:vAlign w:val="center"/>
          </w:tcPr>
          <w:p>
            <w:r>
              <w:t>《辽宁省公共建筑节能设计标准》(DB21/T 1899-2011)第4.3.1条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  <w:vAlign w:val="center"/>
          </w:tcPr>
          <w:p>
            <w:r>
              <w:t>各朝向外窗传热系数和遮阳系数满足表4.3.1-2的要求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1" w:name="_Toc21877"/>
      <w:r>
        <w:rPr>
          <w:kern w:val="2"/>
          <w:szCs w:val="24"/>
          <w:lang w:val="en-US"/>
        </w:rPr>
        <w:t>外门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双层实体木制外门</w:t>
            </w:r>
          </w:p>
        </w:tc>
        <w:tc>
          <w:tcPr>
            <w:vAlign w:val="center"/>
          </w:tcPr>
          <w:p>
            <w:r>
              <w:t>92.40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>
            <w:r>
              <w:t>92.40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3"/>
          </w:tcPr>
          <w:p>
            <w:r>
              <w:t>《辽宁省公共建筑节能设计标准》(DB21/T 1899-2011)第4.3.5条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3"/>
          </w:tcPr>
          <w:p>
            <w:r>
              <w:t>K≤1.50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3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2" w:name="_Toc30939"/>
      <w:r>
        <w:rPr>
          <w:kern w:val="2"/>
          <w:szCs w:val="24"/>
          <w:lang w:val="en-US"/>
        </w:rPr>
        <w:t>周边地面-控温</w:t>
      </w:r>
      <w:bookmarkEnd w:id="62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3" w:name="_Toc24438"/>
      <w:r>
        <w:rPr>
          <w:kern w:val="2"/>
          <w:szCs w:val="24"/>
          <w:lang w:val="en-US"/>
        </w:rPr>
        <w:t>周边地面构造一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0.034</w:t>
            </w:r>
          </w:p>
        </w:tc>
        <w:tc>
          <w:tcPr>
            <w:vAlign w:val="center"/>
          </w:tcPr>
          <w:p>
            <w:r>
              <w:t>0.593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挤塑聚苯乙烯泡沫塑料（带表皮）（1）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2.424</w:t>
            </w:r>
          </w:p>
        </w:tc>
        <w:tc>
          <w:tcPr>
            <w:vAlign w:val="center"/>
          </w:tcPr>
          <w:p>
            <w:r>
              <w:t>0.907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0.053</w:t>
            </w:r>
          </w:p>
        </w:tc>
        <w:tc>
          <w:tcPr>
            <w:vAlign w:val="center"/>
          </w:tcPr>
          <w:p>
            <w:r>
              <w:t>0.814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夯实粘土(ρ=2000)</w:t>
            </w:r>
          </w:p>
        </w:tc>
        <w:tc>
          <w:tcPr>
            <w:vAlign w:val="center"/>
          </w:tcPr>
          <w:p>
            <w:r>
              <w:t>1680</w:t>
            </w:r>
          </w:p>
        </w:tc>
        <w:tc>
          <w:tcPr>
            <w:vAlign w:val="center"/>
          </w:tcPr>
          <w:p>
            <w:r>
              <w:t>1.160</w:t>
            </w:r>
          </w:p>
        </w:tc>
        <w:tc>
          <w:tcPr>
            <w:vAlign w:val="center"/>
          </w:tcPr>
          <w:p>
            <w:r>
              <w:t>12.990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1.448</w:t>
            </w:r>
          </w:p>
        </w:tc>
        <w:tc>
          <w:tcPr>
            <w:vAlign w:val="center"/>
          </w:tcPr>
          <w:p>
            <w:r>
              <w:t>18.813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1920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3.981</w:t>
            </w:r>
          </w:p>
        </w:tc>
        <w:tc>
          <w:tcPr>
            <w:vAlign w:val="center"/>
          </w:tcPr>
          <w:p>
            <w:r>
              <w:t>21.371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导热阻R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3.98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《辽宁省公共建筑节能设计标准》(DB21/T 1899-2011)第4.3.3条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满足表4.3.3的要求(R≥2.00)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4" w:name="_Toc2223"/>
      <w:r>
        <w:rPr>
          <w:kern w:val="2"/>
          <w:szCs w:val="24"/>
          <w:lang w:val="en-US"/>
        </w:rPr>
        <w:t>非周边地面-控温</w:t>
      </w:r>
      <w:bookmarkEnd w:id="64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5" w:name="_Toc18329"/>
      <w:r>
        <w:rPr>
          <w:kern w:val="2"/>
          <w:szCs w:val="24"/>
          <w:lang w:val="en-US"/>
        </w:rPr>
        <w:t>非周边地面构造一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0.034</w:t>
            </w:r>
          </w:p>
        </w:tc>
        <w:tc>
          <w:tcPr>
            <w:vAlign w:val="center"/>
          </w:tcPr>
          <w:p>
            <w:r>
              <w:t>0.593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0.053</w:t>
            </w:r>
          </w:p>
        </w:tc>
        <w:tc>
          <w:tcPr>
            <w:vAlign w:val="center"/>
          </w:tcPr>
          <w:p>
            <w:r>
              <w:t>0.814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夯实粘土(ρ=2000)</w:t>
            </w:r>
          </w:p>
        </w:tc>
        <w:tc>
          <w:tcPr>
            <w:vAlign w:val="center"/>
          </w:tcPr>
          <w:p>
            <w:r>
              <w:t>2000</w:t>
            </w:r>
          </w:p>
        </w:tc>
        <w:tc>
          <w:tcPr>
            <w:vAlign w:val="center"/>
          </w:tcPr>
          <w:p>
            <w:r>
              <w:t>1.160</w:t>
            </w:r>
          </w:p>
        </w:tc>
        <w:tc>
          <w:tcPr>
            <w:vAlign w:val="center"/>
          </w:tcPr>
          <w:p>
            <w:r>
              <w:t>12.990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1.724</w:t>
            </w:r>
          </w:p>
        </w:tc>
        <w:tc>
          <w:tcPr>
            <w:vAlign w:val="center"/>
          </w:tcPr>
          <w:p>
            <w:r>
              <w:t>22.397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2160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1.833</w:t>
            </w:r>
          </w:p>
        </w:tc>
        <w:tc>
          <w:tcPr>
            <w:vAlign w:val="center"/>
          </w:tcPr>
          <w:p>
            <w:r>
              <w:t>24.048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导热阻R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《辽宁省公共建筑节能设计标准》(DB21/T 1899-2011)第4.3.3条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满足表4.3.3的要求(R≥1.80)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6" w:name="_Toc9737"/>
      <w:r>
        <w:rPr>
          <w:kern w:val="2"/>
          <w:szCs w:val="24"/>
          <w:lang w:val="en-US"/>
        </w:rPr>
        <w:t>采暖地下室外墙</w:t>
      </w:r>
      <w:bookmarkEnd w:id="66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7" w:name="_Toc6239"/>
      <w:r>
        <w:rPr>
          <w:kern w:val="2"/>
          <w:szCs w:val="24"/>
          <w:lang w:val="en-US"/>
        </w:rPr>
        <w:t>可开启面积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3"/>
        <w:gridCol w:w="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透光面积/房间面积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开启面积/房间面积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外窗开启比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幕墙开启比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120.91</w:t>
            </w:r>
          </w:p>
        </w:tc>
        <w:tc>
          <w:tcPr>
            <w:vAlign w:val="center"/>
          </w:tcPr>
          <w:p>
            <w:r>
              <w:t>C1809</w:t>
            </w:r>
          </w:p>
        </w:tc>
        <w:tc>
          <w:tcPr>
            <w:vAlign w:val="center"/>
          </w:tcPr>
          <w:p>
            <w:r>
              <w:t>1.62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0.11</w:t>
            </w:r>
          </w:p>
        </w:tc>
        <w:tc>
          <w:tcPr>
            <w:vMerge w:val="restart"/>
            <w:vAlign w:val="center"/>
          </w:tcPr>
          <w:p>
            <w:r>
              <w:t>0.26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－</w:t>
            </w:r>
          </w:p>
        </w:tc>
        <w:tc>
          <w:tcPr>
            <w:vMerge w:val="restart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C1809</w:t>
            </w:r>
          </w:p>
        </w:tc>
        <w:tc>
          <w:tcPr>
            <w:vAlign w:val="center"/>
          </w:tcPr>
          <w:p>
            <w:r>
              <w:t>1.62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M1821</w:t>
            </w:r>
          </w:p>
        </w:tc>
        <w:tc>
          <w:tcPr>
            <w:vAlign w:val="center"/>
          </w:tcPr>
          <w:p>
            <w:r>
              <w:t>3.78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外门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M1821</w:t>
            </w:r>
          </w:p>
        </w:tc>
        <w:tc>
          <w:tcPr>
            <w:vAlign w:val="center"/>
          </w:tcPr>
          <w:p>
            <w:r>
              <w:t>3.78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外门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M1821</w:t>
            </w:r>
          </w:p>
        </w:tc>
        <w:tc>
          <w:tcPr>
            <w:vAlign w:val="center"/>
          </w:tcPr>
          <w:p>
            <w:r>
              <w:t>3.78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外门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3.24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C1809</w:t>
            </w:r>
          </w:p>
        </w:tc>
        <w:tc>
          <w:tcPr>
            <w:vAlign w:val="center"/>
          </w:tcPr>
          <w:p>
            <w:r>
              <w:t>1.62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C1809</w:t>
            </w:r>
          </w:p>
        </w:tc>
        <w:tc>
          <w:tcPr>
            <w:vAlign w:val="center"/>
          </w:tcPr>
          <w:p>
            <w:r>
              <w:t>1.62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M1821</w:t>
            </w:r>
          </w:p>
        </w:tc>
        <w:tc>
          <w:tcPr>
            <w:vAlign w:val="center"/>
          </w:tcPr>
          <w:p>
            <w:r>
              <w:t>3.78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外门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3.24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M1021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外门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M1021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外门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M1021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外门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M1021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外门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M1021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外门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M1021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外门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11"/>
            <w:vAlign w:val="center"/>
          </w:tcPr>
          <w:p>
            <w:r>
              <w:t>《辽宁省公共建筑节能设计标准》(DB21/T 1899-2011)第4.2.6条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11"/>
            <w:vAlign w:val="center"/>
          </w:tcPr>
          <w:p>
            <w:r>
              <w:t>外窗开启比≥12%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11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8" w:name="_Toc15068"/>
      <w:r>
        <w:rPr>
          <w:kern w:val="2"/>
          <w:szCs w:val="24"/>
          <w:lang w:val="en-US"/>
        </w:rPr>
        <w:t>外窗气密性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《辽宁省公共建筑节能设计标准》(DB21/T 1899-2011)第4.3.4条，分级与检测方法《建筑外门窗气密，水密，抗风压性能分级及检测方法》(GB/T 7106-2008)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外窗气密性不应低于《建筑外门窗气密，水密，抗风压性能分级及检测方法》(GB/T 7106-2008)的6级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9" w:name="_Toc16280"/>
      <w:r>
        <w:rPr>
          <w:kern w:val="2"/>
          <w:szCs w:val="24"/>
          <w:lang w:val="en-US"/>
        </w:rPr>
        <w:t>幕墙气密性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《辽宁省公共建筑节能设计标准》(DB21/T 1899-2011)第4.3.4条，分级与检测方法《建筑幕墙物理性能分级》(GB/T21086)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幕墙气密性不应低于《建筑幕墙物理性能分级》(GB/T21086)的3级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0" w:name="_Toc8887"/>
      <w:r>
        <w:rPr>
          <w:kern w:val="2"/>
          <w:szCs w:val="24"/>
          <w:lang w:val="en-US"/>
        </w:rPr>
        <w:t>结论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外门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周边地面-控温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非周边地面-控温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可开启面积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jNGQ2Y2E5NGE5ZjliMWU0NTVhOGQ2MTI1MDM0ZGMifQ=="/>
  </w:docVars>
  <w:rsids>
    <w:rsidRoot w:val="1A6C1B22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1A6C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HUI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15</Pages>
  <Words>5338</Words>
  <Characters>8777</Characters>
  <Lines>42</Lines>
  <Paragraphs>12</Paragraphs>
  <TotalTime>2</TotalTime>
  <ScaleCrop>false</ScaleCrop>
  <LinksUpToDate>false</LinksUpToDate>
  <CharactersWithSpaces>9028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2023-11-22T02:23:00Z</dcterms:created>
  <dc:creator></dc:creator>
  <cp:lastModifiedBy></cp:lastModifiedBy>
  <dcterms:modified xsi:type="dcterms:W3CDTF">2023-11-22T02:25:33Z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045A4EA01427497389D5B81D4E32091B_11</vt:lpwstr>
  </property>
  <property fmtid="{D5CDD505-2E9C-101B-9397-08002B2CF9AE}" pid="3" name="KSOProductBuildVer">
    <vt:lpwstr>2052-12.1.0.15712</vt:lpwstr>
  </property>
</Properties>
</file>