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祝家大集设计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辽宁-沈阳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2023年11月22日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T13774722166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right" w:pos="9026"/>
        </w:tabs>
      </w:pPr>
      <w:bookmarkStart w:id="13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_Toc22253 </w:instrText>
      </w:r>
      <w: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_Toc22253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pos="9026"/>
        </w:tabs>
      </w:pPr>
      <w:r>
        <w:fldChar w:fldCharType="begin"/>
      </w:r>
      <w:r>
        <w:instrText xml:space="preserve"> HYPERLINK \l _Toc21380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_Toc21380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pos="9026"/>
        </w:tabs>
      </w:pPr>
      <w:r>
        <w:fldChar w:fldCharType="begin"/>
      </w:r>
      <w:r>
        <w:instrText xml:space="preserve"> HYPERLINK \l _Toc23258 </w:instrText>
      </w:r>
      <w: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_Toc23258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right" w:pos="9026"/>
        </w:tabs>
      </w:pPr>
      <w:r>
        <w:fldChar w:fldCharType="begin"/>
      </w:r>
      <w:r>
        <w:instrText xml:space="preserve"> HYPERLINK \l _Toc15035 </w:instrText>
      </w:r>
      <w: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_Toc15035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pos="9026"/>
        </w:tabs>
      </w:pPr>
      <w:r>
        <w:fldChar w:fldCharType="begin"/>
      </w:r>
      <w:r>
        <w:instrText xml:space="preserve"> HYPERLINK \l _Toc12765 </w:instrText>
      </w:r>
      <w: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_Toc12765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pos="9026"/>
        </w:tabs>
      </w:pPr>
      <w:r>
        <w:fldChar w:fldCharType="begin"/>
      </w:r>
      <w:r>
        <w:instrText xml:space="preserve"> HYPERLINK \l _Toc24277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_Toc24277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pos="9026"/>
        </w:tabs>
      </w:pPr>
      <w:r>
        <w:fldChar w:fldCharType="begin"/>
      </w:r>
      <w:r>
        <w:instrText xml:space="preserve"> HYPERLINK \l _Toc23747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屋顶构造一</w:t>
      </w:r>
      <w:r>
        <w:tab/>
      </w:r>
      <w:r>
        <w:fldChar w:fldCharType="begin"/>
      </w:r>
      <w:r>
        <w:instrText xml:space="preserve"> PAGEREF _Toc23747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_Toc24745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3.2.1 </w:t>
      </w:r>
      <w:r>
        <w:rPr>
          <w:rFonts w:hint="eastAsia"/>
        </w:rPr>
        <w:t>冷凝计算界面至围护结构内表面之间的热阻</w:t>
      </w:r>
      <w:r>
        <w:object>
          <v:shape id="_x0000_i114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14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_Toc24745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_Toc30551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3.2.2 </w:t>
      </w:r>
      <w:r>
        <w:rPr>
          <w:rFonts w:hint="eastAsia"/>
        </w:rPr>
        <w:t>冷凝计算界面温度</w:t>
      </w:r>
      <w:r>
        <w:rPr>
          <w:position w:val="-6"/>
        </w:rPr>
        <w:object>
          <v:shape id="_x0000_i1146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14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_Toc30551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_Toc14814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3.2.3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_Toc14814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pos="9026"/>
        </w:tabs>
      </w:pPr>
      <w:r>
        <w:fldChar w:fldCharType="begin"/>
      </w:r>
      <w:r>
        <w:instrText xml:space="preserve"> HYPERLINK \l _Toc21895 </w:instrText>
      </w:r>
      <w: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外墙构造一</w:t>
      </w:r>
      <w:r>
        <w:tab/>
      </w:r>
      <w:r>
        <w:fldChar w:fldCharType="begin"/>
      </w:r>
      <w:r>
        <w:instrText xml:space="preserve"> PAGEREF _Toc21895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_Toc13317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41300" cy="171450"/>
            <wp:effectExtent l="0" t="0" r="6350" b="0"/>
            <wp:docPr id="1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_Toc13317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_Toc12944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2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_Toc12944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_Toc7566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3.3.3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_Toc7566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pos="9026"/>
        </w:tabs>
      </w:pPr>
      <w:r>
        <w:fldChar w:fldCharType="begin"/>
      </w:r>
      <w:r>
        <w:instrText xml:space="preserve"> HYPERLINK \l _Toc19109 </w:instrText>
      </w:r>
      <w: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阳台隔墙构造一</w:t>
      </w:r>
      <w:r>
        <w:tab/>
      </w:r>
      <w:r>
        <w:fldChar w:fldCharType="begin"/>
      </w:r>
      <w:r>
        <w:instrText xml:space="preserve"> PAGEREF _Toc19109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_Toc21341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3.4.1 </w:t>
      </w:r>
      <w:r>
        <w:rPr>
          <w:rFonts w:hint="eastAsia"/>
        </w:rPr>
        <w:t>冷凝计算界面至围护结构内表面之间的热阻</w:t>
      </w:r>
      <w:r>
        <w:drawing>
          <wp:inline distT="0" distB="0" distL="114300" distR="114300">
            <wp:extent cx="241300" cy="171450"/>
            <wp:effectExtent l="0" t="0" r="6350" b="0"/>
            <wp:docPr id="3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_Toc21341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_Toc15021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3.4.2 </w:t>
      </w:r>
      <w:r>
        <w:rPr>
          <w:rFonts w:hint="eastAsia"/>
        </w:rPr>
        <w:t>冷凝计算界面温度</w:t>
      </w:r>
      <w:r>
        <w:rPr>
          <w:position w:val="-6"/>
        </w:rPr>
        <w:drawing>
          <wp:inline distT="0" distB="0" distL="114300" distR="114300">
            <wp:extent cx="171450" cy="171450"/>
            <wp:effectExtent l="0" t="0" r="0" b="0"/>
            <wp:docPr id="4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fldChar w:fldCharType="begin"/>
      </w:r>
      <w:r>
        <w:instrText xml:space="preserve"> PAGEREF _Toc15021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pos="9026"/>
        </w:tabs>
      </w:pPr>
      <w:r>
        <w:fldChar w:fldCharType="begin"/>
      </w:r>
      <w:r>
        <w:instrText xml:space="preserve"> HYPERLINK \l _Toc11271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3.4.3 </w:t>
      </w:r>
      <w:r>
        <w:rPr>
          <w:rFonts w:hint="eastAsia"/>
          <w:bCs w:val="0"/>
        </w:rPr>
        <w:t>围护结构冷凝受潮验算</w:t>
      </w:r>
      <w:r>
        <w:tab/>
      </w:r>
      <w:r>
        <w:fldChar w:fldCharType="begin"/>
      </w:r>
      <w:r>
        <w:instrText xml:space="preserve"> PAGEREF _Toc11271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pos="9026"/>
        </w:tabs>
      </w:pPr>
      <w:r>
        <w:fldChar w:fldCharType="begin"/>
      </w:r>
      <w:r>
        <w:instrText xml:space="preserve"> HYPERLINK \l _Toc7944 </w:instrText>
      </w:r>
      <w: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_Toc7944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r>
        <w:fldChar w:fldCharType="end"/>
      </w:r>
      <w:bookmarkEnd w:id="13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4" w:name="_Toc480186122"/>
      <w:bookmarkStart w:id="15" w:name="_Toc480218444"/>
      <w:bookmarkStart w:id="16" w:name="_Toc480186060"/>
      <w:bookmarkStart w:id="17" w:name="_Toc316568035"/>
      <w:bookmarkStart w:id="18" w:name="_Toc22253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名称"/>
            <w:r>
              <w:t>祝家大集设计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1" w:name="工程地点"/>
            <w:r>
              <w:t>辽宁-沈阳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2" w:name="纬度"/>
            <w:r>
              <w:rPr>
                <w:rFonts w:hint="eastAsia"/>
              </w:rPr>
              <w:t>41.81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3" w:name="经度"/>
            <w:r>
              <w:rPr>
                <w:rFonts w:hint="eastAsia"/>
              </w:rPr>
              <w:t>123.43</w:t>
            </w:r>
            <w:bookmarkEnd w:id="23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气候分区"/>
            <w:r>
              <w:t>严寒C区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面积"/>
            <w:r>
              <w:rPr>
                <w:rFonts w:hint="eastAsia"/>
              </w:rPr>
              <w:t>775</w:t>
            </w:r>
            <w:bookmarkEnd w:id="25"/>
            <w:r>
              <w:rPr>
                <w:rFonts w:hint="eastAsia"/>
              </w:rPr>
              <w:t>㎡    地下</w:t>
            </w:r>
            <w:bookmarkStart w:id="26" w:name="地下建筑面积"/>
            <w:r>
              <w:rPr>
                <w:rFonts w:hint="eastAsia"/>
              </w:rPr>
              <w:t>0</w:t>
            </w:r>
            <w:bookmarkEnd w:id="26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7" w:name="地上建筑层数"/>
            <w:r>
              <w:rPr>
                <w:rFonts w:hint="eastAsia"/>
              </w:rPr>
              <w:t>2</w:t>
            </w:r>
            <w:bookmarkEnd w:id="27"/>
            <w:r>
              <w:rPr>
                <w:rFonts w:hint="eastAsia"/>
              </w:rPr>
              <w:t xml:space="preserve">          地下</w:t>
            </w:r>
            <w:bookmarkStart w:id="28" w:name="地下建筑层数"/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地上建筑高度"/>
            <w:r>
              <w:rPr>
                <w:rFonts w:hint="eastAsia"/>
              </w:rPr>
              <w:t>14.0</w:t>
            </w:r>
            <w:bookmarkEnd w:id="29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1" w:name="_Toc316568036"/>
      <w:bookmarkStart w:id="32" w:name="_Toc480186123"/>
      <w:bookmarkStart w:id="33" w:name="_Toc480186061"/>
      <w:bookmarkStart w:id="34" w:name="_Toc480218445"/>
      <w:bookmarkStart w:id="35" w:name="_Toc21380"/>
      <w:bookmarkStart w:id="36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5"/>
    </w:p>
    <w:bookmarkEnd w:id="36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《辽宁省公共建筑节能设计标准》(DB21/T 1899-2011)</w:t>
      </w:r>
      <w:bookmarkEnd w:id="37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</w:t>
      </w:r>
      <w:bookmarkStart w:id="38" w:name="地方绿建评价标准"/>
      <w:r>
        <w:rPr>
          <w:rFonts w:hint="eastAsia"/>
        </w:rPr>
        <w:t>《绿色建筑评价标准》GB/T 50378-2019</w:t>
      </w:r>
      <w:bookmarkEnd w:id="38"/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23258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</w:t>
      </w:r>
      <w:bookmarkStart w:id="43" w:name="地方绿建评价标准：1"/>
      <w:r>
        <w:rPr>
          <w:rFonts w:hint="eastAsia"/>
        </w:rPr>
        <w:t>《绿色建筑评价标准》GB/T 50378-2019</w:t>
      </w:r>
      <w:bookmarkEnd w:id="43"/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4" w:name="_Toc480186063"/>
      <w:bookmarkStart w:id="45" w:name="_Toc480186125"/>
      <w:bookmarkStart w:id="46" w:name="_Toc480218447"/>
      <w:bookmarkStart w:id="47" w:name="_Toc479931706"/>
      <w:bookmarkStart w:id="48" w:name="_Toc15035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pt;width:162.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6.5pt;width: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3.5pt;width:2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3.5pt;width:20.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4pt;width:11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18pt;width:10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18pt;width:13.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19.5pt;width:19.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2765"/>
      <w:r>
        <w:rPr>
          <w:rFonts w:hint="eastAsia"/>
        </w:rPr>
        <w:t>防潮验算</w:t>
      </w:r>
      <w:r>
        <w:t>计算过程</w:t>
      </w:r>
      <w:bookmarkEnd w:id="49"/>
      <w:bookmarkEnd w:id="50"/>
      <w:bookmarkEnd w:id="51"/>
      <w:bookmarkEnd w:id="52"/>
    </w:p>
    <w:p>
      <w:pPr>
        <w:pStyle w:val="4"/>
        <w:spacing w:line="240" w:lineRule="atLeast"/>
        <w:rPr>
          <w:kern w:val="2"/>
        </w:rPr>
      </w:pPr>
      <w:bookmarkStart w:id="53" w:name="_Toc24277"/>
      <w:r>
        <w:rPr>
          <w:rFonts w:hint="eastAsia"/>
          <w:kern w:val="2"/>
        </w:rPr>
        <w:t>计算条件</w:t>
      </w:r>
      <w:bookmarkEnd w:id="53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4" o:spt="75" type="#_x0000_t75" style="height:17.5pt;width:10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6" w:name="t_e_avg"/>
            <w:r>
              <w:rPr>
                <w:rFonts w:hint="eastAsia"/>
              </w:rPr>
              <w:t>-4.50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7" w:name="室外相对湿度"/>
            <w:r>
              <w:rPr>
                <w:rFonts w:hint="eastAsia"/>
              </w:rPr>
              <w:t>55.00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8" w:name="Z"/>
            <w:r>
              <w:rPr>
                <w:rFonts w:hint="eastAsia"/>
              </w:rPr>
              <w:t>150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9" w:name="气象数据参考"/>
      <w:bookmarkEnd w:id="59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60" w:name="_Toc23747"/>
      <w:bookmarkStart w:id="61" w:name="构造ID"/>
      <w:bookmarkStart w:id="62" w:name="DataTab"/>
      <w:r>
        <w:rPr>
          <w:rFonts w:hint="eastAsia"/>
          <w:kern w:val="2"/>
        </w:rPr>
        <w:t>屋顶构造一</w:t>
      </w:r>
      <w:bookmarkEnd w:id="60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3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1.20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0.059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硬泡聚氨酯板PUR（ρ≥35）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0.0130</w:t>
            </w:r>
          </w:p>
        </w:tc>
        <w:tc>
          <w:tcPr>
            <w:tcW w:w="993" w:type="dxa"/>
            <w:vAlign w:val="center"/>
          </w:tcPr>
          <w:p>
            <w:r>
              <w:t>0.833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硬泡聚氨酯板PIR（ρ≥30）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4.167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岩棉保温板（ρ≥140）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140.00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3.000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酚醛泡沫板（ρ≥35）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0.024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0.0042</w:t>
            </w:r>
          </w:p>
        </w:tc>
        <w:tc>
          <w:tcPr>
            <w:tcW w:w="993" w:type="dxa"/>
            <w:vAlign w:val="center"/>
          </w:tcPr>
          <w:p>
            <w:r>
              <w:t>5.000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64" w:name="_Toc24745"/>
      <w:r>
        <w:rPr>
          <w:rFonts w:hint="eastAsia"/>
        </w:rPr>
        <w:t>冷凝计算界面至围护结构内表面之间的热阻</w:t>
      </w:r>
      <w:r>
        <w:object>
          <v:shape id="_x0000_i1055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3">
            <o:LockedField>false</o:LockedField>
          </o:OLEObject>
        </w:object>
      </w:r>
      <w:bookmarkEnd w:id="64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6" o:spt="75" type="#_x0000_t75" style="height:13.5pt;width:1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bookmarkStart w:id="65" w:name="R_o_i"/>
      <w:r>
        <w:rPr>
          <w:rFonts w:hint="eastAsia"/>
        </w:rPr>
        <w:t>13.02</w:t>
      </w:r>
    </w:p>
    <w:p>
      <w:pPr>
        <w:pStyle w:val="5"/>
        <w:ind w:right="1470"/>
      </w:pPr>
      <w:bookmarkStart w:id="66" w:name="_Toc30551"/>
      <w:r>
        <w:rPr>
          <w:rFonts w:hint="eastAsia"/>
        </w:rPr>
        <w:t>冷凝计算界面温度</w:t>
      </w:r>
      <w:r>
        <w:rPr>
          <w:position w:val="-6"/>
        </w:rPr>
        <w:object>
          <v:shape id="_x0000_i1057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5">
            <o:LockedField>false</o:LockedField>
          </o:OLEObject>
        </w:object>
      </w:r>
      <w:bookmarkEnd w:id="66"/>
    </w:p>
    <w:p>
      <w:pPr>
        <w:jc w:val="center"/>
      </w:pPr>
      <w:r>
        <w:object>
          <v:shape id="_x0000_i1058" o:spt="75" type="#_x0000_t75" style="height:33pt;width:11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8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9" o:spt="75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59" DrawAspect="Content" ObjectID="_1468075751" r:id="rId58">
            <o:LockedField>false</o:LockedField>
          </o:OLEObject>
        </w:object>
      </w:r>
      <w:r>
        <w:t>=</w:t>
      </w:r>
      <w:bookmarkStart w:id="67" w:name="θ_c"/>
      <w:r>
        <w:rPr>
          <w:rFonts w:hint="eastAsia"/>
        </w:rPr>
        <w:t>-4.33</w:t>
      </w:r>
    </w:p>
    <w:p>
      <w:pPr>
        <w:pStyle w:val="5"/>
        <w:ind w:right="1470"/>
      </w:pPr>
      <w:bookmarkStart w:id="68" w:name="_Toc14814"/>
      <w:r>
        <w:rPr>
          <w:rStyle w:val="32"/>
          <w:rFonts w:hint="eastAsia"/>
          <w:b/>
          <w:bCs w:val="0"/>
        </w:rPr>
        <w:t>围护结构冷凝受潮验算</w:t>
      </w:r>
      <w:bookmarkEnd w:id="68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0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1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H_o_i"/>
            <w:r>
              <w:rPr>
                <w:rFonts w:hint="eastAsia"/>
              </w:rPr>
              <w:t>38122.31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66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7" o:spt="75" type="#_x0000_t75" style="height:13.5pt;width:22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e"/>
            <w:r>
              <w:rPr>
                <w:rFonts w:hint="eastAsia"/>
              </w:rPr>
              <w:t>714.29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Pi"/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Pe"/>
            <w:r>
              <w:rPr>
                <w:rFonts w:hint="eastAsia"/>
              </w:rPr>
              <w:t>230.45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5pt;width:20.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8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sc"/>
            <w:r>
              <w:rPr>
                <w:rFonts w:hint="eastAsia"/>
              </w:rPr>
              <w:t>425.05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79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0" o:spt="75" type="#_x0000_t75" style="height:13.5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ρ"/>
            <w:r>
              <w:rPr>
                <w:rFonts w:hint="eastAsia"/>
              </w:rPr>
              <w:t>35.00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1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2" o:spt="75" type="#_x0000_t75" style="height:13.5pt;width:13.5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δi"/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3" o:spt="75" type="#_x0000_t75" style="height:43.5pt;width:142.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6.5pt;width:25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ω_l"/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7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78" w:name="_Toc21895"/>
      <w:r>
        <w:rPr>
          <w:rFonts w:hint="eastAsia"/>
          <w:kern w:val="2"/>
        </w:rPr>
        <w:t>外墙构造一</w:t>
      </w:r>
      <w:bookmarkEnd w:id="78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岩棉板(ρ=60-160)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0.041</w:t>
            </w:r>
          </w:p>
        </w:tc>
        <w:tc>
          <w:tcPr>
            <w:tcW w:w="671" w:type="dxa"/>
            <w:vAlign w:val="center"/>
          </w:tcPr>
          <w:p>
            <w:r>
              <w:t>1.10</w:t>
            </w:r>
          </w:p>
        </w:tc>
        <w:tc>
          <w:tcPr>
            <w:tcW w:w="992" w:type="dxa"/>
            <w:vAlign w:val="center"/>
          </w:tcPr>
          <w:p>
            <w:r>
              <w:t>110.00</w:t>
            </w:r>
          </w:p>
        </w:tc>
        <w:tc>
          <w:tcPr>
            <w:tcW w:w="1559" w:type="dxa"/>
            <w:vAlign w:val="center"/>
          </w:tcPr>
          <w:p>
            <w:r>
              <w:t>0.4880</w:t>
            </w:r>
          </w:p>
        </w:tc>
        <w:tc>
          <w:tcPr>
            <w:tcW w:w="993" w:type="dxa"/>
            <w:vAlign w:val="center"/>
          </w:tcPr>
          <w:p>
            <w:r>
              <w:t>2.217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粘土实心砖</w:t>
            </w:r>
          </w:p>
        </w:tc>
        <w:tc>
          <w:tcPr>
            <w:tcW w:w="848" w:type="dxa"/>
            <w:vAlign w:val="center"/>
          </w:tcPr>
          <w:p>
            <w:r>
              <w:t>370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0.1050</w:t>
            </w:r>
          </w:p>
        </w:tc>
        <w:tc>
          <w:tcPr>
            <w:tcW w:w="993" w:type="dxa"/>
            <w:vAlign w:val="center"/>
          </w:tcPr>
          <w:p>
            <w:r>
              <w:t>0.457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79" w:name="_Toc13317"/>
      <w:r>
        <w:rPr>
          <w:rFonts w:hint="eastAsia"/>
        </w:rPr>
        <w:t>冷凝计算界面至围护结构内表面之间的热阻</w:t>
      </w:r>
      <w:r>
        <w:pict>
          <v:shape id="_x0000_i1085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79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6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80" w:name="_Toc12944"/>
      <w:r>
        <w:rPr>
          <w:rFonts w:hint="eastAsia"/>
        </w:rPr>
        <w:t>冷凝计算界面温度</w:t>
      </w:r>
      <w:r>
        <w:rPr>
          <w:position w:val="-6"/>
        </w:rPr>
        <w:pict>
          <v:shape id="_x0000_i108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0"/>
    </w:p>
    <w:p>
      <w:pPr>
        <w:jc w:val="center"/>
      </w:pPr>
      <w:r>
        <w:pict>
          <v:shape id="_x0000_i1088" o:spt="75" type="#_x0000_t75" style="height:33pt;width:11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</w:t>
      </w:r>
    </w:p>
    <w:p>
      <w:pPr>
        <w:pStyle w:val="5"/>
        <w:ind w:right="1470"/>
      </w:pPr>
      <w:bookmarkStart w:id="81" w:name="_Toc7566"/>
      <w:r>
        <w:rPr>
          <w:rStyle w:val="32"/>
          <w:rFonts w:hint="eastAsia"/>
          <w:b/>
          <w:bCs w:val="0"/>
        </w:rPr>
        <w:t>围护结构冷凝受潮验算</w:t>
      </w:r>
      <w:bookmarkEnd w:id="81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0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1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096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7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230.45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0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6.5pt;width: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=5.00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82" w:name="_Toc19109"/>
      <w:r>
        <w:rPr>
          <w:rFonts w:hint="eastAsia"/>
          <w:kern w:val="2"/>
        </w:rPr>
        <w:t>阳台隔墙构造一</w:t>
      </w:r>
      <w:bookmarkEnd w:id="61"/>
      <w:bookmarkEnd w:id="82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3"/>
    </w:tbl>
    <w:p>
      <w:pPr>
        <w:pStyle w:val="3"/>
        <w:ind w:left="1470" w:right="1470"/>
      </w:pPr>
    </w:p>
    <w:p>
      <w:pPr>
        <w:pStyle w:val="5"/>
      </w:pPr>
      <w:bookmarkStart w:id="83" w:name="_Toc21341"/>
      <w:r>
        <w:rPr>
          <w:rFonts w:hint="eastAsia"/>
        </w:rPr>
        <w:t>冷凝计算界面至围护结构内表面之间的热阻</w:t>
      </w:r>
      <w:r>
        <w:pict>
          <v:shape id="_x0000_i1115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83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6" o:spt="75" type="#_x0000_t75" style="height:13.5pt;width:19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5"/>
    </w:p>
    <w:p>
      <w:pPr>
        <w:pStyle w:val="5"/>
        <w:ind w:right="1470"/>
      </w:pPr>
      <w:bookmarkStart w:id="84" w:name="_Toc15021"/>
      <w:r>
        <w:rPr>
          <w:rFonts w:hint="eastAsia"/>
        </w:rPr>
        <w:t>冷凝计算界面温度</w:t>
      </w:r>
      <w:r>
        <w:rPr>
          <w:position w:val="-6"/>
        </w:rPr>
        <w:pict>
          <v:shape id="_x0000_i1117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84"/>
    </w:p>
    <w:p>
      <w:pPr>
        <w:jc w:val="center"/>
      </w:pPr>
      <w:r>
        <w:pict>
          <v:shape id="_x0000_i1118" o:spt="75" type="#_x0000_t75" style="height:33pt;width:112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9" o:spt="75" type="#_x0000_t75" style="height:13.5pt;width:13.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-2.94</w:t>
      </w:r>
      <w:bookmarkEnd w:id="67"/>
    </w:p>
    <w:p>
      <w:pPr>
        <w:pStyle w:val="5"/>
        <w:ind w:right="1470"/>
      </w:pPr>
      <w:bookmarkStart w:id="85" w:name="_Toc11271"/>
      <w:r>
        <w:rPr>
          <w:rStyle w:val="32"/>
          <w:rFonts w:hint="eastAsia"/>
          <w:b/>
          <w:bCs w:val="0"/>
        </w:rPr>
        <w:t>围护结构冷凝受潮验算</w:t>
      </w:r>
      <w:bookmarkEnd w:id="85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20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1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4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5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14062.08</w:t>
            </w:r>
            <w:bookmarkEnd w:id="69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26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27" o:spt="75" type="#_x0000_t75" style="height:13.5pt;width:22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9" o:spt="75" type="#_x0000_t75" style="height:16pt;width: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30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31" o:spt="75" type="#_x0000_t75" style="height:16pt;width: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3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71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4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5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230.45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36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37" o:spt="75" type="#_x0000_t75" style="height:13.5pt;width:20.5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8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477.44</w:t>
            </w:r>
            <w:bookmarkEnd w:id="73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39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0" o:spt="75" type="#_x0000_t75" style="height:13.5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4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41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42" o:spt="75" type="#_x0000_t75" style="height:13.5pt;width:13.5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43" o:spt="75" type="#_x0000_t75" style="height:43.5pt;width:142.5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44" o:spt="75" type="#_x0000_t75" style="height:16.5pt;width:25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6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7"/>
          </w:p>
        </w:tc>
      </w:tr>
    </w:tbl>
    <w:p>
      <w:pPr>
        <w:widowControl/>
        <w:jc w:val="left"/>
      </w:pPr>
    </w:p>
    <w:bookmarkEnd w:id="62"/>
    <w:p>
      <w:pPr>
        <w:pStyle w:val="2"/>
        <w:widowControl/>
        <w:jc w:val="left"/>
      </w:pPr>
      <w:bookmarkStart w:id="86" w:name="_Toc7944"/>
      <w:bookmarkStart w:id="87" w:name="_GoBack"/>
      <w:bookmarkEnd w:id="87"/>
      <w:r>
        <w:t>验算结论</w:t>
      </w:r>
      <w:bookmarkEnd w:id="86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112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NGQ2Y2E5NGE5ZjliMWU0NTVhOGQ2MTI1MDM0ZGMifQ=="/>
  </w:docVars>
  <w:rsids>
    <w:rsidRoot w:val="764105D9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7641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8" Type="http://schemas.openxmlformats.org/officeDocument/2006/relationships/fontTable" Target="fontTable.xml"/><Relationship Id="rId77" Type="http://schemas.openxmlformats.org/officeDocument/2006/relationships/customXml" Target="../customXml/item1.xml"/><Relationship Id="rId76" Type="http://schemas.openxmlformats.org/officeDocument/2006/relationships/numbering" Target="numbering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HUI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2299</Words>
  <Characters>3283</Characters>
  <Lines>27</Lines>
  <Paragraphs>7</Paragraphs>
  <TotalTime>0</TotalTime>
  <ScaleCrop>false</ScaleCrop>
  <LinksUpToDate>false</LinksUpToDate>
  <CharactersWithSpaces>3415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2023-11-22T02:30:00Z</dcterms:created>
  <dc:creator></dc:creator>
  <cp:lastModifiedBy></cp:lastModifiedBy>
  <dcterms:modified xsi:type="dcterms:W3CDTF">2023-11-22T02:30:39Z</dcterms:modified>
  <dc:title>防潮验算计算书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3BE2020AF46B4CDEADA79051922D50ED_11</vt:lpwstr>
  </property>
  <property fmtid="{D5CDD505-2E9C-101B-9397-08002B2CF9AE}" pid="4" name="KSOProductBuildVer">
    <vt:lpwstr>2052-12.1.0.15712</vt:lpwstr>
  </property>
</Properties>
</file>