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T18779977659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_Toc19460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_Toc30670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_Toc30670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_Toc29729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_Toc27140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3.3.1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3.3.2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_Toc4555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_Toc26733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_Toc30775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_Toc18554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_Toc26807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_Toc25885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_Toc26628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_Toc13663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非采暖地下室顶板</w:t>
      </w:r>
      <w:r>
        <w:tab/>
      </w:r>
      <w:r>
        <w:fldChar w:fldCharType="begin"/>
      </w:r>
      <w:r>
        <w:instrText xml:space="preserve"> PAGEREF _Toc8793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分隔采暖与非采暖空间的隔墙</w:t>
      </w:r>
      <w:r>
        <w:tab/>
      </w:r>
      <w:r>
        <w:fldChar w:fldCharType="begin"/>
      </w:r>
      <w:r>
        <w:instrText xml:space="preserve"> PAGEREF _Toc25849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户门</w:t>
      </w:r>
      <w:r>
        <w:tab/>
      </w:r>
      <w:r>
        <w:fldChar w:fldCharType="begin"/>
      </w:r>
      <w:r>
        <w:instrText xml:space="preserve"> PAGEREF _Toc6431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t>单元外门</w:t>
      </w:r>
      <w:r>
        <w:tab/>
      </w:r>
      <w:r>
        <w:fldChar w:fldCharType="begin"/>
      </w:r>
      <w:r>
        <w:instrText xml:space="preserve"> PAGEREF _Toc32397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_Toc9934 </w:instrText>
      </w:r>
      <w:r>
        <w:fldChar w:fldCharType="separate"/>
      </w:r>
      <w:r>
        <w:rPr>
          <w:rFonts w:hint="eastAsia"/>
          <w:lang w:val="en-GB"/>
        </w:rPr>
        <w:t xml:space="preserve">3.11 </w:t>
      </w:r>
      <w:r>
        <w:t>天窗类型</w:t>
      </w:r>
      <w:r>
        <w:tab/>
      </w:r>
      <w:r>
        <w:fldChar w:fldCharType="begin"/>
      </w:r>
      <w:r>
        <w:instrText xml:space="preserve"> PAGEREF _Toc9934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_Toc18909 </w:instrText>
      </w:r>
      <w:r>
        <w:fldChar w:fldCharType="separate"/>
      </w:r>
      <w:r>
        <w:rPr>
          <w:rFonts w:hint="eastAsia"/>
          <w:lang w:val="en-GB"/>
        </w:rPr>
        <w:t xml:space="preserve">3.12 </w:t>
      </w:r>
      <w:r>
        <w:t>开敞阳台门</w:t>
      </w:r>
      <w:r>
        <w:tab/>
      </w:r>
      <w:r>
        <w:fldChar w:fldCharType="begin"/>
      </w:r>
      <w:r>
        <w:instrText xml:space="preserve"> PAGEREF _Toc18909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_Toc23792 </w:instrText>
      </w:r>
      <w:r>
        <w:fldChar w:fldCharType="separate"/>
      </w:r>
      <w:r>
        <w:rPr>
          <w:rFonts w:hint="eastAsia"/>
          <w:lang w:val="en-GB"/>
        </w:rPr>
        <w:t xml:space="preserve">3.13 </w:t>
      </w:r>
      <w:r>
        <w:t>外窗热工</w:t>
      </w:r>
      <w:r>
        <w:tab/>
      </w:r>
      <w:r>
        <w:fldChar w:fldCharType="begin"/>
      </w:r>
      <w:r>
        <w:instrText xml:space="preserve"> PAGEREF _Toc23792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3.13.1 </w:t>
      </w:r>
      <w:r>
        <w:t>外窗构造</w:t>
      </w:r>
      <w:r>
        <w:tab/>
      </w:r>
      <w:r>
        <w:fldChar w:fldCharType="begin"/>
      </w:r>
      <w:r>
        <w:instrText xml:space="preserve"> PAGEREF _Toc32743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3.13.2 </w:t>
      </w:r>
      <w:r>
        <w:t>平均传热系数</w:t>
      </w:r>
      <w:r>
        <w:tab/>
      </w:r>
      <w:r>
        <w:fldChar w:fldCharType="begin"/>
      </w:r>
      <w:r>
        <w:instrText xml:space="preserve"> PAGEREF _Toc20381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3.13.3 </w:t>
      </w:r>
      <w:r>
        <w:t>总体热工性能</w:t>
      </w:r>
      <w:r>
        <w:tab/>
      </w:r>
      <w:r>
        <w:fldChar w:fldCharType="begin"/>
      </w:r>
      <w:r>
        <w:instrText xml:space="preserve"> PAGEREF _Toc3866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3.13.4 </w:t>
      </w:r>
      <w:r>
        <w:t>外遮阳类型</w:t>
      </w:r>
      <w:r>
        <w:tab/>
      </w:r>
      <w:r>
        <w:fldChar w:fldCharType="begin"/>
      </w:r>
      <w:r>
        <w:instrText xml:space="preserve"> PAGEREF _Toc31607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3.13.5 </w:t>
      </w:r>
      <w:r>
        <w:t>平均遮阳系数</w:t>
      </w:r>
      <w:r>
        <w:tab/>
      </w:r>
      <w:r>
        <w:fldChar w:fldCharType="begin"/>
      </w:r>
      <w:r>
        <w:instrText xml:space="preserve"> PAGEREF _Toc20943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3.13.6 </w:t>
      </w:r>
      <w:r>
        <w:t>外窗遮阳系数</w:t>
      </w:r>
      <w:r>
        <w:tab/>
      </w:r>
      <w:r>
        <w:fldChar w:fldCharType="begin"/>
      </w:r>
      <w:r>
        <w:instrText xml:space="preserve"> PAGEREF _Toc26800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3.13.7 </w:t>
      </w:r>
      <w:r>
        <w:t>外窗全遮蔽外遮阳</w:t>
      </w:r>
      <w:r>
        <w:tab/>
      </w:r>
      <w:r>
        <w:fldChar w:fldCharType="begin"/>
      </w:r>
      <w:r>
        <w:instrText xml:space="preserve"> PAGEREF _Toc20933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_Toc23310 </w:instrText>
      </w:r>
      <w:r>
        <w:fldChar w:fldCharType="separate"/>
      </w:r>
      <w:r>
        <w:rPr>
          <w:rFonts w:hint="eastAsia"/>
          <w:lang w:val="en-GB"/>
        </w:rPr>
        <w:t xml:space="preserve">3.14 </w:t>
      </w:r>
      <w:r>
        <w:t>是否有凸窗</w:t>
      </w:r>
      <w:r>
        <w:tab/>
      </w:r>
      <w:r>
        <w:fldChar w:fldCharType="begin"/>
      </w:r>
      <w:r>
        <w:instrText xml:space="preserve"> PAGEREF _Toc23310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_Toc18567 </w:instrText>
      </w:r>
      <w:r>
        <w:fldChar w:fldCharType="separate"/>
      </w:r>
      <w:r>
        <w:rPr>
          <w:rFonts w:hint="eastAsia"/>
          <w:lang w:val="en-GB"/>
        </w:rPr>
        <w:t xml:space="preserve">3.15 </w:t>
      </w:r>
      <w:r>
        <w:t>凸窗板</w:t>
      </w:r>
      <w:r>
        <w:tab/>
      </w:r>
      <w:r>
        <w:fldChar w:fldCharType="begin"/>
      </w:r>
      <w:r>
        <w:instrText xml:space="preserve"> PAGEREF _Toc18567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_Toc8013 </w:instrText>
      </w:r>
      <w:r>
        <w:fldChar w:fldCharType="separate"/>
      </w:r>
      <w:r>
        <w:rPr>
          <w:rFonts w:hint="eastAsia"/>
          <w:lang w:val="en-GB"/>
        </w:rPr>
        <w:t xml:space="preserve">3.16 </w:t>
      </w:r>
      <w:r>
        <w:t>变形缝</w:t>
      </w:r>
      <w:r>
        <w:tab/>
      </w:r>
      <w:r>
        <w:fldChar w:fldCharType="begin"/>
      </w:r>
      <w:r>
        <w:instrText xml:space="preserve"> PAGEREF _Toc8013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_Toc19417 </w:instrText>
      </w:r>
      <w:r>
        <w:fldChar w:fldCharType="separate"/>
      </w:r>
      <w:r>
        <w:rPr>
          <w:rFonts w:hint="eastAsia"/>
          <w:lang w:val="en-GB"/>
        </w:rPr>
        <w:t xml:space="preserve">3.17 </w:t>
      </w:r>
      <w:r>
        <w:t>外窗气密性</w:t>
      </w:r>
      <w:r>
        <w:tab/>
      </w:r>
      <w:r>
        <w:fldChar w:fldCharType="begin"/>
      </w:r>
      <w:r>
        <w:instrText xml:space="preserve"> PAGEREF _Toc19417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_Toc18509 </w:instrText>
      </w:r>
      <w:r>
        <w:fldChar w:fldCharType="separate"/>
      </w:r>
      <w:r>
        <w:rPr>
          <w:rFonts w:hint="eastAsia"/>
          <w:lang w:val="en-GB"/>
        </w:rPr>
        <w:t xml:space="preserve">3.18 </w:t>
      </w:r>
      <w:r>
        <w:t>规定性指标检查结论</w:t>
      </w:r>
      <w:r>
        <w:tab/>
      </w:r>
      <w:r>
        <w:fldChar w:fldCharType="begin"/>
      </w:r>
      <w:r>
        <w:instrText xml:space="preserve"> PAGEREF _Toc18509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67"/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1946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196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160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>
      <w:pPr>
        <w:pStyle w:val="2"/>
      </w:pPr>
      <w:bookmarkStart w:id="30" w:name="_Toc30670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《北京市居住建筑节能设计标准》(DB11／891-2012)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9729"/>
      <w:r>
        <w:rPr>
          <w:kern w:val="2"/>
          <w:szCs w:val="24"/>
          <w:lang w:val="en-US"/>
        </w:rPr>
        <w:t>规定性指标检查</w:t>
      </w:r>
      <w:bookmarkEnd w:id="3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7140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1075.9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无机轻集料砂浆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1213.3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依据来源：JGJ 253-2011GB/T 20473-2006；注：密度：300~400；导热系数修正系数（β）：1.05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1376.7</w:t>
            </w:r>
          </w:p>
        </w:tc>
        <w:tc>
          <w:tcPr>
            <w:vAlign w:val="center"/>
          </w:tcPr>
          <w:p>
            <w:r>
              <w:t>0.0234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加气混凝土砌块及板材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9.590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11092.9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硬质聚氨酯(PU)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0.234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加气混凝土砌块及板材（1）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改性酚醛板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0.366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1113.8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8938"/>
      <w:r>
        <w:rPr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《北京市居住建筑节能设计标准》(DB11／891-2012)第3.1.3条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体形系数应符合表3.1.3的规定(s≤0.52)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7850"/>
      <w:r>
        <w:rPr>
          <w:kern w:val="2"/>
          <w:szCs w:val="24"/>
          <w:lang w:val="en-US"/>
        </w:rPr>
        <w:t>窗墙比</w:t>
      </w:r>
      <w:bookmarkEnd w:id="3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7" w:name="_Toc22166"/>
      <w:r>
        <w:rPr>
          <w:kern w:val="2"/>
          <w:szCs w:val="24"/>
          <w:lang w:val="en-US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27.93</w:t>
            </w:r>
          </w:p>
        </w:tc>
        <w:tc>
          <w:tcPr>
            <w:vAlign w:val="center"/>
          </w:tcPr>
          <w:p>
            <w:r>
              <w:t>95.37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12.36</w:t>
            </w:r>
          </w:p>
        </w:tc>
        <w:tc>
          <w:tcPr>
            <w:vAlign w:val="center"/>
          </w:tcPr>
          <w:p>
            <w:r>
              <w:t>95.37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18.45</w:t>
            </w:r>
          </w:p>
        </w:tc>
        <w:tc>
          <w:tcPr>
            <w:vAlign w:val="center"/>
          </w:tcPr>
          <w:p>
            <w:r>
              <w:t>129.51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132.91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《北京市居住建筑节能设计标准》(DB11／891-2012)第3.1.5条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各朝向窗墙比不应超过表3.1.5的限值，且进行权衡判断时不得大于其最大值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8" w:name="_Toc4555"/>
      <w:r>
        <w:rPr>
          <w:kern w:val="2"/>
          <w:szCs w:val="24"/>
          <w:lang w:val="en-US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27.93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C2720</w:t>
            </w:r>
          </w:p>
        </w:tc>
        <w:tc>
          <w:tcPr>
            <w:vAlign w:val="center"/>
          </w:tcPr>
          <w:p>
            <w:r>
              <w:t>2.70×2.00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4.20×2.00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9.00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18.45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  <w:r>
              <w:br w:type="textWrapping"/>
            </w:r>
            <w:r>
              <w:t>1.35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6733"/>
      <w:r>
        <w:rPr>
          <w:kern w:val="2"/>
          <w:szCs w:val="24"/>
          <w:lang w:val="en-US"/>
        </w:rPr>
        <w:t>屋顶</w:t>
      </w:r>
      <w:bookmarkEnd w:id="3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0" w:name="_Toc30775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无机轻集料砂浆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0.588</w:t>
            </w:r>
          </w:p>
        </w:tc>
        <w:tc>
          <w:tcPr>
            <w:vAlign w:val="center"/>
          </w:tcPr>
          <w:p>
            <w:r>
              <w:t>0.882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5.072</w:t>
            </w:r>
          </w:p>
        </w:tc>
        <w:tc>
          <w:tcPr>
            <w:vAlign w:val="center"/>
          </w:tcPr>
          <w:p>
            <w:r>
              <w:t>1.692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5.852</w:t>
            </w:r>
          </w:p>
        </w:tc>
        <w:tc>
          <w:tcPr>
            <w:vAlign w:val="center"/>
          </w:tcPr>
          <w:p>
            <w:r>
              <w:t>4.837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0.17, D = 4.84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0.17 * 1.10 = 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K值应当符合表3.2.2的要求(K≤0.30)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8554"/>
      <w:r>
        <w:rPr>
          <w:kern w:val="2"/>
          <w:szCs w:val="24"/>
          <w:lang w:val="en-US"/>
        </w:rPr>
        <w:t>外墙</w:t>
      </w:r>
      <w:bookmarkEnd w:id="4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2" w:name="_Toc26807"/>
      <w:r>
        <w:rPr>
          <w:kern w:val="2"/>
          <w:szCs w:val="24"/>
          <w:lang w:val="en-US"/>
        </w:rPr>
        <w:t>外墙相关构造</w:t>
      </w:r>
      <w:bookmarkEnd w:id="42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3.986</w:t>
            </w:r>
          </w:p>
        </w:tc>
        <w:tc>
          <w:tcPr>
            <w:vAlign w:val="center"/>
          </w:tcPr>
          <w:p>
            <w:r>
              <w:t>1.329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4.118</w:t>
            </w:r>
          </w:p>
        </w:tc>
        <w:tc>
          <w:tcPr>
            <w:vAlign w:val="center"/>
          </w:tcPr>
          <w:p>
            <w:r>
              <w:t>3.503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3" w:name="_Toc25885"/>
      <w:r>
        <w:rPr>
          <w:kern w:val="2"/>
          <w:szCs w:val="24"/>
          <w:lang w:val="en-US"/>
        </w:rPr>
        <w:t>外墙主断面传热系数的修正系数ψ</w:t>
      </w:r>
      <w:bookmarkEnd w:id="43"/>
    </w:p>
    <w:p>
      <w:pPr>
        <w:jc w:val="center"/>
        <w:rPr>
          <w:szCs w:val="21"/>
          <w:lang w:val="en-US"/>
        </w:rPr>
      </w:pPr>
      <w:bookmarkStart w:id="44" w:name="北京外墙K修正系数表"/>
      <w:r>
        <w:rPr>
          <w:szCs w:val="21"/>
          <w:lang w:val="en-US"/>
        </w:rPr>
        <w:drawing>
          <wp:inline distT="0" distB="0" distL="0" distR="0">
            <wp:extent cx="3670300" cy="23412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5660" cy="235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  <w:lang w:val="en-US"/>
        </w:rPr>
      </w:pPr>
      <w:r>
        <w:rPr>
          <w:rFonts w:hint="eastAsia"/>
          <w:szCs w:val="21"/>
          <w:lang w:val="en-US"/>
        </w:rPr>
        <w:t xml:space="preserve">    注：凸窗所占外窗总面积的比例≥30%时，应按凸窗一栏选用。</w:t>
      </w:r>
    </w:p>
    <w:bookmarkEnd w:id="44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5" w:name="_Toc26628"/>
      <w:r>
        <w:rPr>
          <w:kern w:val="2"/>
          <w:szCs w:val="24"/>
          <w:lang w:val="en-US"/>
        </w:rPr>
        <w:t>外墙平均热工特性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859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67.44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859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83.01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859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111.06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859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131.56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0.23 × 1.30 = 0.30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859"/>
        <w:gridCol w:w="16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393.07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5"/>
          </w:tcPr>
          <w:p>
            <w:pPr>
              <w:jc w:val="center"/>
            </w:pPr>
            <w:r>
              <w:t>0.23 × 1.30 = 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K值应当符合表3.2.2的要求(K≤0.35)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230"/>
      <w:r>
        <w:rPr>
          <w:kern w:val="2"/>
          <w:szCs w:val="24"/>
          <w:lang w:val="en-US"/>
        </w:rPr>
        <w:t>挑空楼板</w:t>
      </w:r>
      <w:bookmarkEnd w:id="4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3663"/>
      <w:r>
        <w:rPr>
          <w:kern w:val="2"/>
          <w:szCs w:val="24"/>
          <w:lang w:val="en-US"/>
        </w:rPr>
        <w:t>挑空楼板构造一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0.267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改性酚醛板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0.366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2.273</w:t>
            </w:r>
          </w:p>
        </w:tc>
        <w:tc>
          <w:tcPr>
            <w:vAlign w:val="center"/>
          </w:tcPr>
          <w:p>
            <w:r>
              <w:t>0.998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加气混凝土砌块及板材（1）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0.727</w:t>
            </w:r>
          </w:p>
        </w:tc>
        <w:tc>
          <w:tcPr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3.272</w:t>
            </w:r>
          </w:p>
        </w:tc>
        <w:tc>
          <w:tcPr>
            <w:vAlign w:val="center"/>
          </w:tcPr>
          <w:p>
            <w:r>
              <w:t>4.493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0.27, D = 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K值应符合表3.2.2的要求(K≤0.35)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8793"/>
      <w:r>
        <w:rPr>
          <w:kern w:val="2"/>
          <w:szCs w:val="24"/>
          <w:lang w:val="en-US"/>
        </w:rPr>
        <w:t>非采暖地下室顶板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5849"/>
      <w:r>
        <w:rPr>
          <w:kern w:val="2"/>
          <w:szCs w:val="24"/>
          <w:lang w:val="en-US"/>
        </w:rPr>
        <w:t>分隔采暖与非采暖空间的隔墙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6431"/>
      <w:r>
        <w:rPr>
          <w:kern w:val="2"/>
          <w:szCs w:val="24"/>
          <w:lang w:val="en-US"/>
        </w:rPr>
        <w:t>户门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1" w:name="_Toc32397"/>
      <w:r>
        <w:t>单元外门</w:t>
      </w:r>
      <w:bookmarkEnd w:id="51"/>
    </w:p>
    <w:p/>
    <w:p>
      <w:r>
        <w:tab/>
      </w:r>
      <w:r>
        <w:t>本工程无此项内容</w:t>
      </w:r>
    </w:p>
    <w:p>
      <w:pPr>
        <w:pStyle w:val="4"/>
      </w:pPr>
      <w:bookmarkStart w:id="52" w:name="_Toc9934"/>
      <w:r>
        <w:t>天窗类型</w:t>
      </w:r>
      <w:bookmarkEnd w:id="52"/>
    </w:p>
    <w:p>
      <w:r>
        <w:tab/>
      </w:r>
      <w:r>
        <w:t>本工程无此项内容</w:t>
      </w:r>
    </w:p>
    <w:p>
      <w:pPr>
        <w:pStyle w:val="4"/>
      </w:pPr>
      <w:bookmarkStart w:id="53" w:name="_Toc18909"/>
      <w:r>
        <w:t>开敞阳台门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下限-80系列平开下悬率木复合窗(内开)6+15Ar+6LowE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1.70</w:t>
            </w:r>
          </w:p>
        </w:tc>
      </w:tr>
    </w:tbl>
    <w:p/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094"/>
        <w:gridCol w:w="2094"/>
        <w:gridCol w:w="31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</w:tcPr>
          <w:p>
            <w:r>
              <w:t>各朝向阳台门的传热系数应满足表3.2.2的要求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54" w:name="_Toc23792"/>
      <w:r>
        <w:t>外窗热工</w:t>
      </w:r>
      <w:bookmarkEnd w:id="54"/>
    </w:p>
    <w:p>
      <w:pPr>
        <w:pStyle w:val="5"/>
      </w:pPr>
      <w:bookmarkStart w:id="55" w:name="_Toc32743"/>
      <w: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下限-65系列平开塑料窗(内开)5+12A+5+12A+5双银LowE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bookmarkStart w:id="56" w:name="_Toc20381"/>
      <w:r>
        <w:t>平均传热系数</w:t>
      </w:r>
      <w:bookmarkEnd w:id="56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C2720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27.930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18.450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/>
    <w:p>
      <w:pPr>
        <w:pStyle w:val="5"/>
      </w:pPr>
      <w:bookmarkStart w:id="57" w:name="_Toc3866"/>
      <w: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27.93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18.45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K≤1.80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56.73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各朝向外窗传热系数和遮阳系数满足表3.2.2的要求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5"/>
      </w:pPr>
      <w:bookmarkStart w:id="58" w:name="_Toc31607"/>
      <w:r>
        <w:t>外遮阳类型</w:t>
      </w:r>
      <w:bookmarkEnd w:id="58"/>
    </w:p>
    <w:p>
      <w:pPr>
        <w:pStyle w:val="6"/>
      </w:pPr>
      <w:r>
        <w:t>百叶遮阳</w:t>
      </w:r>
    </w:p>
    <w:p>
      <w:r>
        <w:drawing>
          <wp:inline distT="0" distB="0" distL="0" distR="0">
            <wp:extent cx="3390900" cy="2209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bookmarkStart w:id="59" w:name="_Toc20943"/>
      <w:r>
        <w:t>平均遮阳系数</w:t>
      </w:r>
      <w:bookmarkEnd w:id="59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C2720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27.930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0.549</w:t>
            </w:r>
          </w:p>
        </w:tc>
        <w:tc>
          <w:tcPr>
            <w:vAlign w:val="center"/>
          </w:tcPr>
          <w:p>
            <w:r>
              <w:t>0.082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0.108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18.450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</w:tbl>
    <w:p/>
    <w:p>
      <w: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=0.112</w:t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27.930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18.450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0.112</w:t>
            </w:r>
          </w:p>
        </w:tc>
      </w:tr>
    </w:tbl>
    <w:p/>
    <w:p>
      <w:pPr>
        <w:pStyle w:val="5"/>
      </w:pPr>
      <w:bookmarkStart w:id="60" w:name="_Toc26800"/>
      <w:r>
        <w:t>外窗遮阳系数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有</w:t>
            </w:r>
          </w:p>
        </w:tc>
        <w:tc>
          <w:tcPr>
            <w:vAlign w:val="center"/>
          </w:tcPr>
          <w:p>
            <w:r>
              <w:t>有可全遮蔽的外遮阳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有</w:t>
            </w:r>
          </w:p>
        </w:tc>
        <w:tc>
          <w:tcPr>
            <w:vAlign w:val="center"/>
          </w:tcPr>
          <w:p>
            <w:r>
              <w:t>有可全遮蔽的外遮阳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《北京市居住建筑节能设计标准》(DB11／891-2012)第3.2.4条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寒冷（B）区外窗综合遮阳系数应符合3.2.4的要求。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5"/>
      </w:pPr>
      <w:bookmarkStart w:id="61" w:name="_Toc20933"/>
      <w:r>
        <w:t>外窗全遮蔽外遮阳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15"/>
        <w:gridCol w:w="1550"/>
        <w:gridCol w:w="1505"/>
        <w:gridCol w:w="2116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可全遮蔽的外遮阳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有</w:t>
            </w:r>
          </w:p>
        </w:tc>
        <w:tc>
          <w:tcPr>
            <w:vAlign w:val="center"/>
          </w:tcPr>
          <w:p>
            <w:r>
              <w:t>有可全遮蔽的外遮阳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有</w:t>
            </w:r>
          </w:p>
        </w:tc>
        <w:tc>
          <w:tcPr>
            <w:vAlign w:val="center"/>
          </w:tcPr>
          <w:p>
            <w:r>
              <w:t>有可全遮蔽的外遮阳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《北京市居住建筑节能设计标准》(DB11／891-2012)第3.2.10条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《北京市居住建筑节能设计标准》(DB11／891-2012)第3.2.10条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4"/>
      </w:pPr>
      <w:bookmarkStart w:id="62" w:name="_Toc23310"/>
      <w:r>
        <w:t>是否有凸窗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不得设置凸窗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</w:tcPr>
          <w:p>
            <w:r>
              <w:t>《北京市居住建筑节能设计标准》(DB11／891-2012)第3.2.6条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</w:tcPr>
          <w:p>
            <w:r>
              <w:t>北向不得设置凸窗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18567"/>
      <w:r>
        <w:t>凸窗板</w:t>
      </w:r>
      <w:bookmarkEnd w:id="63"/>
    </w:p>
    <w:p>
      <w:r>
        <w:tab/>
      </w:r>
      <w:r>
        <w:t>本工程无此项内容</w:t>
      </w:r>
    </w:p>
    <w:p>
      <w:pPr>
        <w:pStyle w:val="4"/>
      </w:pPr>
      <w:bookmarkStart w:id="64" w:name="_Toc8013"/>
      <w:r>
        <w:t>变形缝</w:t>
      </w:r>
      <w:bookmarkEnd w:id="64"/>
    </w:p>
    <w:p>
      <w:r>
        <w:tab/>
      </w:r>
      <w:r>
        <w:t>本工程无此项内容</w:t>
      </w:r>
    </w:p>
    <w:p>
      <w:pPr>
        <w:pStyle w:val="4"/>
      </w:pPr>
      <w:bookmarkStart w:id="65" w:name="_Toc19417"/>
      <w: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《北京市居住建筑节能设计标准》(DB11／891-2012)第3.2.9条，分级与检测方法《建筑外门窗气密，水密，抗风压性能分级及检测方法》（GB/T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6" w:name="_Toc18509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开敞阳台门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是否有凸窗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2.75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D1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采暖区居建2010报告.dotx</Template>
  <Company>ths</Company>
  <Pages>4</Pages>
  <Words>895</Words>
  <Characters>5103</Characters>
  <Lines>42</Lines>
  <Paragraphs>11</Paragraphs>
  <TotalTime>0</TotalTime>
  <ScaleCrop>false</ScaleCrop>
  <LinksUpToDate>false</LinksUpToDate>
  <CharactersWithSpaces>5987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2017-02-23T02:50:00Z</dcterms:created>
  <dc:creator>wxk</dc:creator>
  <cp:lastModifiedBy>爵翼前夕</cp:lastModifiedBy>
  <cp:lastPrinted>2411-12-31T16:00:00Z</cp:lastPrinted>
  <dcterms:modified xsi:type="dcterms:W3CDTF">2024-01-09T12:35:03Z</dcterms:modified>
  <dc:title>建筑节能设计报告书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0E7707465E9B4309B5679EDAA9088913_12</vt:lpwstr>
  </property>
</Properties>
</file>