
<file path=[Content_Types].xml><?xml version="1.0" encoding="utf-8"?>
<Types xmlns="http://schemas.openxmlformats.org/package/2006/content-types">
  <Default Extension="jpeg" ContentType="image/jpeg"/>
  <Default Extension="JPG" ContentType="image/.jp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沁澜小筑</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吉林-长春</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2024年1月2日</w:t>
            </w:r>
            <w:bookmarkEnd w:id="6"/>
          </w:p>
        </w:tc>
      </w:tr>
    </w:tbl>
    <w:p>
      <w:pPr>
        <w:rPr>
          <w:rFonts w:ascii="宋体" w:hAnsi="宋体"/>
          <w:lang w:val="en-US"/>
        </w:rPr>
      </w:pPr>
    </w:p>
    <w:p>
      <w:pPr>
        <w:jc w:val="center"/>
        <w:rPr>
          <w:rFonts w:ascii="宋体" w:hAnsi="宋体"/>
          <w:b/>
          <w:bCs/>
          <w:sz w:val="30"/>
          <w:szCs w:val="32"/>
        </w:rPr>
      </w:pPr>
      <w:bookmarkStart w:id="7" w:name="二维码"/>
      <w:bookmarkEnd w:id="7"/>
      <w:r>
        <w:drawing>
          <wp:inline distT="0" distB="0" distL="0" distR="0">
            <wp:extent cx="1514475" cy="1514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T19552710518</w:t>
            </w:r>
            <w:bookmarkEnd w:id="10"/>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50" w:name="_GoBack"/>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_Toc13965 </w:instrText>
      </w:r>
      <w:r>
        <w:rPr>
          <w:rFonts w:ascii="宋体" w:hAnsi="宋体"/>
          <w:bCs w:val="0"/>
          <w:caps/>
        </w:rPr>
        <w:fldChar w:fldCharType="separate"/>
      </w:r>
      <w:r>
        <w:rPr>
          <w:rFonts w:hint="eastAsia"/>
        </w:rPr>
        <w:t>1 建筑概况</w:t>
      </w:r>
      <w:r>
        <w:tab/>
      </w:r>
      <w:r>
        <w:fldChar w:fldCharType="begin"/>
      </w:r>
      <w:r>
        <w:instrText xml:space="preserve"> PAGEREF _Toc13965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_Toc23196 </w:instrText>
      </w:r>
      <w:r>
        <w:fldChar w:fldCharType="separate"/>
      </w:r>
      <w:r>
        <w:rPr>
          <w:rFonts w:hint="eastAsia"/>
        </w:rPr>
        <w:t>2 计算依据</w:t>
      </w:r>
      <w:r>
        <w:tab/>
      </w:r>
      <w:r>
        <w:fldChar w:fldCharType="begin"/>
      </w:r>
      <w:r>
        <w:instrText xml:space="preserve"> PAGEREF _Toc23196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_Toc32616 </w:instrText>
      </w:r>
      <w:r>
        <w:fldChar w:fldCharType="separate"/>
      </w:r>
      <w:r>
        <w:rPr>
          <w:rFonts w:hint="eastAsia"/>
        </w:rPr>
        <w:t>3 计算要求</w:t>
      </w:r>
      <w:r>
        <w:tab/>
      </w:r>
      <w:r>
        <w:fldChar w:fldCharType="begin"/>
      </w:r>
      <w:r>
        <w:instrText xml:space="preserve"> PAGEREF _Toc32616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_Toc7240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_Toc7240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_Toc10575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_Toc10575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_Toc1779 </w:instrText>
      </w:r>
      <w:r>
        <w:fldChar w:fldCharType="separate"/>
      </w:r>
      <w:r>
        <w:rPr>
          <w:rFonts w:hint="eastAsia"/>
        </w:rPr>
        <w:t>4 软件介绍</w:t>
      </w:r>
      <w:r>
        <w:tab/>
      </w:r>
      <w:r>
        <w:fldChar w:fldCharType="begin"/>
      </w:r>
      <w:r>
        <w:instrText xml:space="preserve"> PAGEREF _Toc1779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_Toc4304 </w:instrText>
      </w:r>
      <w:r>
        <w:fldChar w:fldCharType="separate"/>
      </w:r>
      <w:r>
        <w:rPr>
          <w:rFonts w:hint="eastAsia"/>
        </w:rPr>
        <w:t>5 气象数据</w:t>
      </w:r>
      <w:r>
        <w:tab/>
      </w:r>
      <w:r>
        <w:fldChar w:fldCharType="begin"/>
      </w:r>
      <w:r>
        <w:instrText xml:space="preserve"> PAGEREF _Toc4304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_Toc14348 </w:instrText>
      </w:r>
      <w:r>
        <w:fldChar w:fldCharType="separate"/>
      </w:r>
      <w:r>
        <w:rPr>
          <w:rFonts w:hint="eastAsia"/>
          <w:lang w:val="en-GB"/>
        </w:rPr>
        <w:t xml:space="preserve">5.1 </w:t>
      </w:r>
      <w:r>
        <w:rPr>
          <w:rFonts w:hint="eastAsia"/>
        </w:rPr>
        <w:t>气象地点</w:t>
      </w:r>
      <w:r>
        <w:tab/>
      </w:r>
      <w:r>
        <w:fldChar w:fldCharType="begin"/>
      </w:r>
      <w:r>
        <w:instrText xml:space="preserve"> PAGEREF _Toc14348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_Toc11341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_Toc11341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_Toc10328 </w:instrText>
      </w:r>
      <w:r>
        <w:fldChar w:fldCharType="separate"/>
      </w:r>
      <w:r>
        <w:rPr>
          <w:rFonts w:hint="eastAsia"/>
          <w:lang w:val="en-GB"/>
        </w:rPr>
        <w:t xml:space="preserve">5.3 </w:t>
      </w:r>
      <w:r>
        <w:rPr>
          <w:rFonts w:hint="eastAsia"/>
        </w:rPr>
        <w:t>逐月辐照量表</w:t>
      </w:r>
      <w:r>
        <w:tab/>
      </w:r>
      <w:r>
        <w:fldChar w:fldCharType="begin"/>
      </w:r>
      <w:r>
        <w:instrText xml:space="preserve"> PAGEREF _Toc10328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_Toc9660 </w:instrText>
      </w:r>
      <w:r>
        <w:fldChar w:fldCharType="separate"/>
      </w:r>
      <w:r>
        <w:rPr>
          <w:rFonts w:hint="eastAsia"/>
          <w:lang w:val="en-GB"/>
        </w:rPr>
        <w:t xml:space="preserve">5.4 </w:t>
      </w:r>
      <w:r>
        <w:rPr>
          <w:rFonts w:hint="eastAsia"/>
        </w:rPr>
        <w:t>峰值工况</w:t>
      </w:r>
      <w:r>
        <w:tab/>
      </w:r>
      <w:r>
        <w:fldChar w:fldCharType="begin"/>
      </w:r>
      <w:r>
        <w:instrText xml:space="preserve"> PAGEREF _Toc9660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_Toc9521 </w:instrText>
      </w:r>
      <w:r>
        <w:fldChar w:fldCharType="separate"/>
      </w:r>
      <w:r>
        <w:rPr>
          <w:rFonts w:hint="eastAsia"/>
        </w:rPr>
        <w:t xml:space="preserve">6 </w:t>
      </w:r>
      <w:r>
        <w:t>围护结构</w:t>
      </w:r>
      <w:r>
        <w:tab/>
      </w:r>
      <w:r>
        <w:fldChar w:fldCharType="begin"/>
      </w:r>
      <w:r>
        <w:instrText xml:space="preserve"> PAGEREF _Toc9521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_Toc7011 </w:instrText>
      </w:r>
      <w:r>
        <w:fldChar w:fldCharType="separate"/>
      </w:r>
      <w:r>
        <w:rPr>
          <w:rFonts w:hint="eastAsia"/>
          <w:lang w:val="en-GB"/>
        </w:rPr>
        <w:t xml:space="preserve">6.1 </w:t>
      </w:r>
      <w:r>
        <w:t>工程材料</w:t>
      </w:r>
      <w:r>
        <w:tab/>
      </w:r>
      <w:r>
        <w:fldChar w:fldCharType="begin"/>
      </w:r>
      <w:r>
        <w:instrText xml:space="preserve"> PAGEREF _Toc7011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_Toc2255 </w:instrText>
      </w:r>
      <w:r>
        <w:fldChar w:fldCharType="separate"/>
      </w:r>
      <w:r>
        <w:rPr>
          <w:rFonts w:hint="eastAsia"/>
        </w:rPr>
        <w:t xml:space="preserve">7 </w:t>
      </w:r>
      <w:r>
        <w:t>房间类型</w:t>
      </w:r>
      <w:r>
        <w:tab/>
      </w:r>
      <w:r>
        <w:fldChar w:fldCharType="begin"/>
      </w:r>
      <w:r>
        <w:instrText xml:space="preserve"> PAGEREF _Toc2255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_Toc1912 </w:instrText>
      </w:r>
      <w:r>
        <w:fldChar w:fldCharType="separate"/>
      </w:r>
      <w:r>
        <w:rPr>
          <w:rFonts w:hint="eastAsia"/>
          <w:lang w:val="en-GB"/>
        </w:rPr>
        <w:t xml:space="preserve">7.1 </w:t>
      </w:r>
      <w:r>
        <w:t>房间表</w:t>
      </w:r>
      <w:r>
        <w:tab/>
      </w:r>
      <w:r>
        <w:fldChar w:fldCharType="begin"/>
      </w:r>
      <w:r>
        <w:instrText xml:space="preserve"> PAGEREF _Toc1912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_Toc20965 </w:instrText>
      </w:r>
      <w:r>
        <w:fldChar w:fldCharType="separate"/>
      </w:r>
      <w:r>
        <w:rPr>
          <w:rFonts w:hint="eastAsia"/>
          <w:lang w:val="en-GB"/>
        </w:rPr>
        <w:t xml:space="preserve">7.2 </w:t>
      </w:r>
      <w:r>
        <w:t>作息时间表</w:t>
      </w:r>
      <w:r>
        <w:tab/>
      </w:r>
      <w:r>
        <w:fldChar w:fldCharType="begin"/>
      </w:r>
      <w:r>
        <w:instrText xml:space="preserve"> PAGEREF _Toc20965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_Toc3540 </w:instrText>
      </w:r>
      <w:r>
        <w:fldChar w:fldCharType="separate"/>
      </w:r>
      <w:r>
        <w:rPr>
          <w:rFonts w:hint="eastAsia"/>
        </w:rPr>
        <w:t xml:space="preserve">8 </w:t>
      </w:r>
      <w:r>
        <w:t>设计建筑</w:t>
      </w:r>
      <w:r>
        <w:tab/>
      </w:r>
      <w:r>
        <w:fldChar w:fldCharType="begin"/>
      </w:r>
      <w:r>
        <w:instrText xml:space="preserve"> PAGEREF _Toc3540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_Toc32021 </w:instrText>
      </w:r>
      <w:r>
        <w:fldChar w:fldCharType="separate"/>
      </w:r>
      <w:r>
        <w:rPr>
          <w:rFonts w:hint="eastAsia"/>
          <w:lang w:val="en-GB"/>
        </w:rPr>
        <w:t xml:space="preserve">8.1 </w:t>
      </w:r>
      <w:r>
        <w:t>负荷分项统计</w:t>
      </w:r>
      <w:r>
        <w:tab/>
      </w:r>
      <w:r>
        <w:fldChar w:fldCharType="begin"/>
      </w:r>
      <w:r>
        <w:instrText xml:space="preserve"> PAGEREF _Toc32021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_Toc10259 </w:instrText>
      </w:r>
      <w:r>
        <w:fldChar w:fldCharType="separate"/>
      </w:r>
      <w:r>
        <w:rPr>
          <w:rFonts w:hint="eastAsia"/>
        </w:rPr>
        <w:t xml:space="preserve">9 </w:t>
      </w:r>
      <w:r>
        <w:t>参照建筑</w:t>
      </w:r>
      <w:r>
        <w:tab/>
      </w:r>
      <w:r>
        <w:fldChar w:fldCharType="begin"/>
      </w:r>
      <w:r>
        <w:instrText xml:space="preserve"> PAGEREF _Toc10259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_Toc22278 </w:instrText>
      </w:r>
      <w:r>
        <w:fldChar w:fldCharType="separate"/>
      </w:r>
      <w:r>
        <w:rPr>
          <w:rFonts w:hint="eastAsia"/>
          <w:lang w:val="en-GB"/>
        </w:rPr>
        <w:t xml:space="preserve">9.1 </w:t>
      </w:r>
      <w:r>
        <w:t>负荷分项统计</w:t>
      </w:r>
      <w:r>
        <w:tab/>
      </w:r>
      <w:r>
        <w:fldChar w:fldCharType="begin"/>
      </w:r>
      <w:r>
        <w:instrText xml:space="preserve"> PAGEREF _Toc22278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_Toc11223 </w:instrText>
      </w:r>
      <w:r>
        <w:fldChar w:fldCharType="separate"/>
      </w:r>
      <w:r>
        <w:rPr>
          <w:rFonts w:hint="eastAsia"/>
        </w:rPr>
        <w:t xml:space="preserve">10 </w:t>
      </w:r>
      <w:r>
        <w:t>计算结果</w:t>
      </w:r>
      <w:r>
        <w:tab/>
      </w:r>
      <w:r>
        <w:fldChar w:fldCharType="begin"/>
      </w:r>
      <w:r>
        <w:instrText xml:space="preserve"> PAGEREF _Toc11223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_Toc29726 </w:instrText>
      </w:r>
      <w:r>
        <w:fldChar w:fldCharType="separate"/>
      </w:r>
      <w:r>
        <w:rPr>
          <w:rFonts w:hint="eastAsia"/>
          <w:lang w:val="en-GB"/>
        </w:rPr>
        <w:t xml:space="preserve">10.1 </w:t>
      </w:r>
      <w:r>
        <w:t>围护结构热工性能对比</w:t>
      </w:r>
      <w:r>
        <w:tab/>
      </w:r>
      <w:r>
        <w:fldChar w:fldCharType="begin"/>
      </w:r>
      <w:r>
        <w:instrText xml:space="preserve"> PAGEREF _Toc29726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_Toc17417 </w:instrText>
      </w:r>
      <w:r>
        <w:fldChar w:fldCharType="separate"/>
      </w:r>
      <w:r>
        <w:rPr>
          <w:rFonts w:hint="eastAsia"/>
          <w:lang w:val="en-GB"/>
        </w:rPr>
        <w:t xml:space="preserve">10.2 </w:t>
      </w:r>
      <w:r>
        <w:t>围护结构节能率</w:t>
      </w:r>
      <w:r>
        <w:tab/>
      </w:r>
      <w:r>
        <w:fldChar w:fldCharType="begin"/>
      </w:r>
      <w:r>
        <w:instrText xml:space="preserve"> PAGEREF _Toc17417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_Toc9015 </w:instrText>
      </w:r>
      <w:r>
        <w:fldChar w:fldCharType="separate"/>
      </w:r>
      <w:r>
        <w:rPr>
          <w:rFonts w:hint="eastAsia"/>
        </w:rPr>
        <w:t xml:space="preserve">11 </w:t>
      </w:r>
      <w:r>
        <w:t>绿色建筑性能评估得分</w:t>
      </w:r>
      <w:r>
        <w:tab/>
      </w:r>
      <w:r>
        <w:fldChar w:fldCharType="begin"/>
      </w:r>
      <w:r>
        <w:instrText xml:space="preserve"> PAGEREF _Toc9015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_Toc32082 </w:instrText>
      </w:r>
      <w:r>
        <w:fldChar w:fldCharType="separate"/>
      </w:r>
      <w:r>
        <w:rPr>
          <w:rFonts w:hint="eastAsia"/>
        </w:rPr>
        <w:t xml:space="preserve">12 </w:t>
      </w:r>
      <w:r>
        <w:t>附录</w:t>
      </w:r>
      <w:r>
        <w:tab/>
      </w:r>
      <w:r>
        <w:fldChar w:fldCharType="begin"/>
      </w:r>
      <w:r>
        <w:instrText xml:space="preserve"> PAGEREF _Toc32082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_Toc6850 </w:instrText>
      </w:r>
      <w:r>
        <w:fldChar w:fldCharType="separate"/>
      </w:r>
      <w:r>
        <w:rPr>
          <w:rFonts w:hint="eastAsia"/>
          <w:lang w:val="en-GB"/>
        </w:rPr>
        <w:t xml:space="preserve">12.1 </w:t>
      </w:r>
      <w:r>
        <w:t>工作日/节假日人员逐时在室率(%)</w:t>
      </w:r>
      <w:r>
        <w:tab/>
      </w:r>
      <w:r>
        <w:fldChar w:fldCharType="begin"/>
      </w:r>
      <w:r>
        <w:instrText xml:space="preserve"> PAGEREF _Toc6850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_Toc18206 </w:instrText>
      </w:r>
      <w:r>
        <w:fldChar w:fldCharType="separate"/>
      </w:r>
      <w:r>
        <w:rPr>
          <w:rFonts w:hint="eastAsia"/>
          <w:lang w:val="en-GB"/>
        </w:rPr>
        <w:t xml:space="preserve">12.2 </w:t>
      </w:r>
      <w:r>
        <w:t>工作日/节假日照明开关时间表(%)</w:t>
      </w:r>
      <w:r>
        <w:tab/>
      </w:r>
      <w:r>
        <w:fldChar w:fldCharType="begin"/>
      </w:r>
      <w:r>
        <w:instrText xml:space="preserve"> PAGEREF _Toc18206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_Toc23603 </w:instrText>
      </w:r>
      <w:r>
        <w:fldChar w:fldCharType="separate"/>
      </w:r>
      <w:r>
        <w:rPr>
          <w:rFonts w:hint="eastAsia"/>
          <w:lang w:val="en-GB"/>
        </w:rPr>
        <w:t xml:space="preserve">12.3 </w:t>
      </w:r>
      <w:r>
        <w:t>工作日/节假日设备逐时使用率(%)</w:t>
      </w:r>
      <w:r>
        <w:tab/>
      </w:r>
      <w:r>
        <w:fldChar w:fldCharType="begin"/>
      </w:r>
      <w:r>
        <w:instrText xml:space="preserve"> PAGEREF _Toc23603 \h </w:instrText>
      </w:r>
      <w:r>
        <w:fldChar w:fldCharType="separate"/>
      </w:r>
      <w:r>
        <w:t>9</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bookmarkEnd w:id="150"/>
    </w:p>
    <w:p>
      <w:pPr>
        <w:pStyle w:val="16"/>
      </w:pPr>
    </w:p>
    <w:p>
      <w:pPr>
        <w:pStyle w:val="2"/>
      </w:pPr>
      <w:bookmarkStart w:id="11" w:name="_Toc1396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2" w:name="工程名称"/>
            <w:r>
              <w:t>沁澜小筑</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3" w:name="工程地点"/>
            <w:r>
              <w:t>吉林-长春</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44.00</w:t>
            </w:r>
            <w:bookmarkEnd w:id="14"/>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125.21</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108</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1</w:t>
            </w:r>
            <w:bookmarkEnd w:id="18"/>
            <w:r>
              <w:rPr>
                <w:rFonts w:hint="eastAsia" w:ascii="宋体" w:hAnsi="宋体"/>
                <w:lang w:val="en-US"/>
              </w:rPr>
              <w:t xml:space="preserve">          地下</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6.0</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2" w:name="建筑体积"/>
            <w:r>
              <w:t>418.56</w:t>
            </w:r>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外表面积"/>
            <w:r>
              <w:t>250.10</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4" w:name="北向角度"/>
            <w:r>
              <w:t>90</w:t>
            </w:r>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5" w:name="结构类型"/>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6" w:name="外墙ρ"/>
            <w:r>
              <w:rPr>
                <w:rFonts w:hint="eastAsia"/>
              </w:rPr>
              <w:t>0.75</w:t>
            </w: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7" w:name="屋顶ρ"/>
            <w:r>
              <w:rPr>
                <w:rFonts w:hint="eastAsia"/>
              </w:rPr>
              <w:t>0.75</w:t>
            </w:r>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8" w:name="控温期"/>
            <w:r>
              <w:t>供冷期:7.1-7.1,供暖期:10.20-4.6</w:t>
            </w:r>
            <w:bookmarkEnd w:id="28"/>
          </w:p>
        </w:tc>
      </w:tr>
    </w:tbl>
    <w:p>
      <w:pPr>
        <w:pStyle w:val="3"/>
        <w:ind w:firstLine="0" w:firstLineChars="0"/>
        <w:rPr>
          <w:lang w:val="en-US"/>
        </w:rPr>
      </w:pPr>
      <w:bookmarkStart w:id="29" w:name="TitleFormat"/>
    </w:p>
    <w:p>
      <w:pPr>
        <w:pStyle w:val="3"/>
        <w:ind w:firstLine="0" w:firstLineChars="0"/>
        <w:rPr>
          <w:lang w:val="en-US"/>
        </w:rPr>
      </w:pPr>
    </w:p>
    <w:p>
      <w:pPr>
        <w:pStyle w:val="2"/>
      </w:pPr>
      <w:bookmarkStart w:id="30" w:name="_Toc23196"/>
      <w:r>
        <w:rPr>
          <w:rFonts w:hint="eastAsia"/>
        </w:rPr>
        <w:t>计算依据</w:t>
      </w:r>
      <w:bookmarkEnd w:id="30"/>
    </w:p>
    <w:bookmarkEnd w:id="29"/>
    <w:p>
      <w:pPr>
        <w:widowControl w:val="0"/>
        <w:jc w:val="both"/>
        <w:rPr>
          <w:kern w:val="2"/>
          <w:szCs w:val="24"/>
          <w:lang w:val="en-US"/>
        </w:rPr>
      </w:pPr>
      <w:bookmarkStart w:id="31" w:name="计算依据"/>
      <w:bookmarkEnd w:id="31"/>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《吉林省居住建筑节能设计标准（节能75%）》DB22/T 5034-2019</w:t>
      </w:r>
    </w:p>
    <w:p>
      <w:pPr>
        <w:widowControl w:val="0"/>
        <w:jc w:val="both"/>
        <w:rPr>
          <w:kern w:val="2"/>
          <w:szCs w:val="24"/>
          <w:lang w:val="en-US"/>
        </w:rPr>
      </w:pPr>
      <w:r>
        <w:rPr>
          <w:kern w:val="2"/>
          <w:szCs w:val="24"/>
          <w:lang w:val="en-US"/>
        </w:rPr>
        <w:t>4. 《严寒和寒冷地区居住建筑节能设计标准》JGJ 26-2018</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r>
        <w:rPr>
          <w:kern w:val="2"/>
          <w:szCs w:val="24"/>
          <w:lang w:val="en-US"/>
        </w:rPr>
        <w:t>6. 《建筑外门窗气密，水密，抗风压性能分级及检测方法》GB/T 7106-2008</w:t>
      </w:r>
    </w:p>
    <w:p>
      <w:pPr>
        <w:widowControl w:val="0"/>
        <w:jc w:val="both"/>
        <w:rPr>
          <w:kern w:val="2"/>
          <w:szCs w:val="24"/>
          <w:lang w:val="en-US"/>
        </w:rPr>
      </w:pPr>
    </w:p>
    <w:p>
      <w:pPr>
        <w:pStyle w:val="2"/>
      </w:pPr>
      <w:bookmarkStart w:id="32" w:name="_Toc13616"/>
      <w:bookmarkStart w:id="33" w:name="_Toc32616"/>
      <w:r>
        <w:rPr>
          <w:rFonts w:hint="eastAsia"/>
        </w:rPr>
        <w:t>计算要求</w:t>
      </w:r>
      <w:bookmarkEnd w:id="32"/>
      <w:bookmarkEnd w:id="33"/>
    </w:p>
    <w:p>
      <w:pPr>
        <w:pStyle w:val="4"/>
        <w:tabs>
          <w:tab w:val="clear" w:pos="578"/>
        </w:tabs>
        <w:rPr>
          <w:kern w:val="2"/>
          <w:sz w:val="21"/>
        </w:rPr>
      </w:pPr>
      <w:bookmarkStart w:id="34" w:name="_Toc22090"/>
      <w:bookmarkStart w:id="35" w:name="_Toc7240"/>
      <w:r>
        <w:rPr>
          <w:rFonts w:hint="eastAsia"/>
          <w:kern w:val="2"/>
          <w:sz w:val="21"/>
        </w:rPr>
        <w:t>计算目标</w:t>
      </w:r>
      <w:bookmarkEnd w:id="34"/>
      <w:bookmarkEnd w:id="35"/>
    </w:p>
    <w:p>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pPr>
        <w:pStyle w:val="4"/>
        <w:tabs>
          <w:tab w:val="clear" w:pos="578"/>
        </w:tabs>
        <w:rPr>
          <w:kern w:val="2"/>
          <w:sz w:val="21"/>
        </w:rPr>
      </w:pPr>
      <w:bookmarkStart w:id="36" w:name="_Toc5419"/>
      <w:bookmarkStart w:id="37" w:name="_Toc10575"/>
      <w:r>
        <w:rPr>
          <w:rFonts w:hint="eastAsia"/>
          <w:kern w:val="2"/>
          <w:sz w:val="21"/>
        </w:rPr>
        <w:t>计算方法</w:t>
      </w:r>
      <w:bookmarkEnd w:id="36"/>
      <w:bookmarkEnd w:id="37"/>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（参照建筑全年围护结构耗冷耗热量 － 设计建筑全年围护结构耗冷耗热量）/参照建筑全年围护结构耗冷耗热量× 100%</w:t>
      </w:r>
      <w:bookmarkStart w:id="38" w:name="_Toc444763006"/>
    </w:p>
    <w:p>
      <w:pPr>
        <w:pStyle w:val="2"/>
      </w:pPr>
      <w:bookmarkStart w:id="39" w:name="_Toc59787735"/>
      <w:bookmarkStart w:id="40" w:name="_Toc58336110"/>
      <w:bookmarkStart w:id="41" w:name="_Toc1779"/>
      <w:r>
        <w:rPr>
          <w:rFonts w:hint="eastAsia"/>
        </w:rPr>
        <w:t>软件介绍</w:t>
      </w:r>
      <w:bookmarkEnd w:id="39"/>
      <w:bookmarkEnd w:id="40"/>
      <w:bookmarkEnd w:id="41"/>
    </w:p>
    <w:p>
      <w:pPr>
        <w:pStyle w:val="3"/>
        <w:ind w:firstLine="420"/>
        <w:rPr>
          <w:lang w:val="en-US"/>
        </w:rPr>
      </w:pPr>
      <w:r>
        <w:rPr>
          <w:rFonts w:hint="eastAsia"/>
          <w:lang w:val="en-US"/>
        </w:rPr>
        <w:t>本</w:t>
      </w:r>
      <w:r>
        <w:rPr>
          <w:lang w:val="en-US"/>
        </w:rPr>
        <w:t>报告</w:t>
      </w:r>
      <w:r>
        <w:rPr>
          <w:rFonts w:hint="eastAsia"/>
          <w:lang w:val="en-US"/>
        </w:rPr>
        <w:t>内容由</w:t>
      </w:r>
      <w:bookmarkStart w:id="42" w:name="软件全称＃2"/>
      <w:r>
        <w:rPr>
          <w:rFonts w:hint="eastAsia"/>
          <w:lang w:val="en-US"/>
        </w:rPr>
        <w:t>能耗计算BESI2023</w:t>
      </w:r>
      <w:bookmarkEnd w:id="42"/>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pPr>
        <w:pStyle w:val="2"/>
      </w:pPr>
      <w:bookmarkStart w:id="43" w:name="_Toc4304"/>
      <w:r>
        <w:rPr>
          <w:rFonts w:hint="eastAsia"/>
        </w:rPr>
        <w:t>气象数据</w:t>
      </w:r>
      <w:bookmarkEnd w:id="43"/>
    </w:p>
    <w:p>
      <w:pPr>
        <w:pStyle w:val="4"/>
      </w:pPr>
      <w:bookmarkStart w:id="44" w:name="_Toc14348"/>
      <w:r>
        <w:rPr>
          <w:rFonts w:hint="eastAsia"/>
        </w:rPr>
        <w:t>气象地点</w:t>
      </w:r>
      <w:bookmarkEnd w:id="44"/>
    </w:p>
    <w:p>
      <w:pPr>
        <w:pStyle w:val="3"/>
        <w:ind w:firstLine="420"/>
        <w:rPr>
          <w:lang w:val="en-US"/>
        </w:rPr>
      </w:pPr>
      <w:bookmarkStart w:id="45" w:name="气象数据来源"/>
      <w:r>
        <w:t>吉林-长春, 《中国建筑热环境分析专用气象数据集》</w:t>
      </w:r>
      <w:bookmarkEnd w:id="45"/>
    </w:p>
    <w:p>
      <w:pPr>
        <w:pStyle w:val="4"/>
      </w:pPr>
      <w:bookmarkStart w:id="46" w:name="_Toc11341"/>
      <w:r>
        <w:rPr>
          <w:rFonts w:hint="eastAsia"/>
        </w:rPr>
        <w:t>逐日干球温度表</w:t>
      </w:r>
      <w:bookmarkEnd w:id="46"/>
    </w:p>
    <w:p>
      <w:pPr>
        <w:pStyle w:val="3"/>
        <w:ind w:firstLine="0" w:firstLineChars="0"/>
        <w:rPr>
          <w:lang w:val="en-US"/>
        </w:rPr>
      </w:pPr>
      <w:bookmarkStart w:id="47" w:name="日均干球温度变化表"/>
      <w:bookmarkEnd w:id="47"/>
    </w:p>
    <w:p>
      <w:pPr>
        <w:pStyle w:val="4"/>
      </w:pPr>
      <w:bookmarkStart w:id="48" w:name="_Toc10328"/>
      <w:r>
        <w:rPr>
          <w:rFonts w:hint="eastAsia"/>
        </w:rPr>
        <w:t>逐月辐照量表</w:t>
      </w:r>
      <w:bookmarkEnd w:id="48"/>
    </w:p>
    <w:p>
      <w:pPr>
        <w:pStyle w:val="3"/>
        <w:ind w:firstLine="0" w:firstLineChars="0"/>
        <w:rPr>
          <w:lang w:val="en-US"/>
        </w:rPr>
      </w:pPr>
      <w:bookmarkStart w:id="49" w:name="逐月辐照量图表"/>
      <w:bookmarkEnd w:id="49"/>
    </w:p>
    <w:p>
      <w:pPr>
        <w:pStyle w:val="4"/>
      </w:pPr>
      <w:bookmarkStart w:id="50" w:name="_Toc9660"/>
      <w:r>
        <w:rPr>
          <w:rFonts w:hint="eastAsia"/>
        </w:rPr>
        <w:t>峰值工况</w:t>
      </w:r>
      <w:bookmarkEnd w:id="5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06月30日15时</w:t>
            </w:r>
          </w:p>
        </w:tc>
        <w:tc>
          <w:tcPr>
            <w:vAlign w:val="center"/>
          </w:tcPr>
          <w:p>
            <w:r>
              <w:t>34.4</w:t>
            </w:r>
          </w:p>
        </w:tc>
        <w:tc>
          <w:tcPr>
            <w:vAlign w:val="center"/>
          </w:tcPr>
          <w:p>
            <w:r>
              <w:t>21.1</w:t>
            </w:r>
          </w:p>
        </w:tc>
        <w:tc>
          <w:tcPr>
            <w:vAlign w:val="center"/>
          </w:tcPr>
          <w:p>
            <w:r>
              <w:t>10.8</w:t>
            </w:r>
          </w:p>
        </w:tc>
        <w:tc>
          <w:tcPr>
            <w:vAlign w:val="center"/>
          </w:tcPr>
          <w:p>
            <w:r>
              <w:t>62.3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01月21日07时</w:t>
            </w:r>
          </w:p>
        </w:tc>
        <w:tc>
          <w:tcPr>
            <w:vAlign w:val="center"/>
          </w:tcPr>
          <w:p>
            <w:r>
              <w:t>-28.3</w:t>
            </w:r>
          </w:p>
        </w:tc>
        <w:tc>
          <w:tcPr>
            <w:vAlign w:val="center"/>
          </w:tcPr>
          <w:p>
            <w:r>
              <w:t>-28.3</w:t>
            </w:r>
          </w:p>
        </w:tc>
        <w:tc>
          <w:tcPr>
            <w:vAlign w:val="center"/>
          </w:tcPr>
          <w:p>
            <w:r>
              <w:t>0.2</w:t>
            </w:r>
          </w:p>
        </w:tc>
        <w:tc>
          <w:tcPr>
            <w:vAlign w:val="center"/>
          </w:tcPr>
          <w:p>
            <w:r>
              <w:t>-28.0</w:t>
            </w:r>
          </w:p>
        </w:tc>
      </w:tr>
    </w:tbl>
    <w:p>
      <w:pPr>
        <w:pStyle w:val="2"/>
        <w:widowControl w:val="0"/>
        <w:jc w:val="both"/>
      </w:pPr>
      <w:bookmarkStart w:id="51" w:name="气象峰值工况"/>
      <w:bookmarkEnd w:id="51"/>
      <w:bookmarkStart w:id="52" w:name="_Toc9521"/>
      <w:r>
        <w:t>围护结构</w:t>
      </w:r>
      <w:bookmarkEnd w:id="52"/>
    </w:p>
    <w:p>
      <w:pPr>
        <w:pStyle w:val="4"/>
        <w:widowControl w:val="0"/>
        <w:jc w:val="both"/>
      </w:pPr>
      <w:bookmarkStart w:id="53" w:name="_Toc7011"/>
      <w:r>
        <w:t>工程材料</w:t>
      </w:r>
      <w:bookmarkEnd w:id="53"/>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蒸汽渗透系数u</w:t>
            </w:r>
          </w:p>
        </w:tc>
        <w:tc>
          <w:tcPr>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11.370</w:t>
            </w:r>
          </w:p>
        </w:tc>
        <w:tc>
          <w:tcPr>
            <w:vAlign w:val="center"/>
          </w:tcPr>
          <w:p>
            <w:r>
              <w:t>1800.0</w:t>
            </w:r>
          </w:p>
        </w:tc>
        <w:tc>
          <w:tcPr>
            <w:vAlign w:val="center"/>
          </w:tcPr>
          <w:p>
            <w:r>
              <w:t>1050.0</w:t>
            </w:r>
          </w:p>
        </w:tc>
        <w:tc>
          <w:tcPr>
            <w:vAlign w:val="center"/>
          </w:tcPr>
          <w:p>
            <w:r>
              <w:t>0.0210</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石灰砂浆</w:t>
            </w:r>
          </w:p>
        </w:tc>
        <w:tc>
          <w:tcPr>
            <w:vAlign w:val="center"/>
          </w:tcPr>
          <w:p>
            <w:r>
              <w:t>0.810</w:t>
            </w:r>
          </w:p>
        </w:tc>
        <w:tc>
          <w:tcPr>
            <w:vAlign w:val="center"/>
          </w:tcPr>
          <w:p>
            <w:r>
              <w:t>10.070</w:t>
            </w:r>
          </w:p>
        </w:tc>
        <w:tc>
          <w:tcPr>
            <w:vAlign w:val="center"/>
          </w:tcPr>
          <w:p>
            <w:r>
              <w:t>1600.0</w:t>
            </w:r>
          </w:p>
        </w:tc>
        <w:tc>
          <w:tcPr>
            <w:vAlign w:val="center"/>
          </w:tcPr>
          <w:p>
            <w:r>
              <w:t>1050.0</w:t>
            </w:r>
          </w:p>
        </w:tc>
        <w:tc>
          <w:tcPr>
            <w:vAlign w:val="center"/>
          </w:tcPr>
          <w:p>
            <w:r>
              <w:t>0.0443</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w:t>
            </w:r>
          </w:p>
        </w:tc>
        <w:tc>
          <w:tcPr>
            <w:vAlign w:val="center"/>
          </w:tcPr>
          <w:p>
            <w:r>
              <w:t>1.740</w:t>
            </w:r>
          </w:p>
        </w:tc>
        <w:tc>
          <w:tcPr>
            <w:vAlign w:val="center"/>
          </w:tcPr>
          <w:p>
            <w:r>
              <w:t>17.200</w:t>
            </w:r>
          </w:p>
        </w:tc>
        <w:tc>
          <w:tcPr>
            <w:vAlign w:val="center"/>
          </w:tcPr>
          <w:p>
            <w:r>
              <w:t>2500.0</w:t>
            </w:r>
          </w:p>
        </w:tc>
        <w:tc>
          <w:tcPr>
            <w:vAlign w:val="center"/>
          </w:tcPr>
          <w:p>
            <w:r>
              <w:t>920.0</w:t>
            </w:r>
          </w:p>
        </w:tc>
        <w:tc>
          <w:tcPr>
            <w:vAlign w:val="center"/>
          </w:tcPr>
          <w:p>
            <w:r>
              <w:t>0.0158</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碎石、卵石混凝土(ρ=2300)</w:t>
            </w:r>
          </w:p>
        </w:tc>
        <w:tc>
          <w:tcPr>
            <w:vAlign w:val="center"/>
          </w:tcPr>
          <w:p>
            <w:r>
              <w:t>1.510</w:t>
            </w:r>
          </w:p>
        </w:tc>
        <w:tc>
          <w:tcPr>
            <w:vAlign w:val="center"/>
          </w:tcPr>
          <w:p>
            <w:r>
              <w:t>15.360</w:t>
            </w:r>
          </w:p>
        </w:tc>
        <w:tc>
          <w:tcPr>
            <w:vAlign w:val="center"/>
          </w:tcPr>
          <w:p>
            <w:r>
              <w:t>2300.0</w:t>
            </w:r>
          </w:p>
        </w:tc>
        <w:tc>
          <w:tcPr>
            <w:vAlign w:val="center"/>
          </w:tcPr>
          <w:p>
            <w:r>
              <w:t>920.0</w:t>
            </w:r>
          </w:p>
        </w:tc>
        <w:tc>
          <w:tcPr>
            <w:vAlign w:val="center"/>
          </w:tcPr>
          <w:p>
            <w:r>
              <w:t>0.0173</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挤塑聚苯乙烯泡沫塑料（带表皮）</w:t>
            </w:r>
          </w:p>
        </w:tc>
        <w:tc>
          <w:tcPr>
            <w:vAlign w:val="center"/>
          </w:tcPr>
          <w:p>
            <w:r>
              <w:t>0.030</w:t>
            </w:r>
          </w:p>
        </w:tc>
        <w:tc>
          <w:tcPr>
            <w:vAlign w:val="center"/>
          </w:tcPr>
          <w:p>
            <w:r>
              <w:t>0.340</w:t>
            </w:r>
          </w:p>
        </w:tc>
        <w:tc>
          <w:tcPr>
            <w:vAlign w:val="center"/>
          </w:tcPr>
          <w:p>
            <w:r>
              <w:t>35.0</w:t>
            </w:r>
          </w:p>
        </w:tc>
        <w:tc>
          <w:tcPr>
            <w:vAlign w:val="center"/>
          </w:tcPr>
          <w:p>
            <w:r>
              <w:t>1380.0</w:t>
            </w:r>
          </w:p>
        </w:tc>
        <w:tc>
          <w:tcPr>
            <w:vAlign w:val="center"/>
          </w:tcPr>
          <w:p>
            <w:r>
              <w:t>0.0000</w:t>
            </w:r>
          </w:p>
        </w:tc>
        <w:tc>
          <w:tcPr>
            <w:vAlign w:val="center"/>
          </w:tcPr>
          <w:p>
            <w:r>
              <w:rPr>
                <w:sz w:val="18"/>
                <w:szCs w:val="18"/>
              </w:rPr>
              <w:t>来源：《民用建筑热工设计规范》GB50176-2016，蒸汽渗透系数没有给出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加气混凝土、泡沫混凝土(ρ=700)</w:t>
            </w:r>
          </w:p>
        </w:tc>
        <w:tc>
          <w:tcPr>
            <w:vAlign w:val="center"/>
          </w:tcPr>
          <w:p>
            <w:r>
              <w:t>0.180</w:t>
            </w:r>
          </w:p>
        </w:tc>
        <w:tc>
          <w:tcPr>
            <w:vAlign w:val="center"/>
          </w:tcPr>
          <w:p>
            <w:r>
              <w:t>3.100</w:t>
            </w:r>
          </w:p>
        </w:tc>
        <w:tc>
          <w:tcPr>
            <w:vAlign w:val="center"/>
          </w:tcPr>
          <w:p>
            <w:r>
              <w:t>700.0</w:t>
            </w:r>
          </w:p>
        </w:tc>
        <w:tc>
          <w:tcPr>
            <w:vAlign w:val="center"/>
          </w:tcPr>
          <w:p>
            <w:r>
              <w:t>1050.0</w:t>
            </w:r>
          </w:p>
        </w:tc>
        <w:tc>
          <w:tcPr>
            <w:vAlign w:val="center"/>
          </w:tcPr>
          <w:p>
            <w:r>
              <w:t>0.0998</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混凝土多孔砖(190六孔砖）</w:t>
            </w:r>
          </w:p>
        </w:tc>
        <w:tc>
          <w:tcPr>
            <w:vAlign w:val="center"/>
          </w:tcPr>
          <w:p>
            <w:r>
              <w:t>0.750</w:t>
            </w:r>
          </w:p>
        </w:tc>
        <w:tc>
          <w:tcPr>
            <w:vAlign w:val="center"/>
          </w:tcPr>
          <w:p>
            <w:r>
              <w:t>7.490</w:t>
            </w:r>
          </w:p>
        </w:tc>
        <w:tc>
          <w:tcPr>
            <w:vAlign w:val="center"/>
          </w:tcPr>
          <w:p>
            <w:r>
              <w:t>1450.0</w:t>
            </w:r>
          </w:p>
        </w:tc>
        <w:tc>
          <w:tcPr>
            <w:vAlign w:val="center"/>
          </w:tcPr>
          <w:p>
            <w:r>
              <w:t>709.4</w:t>
            </w:r>
          </w:p>
        </w:tc>
        <w:tc>
          <w:tcPr>
            <w:vAlign w:val="center"/>
          </w:tcPr>
          <w:p>
            <w:r>
              <w:t>0.0000</w:t>
            </w:r>
          </w:p>
        </w:tc>
        <w:tc>
          <w:tcPr>
            <w:vAlign w:val="center"/>
          </w:tcPr>
          <w:p>
            <w:pPr>
              <w:rPr>
                <w:sz w:val="18"/>
                <w:szCs w:val="18"/>
              </w:rPr>
            </w:pPr>
          </w:p>
        </w:tc>
      </w:tr>
    </w:tbl>
    <w:p>
      <w:pPr>
        <w:pStyle w:val="2"/>
        <w:widowControl w:val="0"/>
        <w:jc w:val="both"/>
      </w:pPr>
      <w:bookmarkStart w:id="54" w:name="_Toc2255"/>
      <w:r>
        <w:t>房间类型</w:t>
      </w:r>
      <w:bookmarkEnd w:id="54"/>
    </w:p>
    <w:p>
      <w:pPr>
        <w:pStyle w:val="4"/>
        <w:widowControl w:val="0"/>
        <w:jc w:val="both"/>
      </w:pPr>
      <w:bookmarkStart w:id="55" w:name="_Toc1912"/>
      <w:r>
        <w:t>房间表</w:t>
      </w:r>
      <w:bookmarkEnd w:id="55"/>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主卧室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过厅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餐厅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4"/>
        <w:widowControl w:val="0"/>
        <w:jc w:val="both"/>
      </w:pPr>
      <w:bookmarkStart w:id="56" w:name="_Toc20965"/>
      <w:r>
        <w:t>作息时间表</w:t>
      </w:r>
      <w:bookmarkEnd w:id="56"/>
    </w:p>
    <w:p>
      <w:pPr>
        <w:widowControl w:val="0"/>
        <w:jc w:val="both"/>
      </w:pPr>
      <w:r>
        <w:t>详见附录</w:t>
      </w:r>
    </w:p>
    <w:p>
      <w:pPr>
        <w:pStyle w:val="2"/>
        <w:widowControl w:val="0"/>
        <w:jc w:val="both"/>
      </w:pPr>
      <w:bookmarkStart w:id="57" w:name="_Toc3540"/>
      <w:r>
        <w:t>设计建筑</w:t>
      </w:r>
      <w:bookmarkEnd w:id="57"/>
    </w:p>
    <w:p>
      <w:pPr>
        <w:pStyle w:val="4"/>
        <w:widowControl w:val="0"/>
        <w:jc w:val="both"/>
      </w:pPr>
      <w:bookmarkStart w:id="58" w:name="_Toc32021"/>
      <w:r>
        <w:t>负荷分项统计</w:t>
      </w:r>
      <w:bookmarkEnd w:id="5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-2.68</w:t>
            </w:r>
          </w:p>
        </w:tc>
        <w:tc>
          <w:tcPr>
            <w:vAlign w:val="center"/>
          </w:tcPr>
          <w:p>
            <w:r>
              <w:t>0.46</w:t>
            </w:r>
          </w:p>
        </w:tc>
        <w:tc>
          <w:tcPr>
            <w:vAlign w:val="center"/>
          </w:tcPr>
          <w:p>
            <w:r>
              <w:t>0.61</w:t>
            </w:r>
          </w:p>
        </w:tc>
        <w:tc>
          <w:tcPr>
            <w:vAlign w:val="center"/>
          </w:tcPr>
          <w:p>
            <w:r>
              <w:t>-0.37</w:t>
            </w:r>
          </w:p>
        </w:tc>
        <w:tc>
          <w:tcPr>
            <w:vAlign w:val="center"/>
          </w:tcPr>
          <w:p>
            <w:r>
              <w:t>0.00</w:t>
            </w:r>
          </w:p>
        </w:tc>
        <w:tc>
          <w:tcPr>
            <w:vAlign w:val="center"/>
          </w:tcPr>
          <w:p>
            <w:r>
              <w:t>-1.97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r>
    </w:tbl>
    <w:p>
      <w:pPr>
        <w:pStyle w:val="2"/>
      </w:pPr>
      <w:bookmarkStart w:id="59" w:name="_Toc10259"/>
      <w:r>
        <w:t>参照建筑</w:t>
      </w:r>
      <w:bookmarkEnd w:id="59"/>
    </w:p>
    <w:p>
      <w:pPr>
        <w:pStyle w:val="4"/>
        <w:widowControl w:val="0"/>
        <w:jc w:val="both"/>
      </w:pPr>
      <w:bookmarkStart w:id="60" w:name="_Toc22278"/>
      <w:r>
        <w:t>负荷分项统计</w:t>
      </w:r>
      <w:bookmarkEnd w:id="6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-0.31</w:t>
            </w:r>
          </w:p>
        </w:tc>
        <w:tc>
          <w:tcPr>
            <w:vAlign w:val="center"/>
          </w:tcPr>
          <w:p>
            <w:r>
              <w:t>0.08</w:t>
            </w:r>
          </w:p>
        </w:tc>
        <w:tc>
          <w:tcPr>
            <w:vAlign w:val="center"/>
          </w:tcPr>
          <w:p>
            <w:r>
              <w:t>0.07</w:t>
            </w:r>
          </w:p>
        </w:tc>
        <w:tc>
          <w:tcPr>
            <w:vAlign w:val="center"/>
          </w:tcPr>
          <w:p>
            <w:r>
              <w:t>-0.09</w:t>
            </w:r>
          </w:p>
        </w:tc>
        <w:tc>
          <w:tcPr>
            <w:vAlign w:val="center"/>
          </w:tcPr>
          <w:p>
            <w:r>
              <w:t>0.00</w:t>
            </w:r>
          </w:p>
        </w:tc>
        <w:tc>
          <w:tcPr>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r>
    </w:tbl>
    <w:p>
      <w:pPr>
        <w:pStyle w:val="2"/>
      </w:pPr>
      <w:bookmarkStart w:id="61" w:name="_Toc11223"/>
      <w:r>
        <w:t>计算结果</w:t>
      </w:r>
      <w:bookmarkEnd w:id="61"/>
    </w:p>
    <w:p>
      <w:pPr>
        <w:pStyle w:val="4"/>
        <w:widowControl w:val="0"/>
        <w:jc w:val="both"/>
      </w:pPr>
      <w:bookmarkStart w:id="62" w:name="_Toc29726"/>
      <w:r>
        <w:t>围护结构热工性能对比</w:t>
      </w:r>
      <w:bookmarkEnd w:id="62"/>
    </w:p>
    <w:p/>
    <w:tbl>
      <w:tblPr>
        <w:tblStyle w:val="18"/>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681"/>
        <w:gridCol w:w="950"/>
        <w:gridCol w:w="780"/>
        <w:gridCol w:w="1401"/>
        <w:gridCol w:w="1081"/>
        <w:gridCol w:w="772"/>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jc w:val="center"/>
              <w:rPr>
                <w:rFonts w:eastAsia="宋体"/>
                <w:bCs/>
                <w:sz w:val="21"/>
                <w:szCs w:val="21"/>
                <w:lang w:eastAsia="zh-CN"/>
              </w:rPr>
            </w:pPr>
          </w:p>
        </w:tc>
        <w:tc>
          <w:tcPr>
            <w:tcW w:w="1602" w:type="pct"/>
            <w:gridSpan w:val="3"/>
            <w:shd w:val="clear" w:color="auto" w:fill="E6E6E6"/>
            <w:vAlign w:val="center"/>
          </w:tcPr>
          <w:p>
            <w:pPr>
              <w:jc w:val="center"/>
              <w:rPr>
                <w:rFonts w:eastAsia="宋体"/>
                <w:bCs/>
                <w:sz w:val="21"/>
                <w:szCs w:val="21"/>
                <w:lang w:eastAsia="zh-CN"/>
              </w:rPr>
            </w:pPr>
            <w:bookmarkStart w:id="63" w:name="设计建筑别名"/>
            <w:r>
              <w:rPr>
                <w:rFonts w:hAnsi="宋体" w:eastAsia="宋体"/>
                <w:bCs/>
                <w:sz w:val="21"/>
                <w:szCs w:val="21"/>
                <w:lang w:eastAsia="zh-CN"/>
              </w:rPr>
              <w:t>设计建筑</w:t>
            </w:r>
          </w:p>
        </w:tc>
        <w:tc>
          <w:tcPr>
            <w:tcW w:w="1654" w:type="pct"/>
            <w:gridSpan w:val="3"/>
            <w:shd w:val="clear" w:color="auto" w:fill="E6E6E6"/>
            <w:vAlign w:val="center"/>
          </w:tcPr>
          <w:p>
            <w:pPr>
              <w:jc w:val="center"/>
              <w:rPr>
                <w:rFonts w:eastAsia="宋体"/>
                <w:bCs/>
                <w:sz w:val="21"/>
                <w:szCs w:val="21"/>
                <w:lang w:eastAsia="zh-CN"/>
              </w:rPr>
            </w:pPr>
            <w:bookmarkStart w:id="64" w:name="参照建筑别名"/>
            <w:r>
              <w:rPr>
                <w:rFonts w:hAnsi="宋体" w:eastAsia="宋体"/>
                <w:kern w:val="0"/>
                <w:sz w:val="21"/>
                <w:szCs w:val="21"/>
                <w:lang w:eastAsia="zh-CN"/>
              </w:rPr>
              <w:t>参照建筑</w:t>
            </w:r>
            <w:bookmarkEnd w:id="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602" w:type="pct"/>
            <w:gridSpan w:val="3"/>
            <w:vAlign w:val="center"/>
          </w:tcPr>
          <w:p>
            <w:pPr>
              <w:jc w:val="center"/>
              <w:rPr>
                <w:rFonts w:eastAsia="宋体"/>
                <w:bCs/>
                <w:sz w:val="21"/>
                <w:szCs w:val="21"/>
                <w:lang w:eastAsia="zh-CN"/>
              </w:rPr>
            </w:pPr>
            <w:bookmarkStart w:id="65" w:name="体形系数"/>
            <w:r>
              <w:rPr>
                <w:rFonts w:hint="eastAsia" w:eastAsia="宋体"/>
                <w:bCs/>
                <w:sz w:val="21"/>
                <w:szCs w:val="21"/>
                <w:lang w:eastAsia="zh-CN"/>
              </w:rPr>
              <w:t>0.60</w:t>
            </w:r>
            <w:bookmarkEnd w:id="65"/>
          </w:p>
        </w:tc>
        <w:tc>
          <w:tcPr>
            <w:tcW w:w="1654" w:type="pct"/>
            <w:gridSpan w:val="3"/>
            <w:vAlign w:val="center"/>
          </w:tcPr>
          <w:p>
            <w:pPr>
              <w:jc w:val="center"/>
              <w:rPr>
                <w:rFonts w:eastAsia="宋体"/>
                <w:bCs/>
                <w:sz w:val="21"/>
                <w:szCs w:val="21"/>
                <w:lang w:eastAsia="zh-CN"/>
              </w:rPr>
            </w:pPr>
            <w:bookmarkStart w:id="66" w:name="参照建筑体形系数"/>
            <w:r>
              <w:rPr>
                <w:rFonts w:hint="eastAsia" w:eastAsia="宋体"/>
                <w:bCs/>
                <w:sz w:val="21"/>
                <w:szCs w:val="21"/>
                <w:lang w:eastAsia="zh-CN"/>
              </w:rPr>
              <w:t>0.55</w:t>
            </w:r>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602" w:type="pct"/>
            <w:gridSpan w:val="3"/>
            <w:vAlign w:val="center"/>
          </w:tcPr>
          <w:p>
            <w:pPr>
              <w:jc w:val="center"/>
              <w:rPr>
                <w:rFonts w:eastAsia="宋体"/>
                <w:bCs/>
                <w:sz w:val="21"/>
                <w:szCs w:val="21"/>
                <w:lang w:eastAsia="zh-CN"/>
              </w:rPr>
            </w:pPr>
            <w:bookmarkStart w:id="67" w:name="屋顶K"/>
            <w:r>
              <w:rPr>
                <w:rFonts w:hint="eastAsia" w:eastAsia="宋体"/>
                <w:bCs/>
                <w:sz w:val="21"/>
                <w:szCs w:val="21"/>
                <w:lang w:eastAsia="zh-CN"/>
              </w:rPr>
              <w:t>0.77</w:t>
            </w:r>
            <w:bookmarkEnd w:id="67"/>
          </w:p>
        </w:tc>
        <w:tc>
          <w:tcPr>
            <w:tcW w:w="1654" w:type="pct"/>
            <w:gridSpan w:val="3"/>
            <w:vAlign w:val="center"/>
          </w:tcPr>
          <w:p>
            <w:pPr>
              <w:widowControl/>
              <w:jc w:val="center"/>
              <w:rPr>
                <w:rFonts w:eastAsia="宋体"/>
                <w:bCs/>
                <w:sz w:val="21"/>
                <w:szCs w:val="21"/>
                <w:lang w:eastAsia="zh-CN"/>
              </w:rPr>
            </w:pPr>
            <w:bookmarkStart w:id="68" w:name="参照建筑屋顶K"/>
            <w:r>
              <w:rPr>
                <w:rFonts w:hint="eastAsia" w:eastAsia="宋体"/>
                <w:bCs/>
                <w:sz w:val="21"/>
                <w:szCs w:val="21"/>
                <w:lang w:eastAsia="zh-CN"/>
              </w:rPr>
              <w:t>0.20</w:t>
            </w:r>
            <w:bookmarkEnd w:id="6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602" w:type="pct"/>
            <w:gridSpan w:val="3"/>
            <w:vAlign w:val="center"/>
          </w:tcPr>
          <w:p>
            <w:pPr>
              <w:jc w:val="center"/>
              <w:rPr>
                <w:rFonts w:eastAsia="宋体"/>
                <w:bCs/>
                <w:sz w:val="21"/>
                <w:szCs w:val="21"/>
                <w:lang w:eastAsia="zh-CN"/>
              </w:rPr>
            </w:pPr>
            <w:bookmarkStart w:id="69" w:name="外墙K"/>
            <w:r>
              <w:rPr>
                <w:rFonts w:hint="eastAsia" w:eastAsia="宋体"/>
                <w:bCs/>
                <w:sz w:val="21"/>
                <w:szCs w:val="21"/>
                <w:lang w:eastAsia="zh-CN"/>
              </w:rPr>
              <w:t>1.15</w:t>
            </w:r>
            <w:bookmarkEnd w:id="69"/>
          </w:p>
        </w:tc>
        <w:tc>
          <w:tcPr>
            <w:tcW w:w="1654" w:type="pct"/>
            <w:gridSpan w:val="3"/>
            <w:vAlign w:val="center"/>
          </w:tcPr>
          <w:p>
            <w:pPr>
              <w:widowControl/>
              <w:jc w:val="center"/>
              <w:rPr>
                <w:rFonts w:eastAsia="宋体"/>
                <w:bCs/>
                <w:sz w:val="21"/>
                <w:szCs w:val="21"/>
                <w:lang w:eastAsia="zh-CN"/>
              </w:rPr>
            </w:pPr>
            <w:bookmarkStart w:id="70" w:name="参照建筑外墙K"/>
            <w:r>
              <w:rPr>
                <w:rFonts w:hint="eastAsia" w:eastAsia="宋体"/>
                <w:bCs/>
                <w:sz w:val="21"/>
                <w:szCs w:val="21"/>
                <w:lang w:eastAsia="zh-CN"/>
              </w:rPr>
              <w:t>0.30</w:t>
            </w:r>
            <w:bookmarkEnd w:id="7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sz w:val="21"/>
                <w:szCs w:val="21"/>
                <w:lang w:eastAsia="zh-CN"/>
              </w:rPr>
            </w:pPr>
            <w:r>
              <w:rPr>
                <w:rFonts w:hint="eastAsia" w:eastAsia="宋体"/>
                <w:sz w:val="21"/>
                <w:szCs w:val="21"/>
                <w:lang w:eastAsia="zh-CN"/>
              </w:rPr>
              <w:t>房间</w:t>
            </w:r>
            <w:r>
              <w:rPr>
                <w:rFonts w:eastAsia="宋体"/>
                <w:sz w:val="21"/>
                <w:szCs w:val="21"/>
                <w:lang w:eastAsia="zh-CN"/>
              </w:rPr>
              <w:t>天窗屋顶比</w:t>
            </w:r>
          </w:p>
        </w:tc>
        <w:tc>
          <w:tcPr>
            <w:tcW w:w="1602" w:type="pct"/>
            <w:gridSpan w:val="3"/>
            <w:vAlign w:val="center"/>
          </w:tcPr>
          <w:p>
            <w:pPr>
              <w:jc w:val="center"/>
              <w:rPr>
                <w:rFonts w:eastAsia="宋体"/>
                <w:bCs/>
                <w:sz w:val="21"/>
                <w:szCs w:val="21"/>
                <w:lang w:eastAsia="zh-CN"/>
              </w:rPr>
            </w:pPr>
          </w:p>
        </w:tc>
        <w:tc>
          <w:tcPr>
            <w:tcW w:w="1654" w:type="pct"/>
            <w:gridSpan w:val="3"/>
            <w:vAlign w:val="center"/>
          </w:tcPr>
          <w:p>
            <w:pPr>
              <w:widowControl/>
              <w:jc w:val="center"/>
              <w:rPr>
                <w:rFonts w:eastAsia="宋体"/>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602" w:type="pct"/>
            <w:gridSpan w:val="3"/>
            <w:vAlign w:val="center"/>
          </w:tcPr>
          <w:p>
            <w:pPr>
              <w:jc w:val="center"/>
              <w:rPr>
                <w:rFonts w:eastAsia="宋体"/>
                <w:bCs/>
                <w:sz w:val="21"/>
                <w:szCs w:val="21"/>
                <w:lang w:eastAsia="zh-CN"/>
              </w:rPr>
            </w:pPr>
            <w:bookmarkStart w:id="71" w:name="天窗K"/>
            <w:r>
              <w:rPr>
                <w:rFonts w:hint="eastAsia" w:eastAsia="宋体"/>
                <w:bCs/>
                <w:sz w:val="21"/>
                <w:szCs w:val="21"/>
                <w:lang w:eastAsia="zh-CN"/>
              </w:rPr>
              <w:t>－</w:t>
            </w:r>
            <w:bookmarkEnd w:id="71"/>
          </w:p>
        </w:tc>
        <w:tc>
          <w:tcPr>
            <w:tcW w:w="1654" w:type="pct"/>
            <w:gridSpan w:val="3"/>
            <w:vAlign w:val="center"/>
          </w:tcPr>
          <w:p>
            <w:pPr>
              <w:widowControl/>
              <w:jc w:val="center"/>
              <w:rPr>
                <w:rFonts w:eastAsia="宋体"/>
                <w:bCs/>
                <w:sz w:val="21"/>
                <w:szCs w:val="21"/>
                <w:lang w:eastAsia="zh-CN"/>
              </w:rPr>
            </w:pPr>
            <w:bookmarkStart w:id="72" w:name="参照建筑天窗K"/>
            <w:r>
              <w:rPr>
                <w:rFonts w:hint="eastAsia" w:eastAsia="宋体"/>
                <w:bCs/>
                <w:sz w:val="21"/>
                <w:szCs w:val="21"/>
                <w:lang w:eastAsia="zh-CN"/>
              </w:rPr>
              <w:t>－</w:t>
            </w:r>
            <w:bookmarkEnd w:id="7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屋顶透明部分太阳得热系数</w:t>
            </w:r>
          </w:p>
        </w:tc>
        <w:tc>
          <w:tcPr>
            <w:tcW w:w="1602" w:type="pct"/>
            <w:gridSpan w:val="3"/>
            <w:vAlign w:val="center"/>
          </w:tcPr>
          <w:p>
            <w:pPr>
              <w:jc w:val="center"/>
              <w:rPr>
                <w:rFonts w:eastAsia="宋体"/>
                <w:bCs/>
                <w:sz w:val="21"/>
                <w:szCs w:val="21"/>
                <w:lang w:eastAsia="zh-CN"/>
              </w:rPr>
            </w:pPr>
            <w:bookmarkStart w:id="73" w:name="天窗SC"/>
            <w:r>
              <w:rPr>
                <w:rFonts w:hint="eastAsia" w:eastAsia="宋体"/>
                <w:bCs/>
                <w:sz w:val="21"/>
                <w:szCs w:val="21"/>
                <w:lang w:eastAsia="zh-CN"/>
              </w:rPr>
              <w:t>－</w:t>
            </w:r>
            <w:bookmarkEnd w:id="73"/>
          </w:p>
        </w:tc>
        <w:tc>
          <w:tcPr>
            <w:tcW w:w="1654" w:type="pct"/>
            <w:gridSpan w:val="3"/>
            <w:vAlign w:val="center"/>
          </w:tcPr>
          <w:p>
            <w:pPr>
              <w:widowControl/>
              <w:jc w:val="center"/>
              <w:rPr>
                <w:rFonts w:eastAsia="宋体"/>
                <w:bCs/>
                <w:sz w:val="21"/>
                <w:szCs w:val="21"/>
                <w:lang w:eastAsia="zh-CN"/>
              </w:rPr>
            </w:pPr>
            <w:bookmarkStart w:id="74" w:name="参照建筑天窗SC"/>
            <w:r>
              <w:rPr>
                <w:rFonts w:hint="eastAsia" w:eastAsia="宋体"/>
                <w:bCs/>
                <w:sz w:val="21"/>
                <w:szCs w:val="21"/>
                <w:lang w:eastAsia="zh-CN"/>
              </w:rPr>
              <w:t>－</w:t>
            </w:r>
            <w:bookmarkEnd w:id="7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602" w:type="pct"/>
            <w:gridSpan w:val="3"/>
            <w:vAlign w:val="center"/>
          </w:tcPr>
          <w:p>
            <w:pPr>
              <w:jc w:val="center"/>
              <w:rPr>
                <w:rFonts w:eastAsia="宋体"/>
                <w:bCs/>
                <w:sz w:val="21"/>
                <w:szCs w:val="21"/>
                <w:lang w:eastAsia="zh-CN"/>
              </w:rPr>
            </w:pPr>
            <w:bookmarkStart w:id="75" w:name="挑空楼板K"/>
            <w:r>
              <w:rPr>
                <w:rFonts w:hint="eastAsia" w:eastAsia="宋体"/>
                <w:bCs/>
                <w:sz w:val="21"/>
                <w:szCs w:val="21"/>
                <w:lang w:eastAsia="zh-CN"/>
              </w:rPr>
              <w:t>－</w:t>
            </w:r>
            <w:bookmarkEnd w:id="75"/>
          </w:p>
        </w:tc>
        <w:tc>
          <w:tcPr>
            <w:tcW w:w="1654" w:type="pct"/>
            <w:gridSpan w:val="3"/>
            <w:vAlign w:val="center"/>
          </w:tcPr>
          <w:p>
            <w:pPr>
              <w:widowControl/>
              <w:jc w:val="center"/>
              <w:rPr>
                <w:rFonts w:eastAsia="宋体"/>
                <w:bCs/>
                <w:sz w:val="21"/>
                <w:szCs w:val="21"/>
                <w:lang w:eastAsia="zh-CN"/>
              </w:rPr>
            </w:pPr>
            <w:bookmarkStart w:id="76" w:name="参照建筑挑空楼板K"/>
            <w:r>
              <w:rPr>
                <w:rFonts w:hint="eastAsia" w:eastAsia="宋体"/>
                <w:bCs/>
                <w:sz w:val="21"/>
                <w:szCs w:val="21"/>
                <w:lang w:eastAsia="zh-CN"/>
              </w:rPr>
              <w:t>－</w:t>
            </w:r>
            <w:bookmarkEnd w:id="7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sz w:val="21"/>
                <w:szCs w:val="21"/>
                <w:lang w:eastAsia="zh-CN"/>
              </w:rPr>
            </w:pPr>
            <w:r>
              <w:rPr>
                <w:rFonts w:hint="eastAsia" w:eastAsia="宋体"/>
                <w:sz w:val="21"/>
                <w:szCs w:val="21"/>
                <w:lang w:eastAsia="zh-CN"/>
              </w:rPr>
              <w:t>非供暖地下室顶板</w:t>
            </w:r>
            <w:r>
              <w:rPr>
                <w:rFonts w:eastAsia="宋体"/>
                <w:sz w:val="21"/>
                <w:szCs w:val="21"/>
                <w:lang w:eastAsia="zh-CN"/>
              </w:rPr>
              <w:t>K [W/(m2·K)]</w:t>
            </w:r>
          </w:p>
        </w:tc>
        <w:tc>
          <w:tcPr>
            <w:tcW w:w="1602" w:type="pct"/>
            <w:gridSpan w:val="3"/>
            <w:vAlign w:val="center"/>
          </w:tcPr>
          <w:p>
            <w:pPr>
              <w:jc w:val="center"/>
              <w:rPr>
                <w:rFonts w:eastAsia="宋体"/>
                <w:bCs/>
                <w:sz w:val="21"/>
                <w:szCs w:val="21"/>
                <w:lang w:eastAsia="zh-CN"/>
              </w:rPr>
            </w:pPr>
            <w:bookmarkStart w:id="77" w:name="不采暖地下室上部地板K"/>
            <w:r>
              <w:rPr>
                <w:rFonts w:hint="eastAsia" w:eastAsia="宋体"/>
                <w:bCs/>
                <w:sz w:val="21"/>
                <w:szCs w:val="21"/>
                <w:lang w:eastAsia="zh-CN"/>
              </w:rPr>
              <w:t>－</w:t>
            </w:r>
            <w:bookmarkEnd w:id="77"/>
          </w:p>
        </w:tc>
        <w:tc>
          <w:tcPr>
            <w:tcW w:w="1654" w:type="pct"/>
            <w:gridSpan w:val="3"/>
            <w:vAlign w:val="center"/>
          </w:tcPr>
          <w:p>
            <w:pPr>
              <w:jc w:val="center"/>
              <w:rPr>
                <w:rFonts w:eastAsia="宋体"/>
                <w:bCs/>
                <w:sz w:val="21"/>
                <w:szCs w:val="21"/>
                <w:lang w:eastAsia="zh-CN"/>
              </w:rPr>
            </w:pPr>
            <w:bookmarkStart w:id="78" w:name="参照建筑不采暖地下室上部地板K"/>
            <w:r>
              <w:rPr>
                <w:rFonts w:hint="eastAsia" w:eastAsia="宋体"/>
                <w:bCs/>
                <w:sz w:val="21"/>
                <w:szCs w:val="21"/>
                <w:lang w:eastAsia="zh-CN"/>
              </w:rPr>
              <w:t>－</w:t>
            </w:r>
            <w:bookmarkEnd w:id="7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sz w:val="21"/>
                <w:szCs w:val="21"/>
                <w:lang w:eastAsia="zh-CN"/>
              </w:rPr>
            </w:pPr>
            <w:r>
              <w:rPr>
                <w:rFonts w:hint="eastAsia" w:eastAsia="宋体"/>
                <w:sz w:val="21"/>
                <w:szCs w:val="21"/>
                <w:lang w:eastAsia="zh-CN"/>
              </w:rPr>
              <w:t>分隔供暖与非供暖空间的隔墙</w:t>
            </w:r>
            <w:r>
              <w:rPr>
                <w:rFonts w:eastAsia="宋体"/>
                <w:sz w:val="21"/>
                <w:szCs w:val="21"/>
                <w:lang w:eastAsia="zh-CN"/>
              </w:rPr>
              <w:t>K [W/(m2·K)]</w:t>
            </w:r>
          </w:p>
        </w:tc>
        <w:tc>
          <w:tcPr>
            <w:tcW w:w="1602" w:type="pct"/>
            <w:gridSpan w:val="3"/>
            <w:vAlign w:val="center"/>
          </w:tcPr>
          <w:p>
            <w:pPr>
              <w:jc w:val="center"/>
              <w:rPr>
                <w:rFonts w:eastAsia="宋体"/>
                <w:bCs/>
                <w:sz w:val="21"/>
                <w:szCs w:val="21"/>
                <w:lang w:eastAsia="zh-CN"/>
              </w:rPr>
            </w:pPr>
            <w:bookmarkStart w:id="79" w:name="户墙K"/>
            <w:r>
              <w:rPr>
                <w:rFonts w:hint="eastAsia" w:eastAsia="宋体"/>
                <w:bCs/>
                <w:sz w:val="21"/>
                <w:szCs w:val="21"/>
                <w:lang w:eastAsia="zh-CN"/>
              </w:rPr>
              <w:t>－</w:t>
            </w:r>
            <w:bookmarkEnd w:id="79"/>
          </w:p>
        </w:tc>
        <w:tc>
          <w:tcPr>
            <w:tcW w:w="1654" w:type="pct"/>
            <w:gridSpan w:val="3"/>
            <w:vAlign w:val="center"/>
          </w:tcPr>
          <w:p>
            <w:pPr>
              <w:jc w:val="center"/>
              <w:rPr>
                <w:rFonts w:eastAsia="宋体"/>
                <w:bCs/>
                <w:sz w:val="21"/>
                <w:szCs w:val="21"/>
                <w:lang w:eastAsia="zh-CN"/>
              </w:rPr>
            </w:pPr>
            <w:bookmarkStart w:id="80" w:name="参照建筑户墙K"/>
            <w:r>
              <w:rPr>
                <w:rFonts w:hint="eastAsia" w:eastAsia="宋体"/>
                <w:bCs/>
                <w:sz w:val="21"/>
                <w:szCs w:val="21"/>
                <w:lang w:eastAsia="zh-CN"/>
              </w:rPr>
              <w:t>－</w:t>
            </w:r>
            <w:bookmarkEnd w:id="8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sz w:val="21"/>
                <w:szCs w:val="21"/>
                <w:lang w:eastAsia="zh-CN"/>
              </w:rPr>
            </w:pPr>
            <w:r>
              <w:rPr>
                <w:rFonts w:hint="eastAsia" w:eastAsia="宋体"/>
                <w:sz w:val="21"/>
                <w:szCs w:val="21"/>
                <w:lang w:eastAsia="zh-CN"/>
              </w:rPr>
              <w:t>分隔供暖与非供暖空间的楼板</w:t>
            </w:r>
            <w:r>
              <w:rPr>
                <w:rFonts w:eastAsia="宋体"/>
                <w:sz w:val="21"/>
                <w:szCs w:val="21"/>
                <w:lang w:eastAsia="zh-CN"/>
              </w:rPr>
              <w:t>K [W/(m2·K)]</w:t>
            </w:r>
          </w:p>
        </w:tc>
        <w:tc>
          <w:tcPr>
            <w:tcW w:w="1602" w:type="pct"/>
            <w:gridSpan w:val="3"/>
            <w:vAlign w:val="center"/>
          </w:tcPr>
          <w:p>
            <w:pPr>
              <w:jc w:val="center"/>
              <w:rPr>
                <w:rFonts w:eastAsia="宋体"/>
                <w:bCs/>
                <w:sz w:val="21"/>
                <w:szCs w:val="21"/>
                <w:lang w:eastAsia="zh-CN"/>
              </w:rPr>
            </w:pPr>
            <w:bookmarkStart w:id="81" w:name="不采暖地上室上部地板K"/>
            <w:bookmarkStart w:id="82" w:name="采暖与非采暖楼板K"/>
            <w:r>
              <w:rPr>
                <w:rFonts w:hint="eastAsia" w:eastAsia="宋体"/>
                <w:bCs/>
                <w:sz w:val="21"/>
                <w:szCs w:val="21"/>
                <w:lang w:eastAsia="zh-CN"/>
              </w:rPr>
              <w:t>－</w:t>
            </w:r>
            <w:bookmarkEnd w:id="81"/>
            <w:bookmarkEnd w:id="82"/>
          </w:p>
        </w:tc>
        <w:tc>
          <w:tcPr>
            <w:tcW w:w="1654" w:type="pct"/>
            <w:gridSpan w:val="3"/>
            <w:vAlign w:val="center"/>
          </w:tcPr>
          <w:p>
            <w:pPr>
              <w:jc w:val="center"/>
              <w:rPr>
                <w:rFonts w:eastAsia="宋体"/>
                <w:bCs/>
                <w:sz w:val="21"/>
                <w:szCs w:val="21"/>
                <w:lang w:eastAsia="zh-CN"/>
              </w:rPr>
            </w:pPr>
            <w:bookmarkStart w:id="83" w:name="参照建筑不采暖地上室上部地板K"/>
            <w:bookmarkStart w:id="84" w:name="参照建筑采暖与非采暖楼板K"/>
            <w:r>
              <w:rPr>
                <w:rFonts w:hint="eastAsia" w:eastAsia="宋体"/>
                <w:bCs/>
                <w:sz w:val="21"/>
                <w:szCs w:val="21"/>
                <w:lang w:eastAsia="zh-CN"/>
              </w:rPr>
              <w:t>－</w:t>
            </w:r>
            <w:bookmarkEnd w:id="83"/>
            <w:bookmarkEnd w:id="8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sz w:val="21"/>
                <w:szCs w:val="21"/>
                <w:lang w:eastAsia="zh-CN"/>
              </w:rPr>
            </w:pPr>
            <w:r>
              <w:rPr>
                <w:rFonts w:hint="eastAsia" w:eastAsia="宋体"/>
                <w:sz w:val="21"/>
                <w:szCs w:val="21"/>
                <w:lang w:eastAsia="zh-CN"/>
              </w:rPr>
              <w:t>周边地面保温材料层热阻</w:t>
            </w:r>
            <w:r>
              <w:rPr>
                <w:rFonts w:eastAsia="宋体"/>
                <w:sz w:val="21"/>
                <w:szCs w:val="21"/>
                <w:lang w:eastAsia="zh-CN"/>
              </w:rPr>
              <w:t xml:space="preserve"> R [(m2</w:t>
            </w:r>
            <w:r>
              <w:rPr>
                <w:rFonts w:hint="eastAsia" w:eastAsia="宋体"/>
                <w:sz w:val="21"/>
                <w:szCs w:val="21"/>
                <w:lang w:eastAsia="zh-CN"/>
              </w:rPr>
              <w:t>·</w:t>
            </w:r>
            <w:r>
              <w:rPr>
                <w:rFonts w:eastAsia="宋体"/>
                <w:sz w:val="21"/>
                <w:szCs w:val="21"/>
                <w:lang w:eastAsia="zh-CN"/>
              </w:rPr>
              <w:t>K)/W</w:t>
            </w:r>
          </w:p>
        </w:tc>
        <w:tc>
          <w:tcPr>
            <w:tcW w:w="1602" w:type="pct"/>
            <w:gridSpan w:val="3"/>
            <w:vAlign w:val="center"/>
          </w:tcPr>
          <w:p>
            <w:pPr>
              <w:jc w:val="center"/>
              <w:rPr>
                <w:rFonts w:eastAsia="宋体"/>
                <w:bCs/>
                <w:sz w:val="21"/>
                <w:szCs w:val="21"/>
                <w:lang w:eastAsia="zh-CN"/>
              </w:rPr>
            </w:pPr>
            <w:bookmarkStart w:id="85" w:name="周边地面保温层R"/>
            <w:r>
              <w:rPr>
                <w:rFonts w:hint="eastAsia" w:eastAsia="宋体"/>
                <w:bCs/>
                <w:sz w:val="21"/>
                <w:szCs w:val="21"/>
                <w:lang w:eastAsia="zh-CN"/>
              </w:rPr>
              <w:t>0.00</w:t>
            </w:r>
            <w:bookmarkEnd w:id="85"/>
          </w:p>
        </w:tc>
        <w:tc>
          <w:tcPr>
            <w:tcW w:w="1654" w:type="pct"/>
            <w:gridSpan w:val="3"/>
            <w:vAlign w:val="center"/>
          </w:tcPr>
          <w:p>
            <w:pPr>
              <w:jc w:val="center"/>
              <w:rPr>
                <w:rFonts w:eastAsia="宋体"/>
                <w:bCs/>
                <w:sz w:val="21"/>
                <w:szCs w:val="21"/>
                <w:lang w:eastAsia="zh-CN"/>
              </w:rPr>
            </w:pPr>
            <w:bookmarkStart w:id="86" w:name="参照建筑周边地面保温层R"/>
            <w:bookmarkStart w:id="87" w:name="参照建筑周边地面R"/>
            <w:r>
              <w:rPr>
                <w:rFonts w:hint="eastAsia" w:eastAsia="宋体"/>
                <w:bCs/>
                <w:sz w:val="21"/>
                <w:szCs w:val="21"/>
                <w:lang w:eastAsia="zh-CN"/>
              </w:rPr>
              <w:t>2.19</w:t>
            </w:r>
            <w:bookmarkEnd w:id="86"/>
            <w:bookmarkEnd w:id="8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2"/>
            <w:shd w:val="clear" w:color="auto" w:fill="E6E6E6"/>
            <w:vAlign w:val="center"/>
          </w:tcPr>
          <w:p>
            <w:pPr>
              <w:widowControl/>
              <w:jc w:val="center"/>
              <w:rPr>
                <w:rFonts w:eastAsia="宋体"/>
                <w:sz w:val="21"/>
                <w:szCs w:val="21"/>
                <w:lang w:eastAsia="zh-CN"/>
              </w:rPr>
            </w:pPr>
            <w:r>
              <w:rPr>
                <w:rFonts w:hint="eastAsia" w:eastAsia="宋体"/>
                <w:sz w:val="21"/>
                <w:szCs w:val="21"/>
                <w:lang w:eastAsia="zh-CN"/>
              </w:rPr>
              <w:t>地下室外墙保温材料层热阻</w:t>
            </w:r>
            <w:r>
              <w:rPr>
                <w:rFonts w:eastAsia="宋体"/>
                <w:sz w:val="21"/>
                <w:szCs w:val="21"/>
                <w:lang w:eastAsia="zh-CN"/>
              </w:rPr>
              <w:t xml:space="preserve"> R [(m2</w:t>
            </w:r>
            <w:r>
              <w:rPr>
                <w:rFonts w:hint="eastAsia" w:eastAsia="宋体"/>
                <w:sz w:val="21"/>
                <w:szCs w:val="21"/>
                <w:lang w:eastAsia="zh-CN"/>
              </w:rPr>
              <w:t>·</w:t>
            </w:r>
            <w:r>
              <w:rPr>
                <w:rFonts w:eastAsia="宋体"/>
                <w:sz w:val="21"/>
                <w:szCs w:val="21"/>
                <w:lang w:eastAsia="zh-CN"/>
              </w:rPr>
              <w:t>K)/W</w:t>
            </w:r>
          </w:p>
        </w:tc>
        <w:tc>
          <w:tcPr>
            <w:tcW w:w="1602" w:type="pct"/>
            <w:gridSpan w:val="3"/>
            <w:vAlign w:val="center"/>
          </w:tcPr>
          <w:p>
            <w:pPr>
              <w:jc w:val="center"/>
              <w:rPr>
                <w:rFonts w:eastAsia="宋体"/>
                <w:bCs/>
                <w:sz w:val="21"/>
                <w:szCs w:val="21"/>
                <w:lang w:eastAsia="zh-CN"/>
              </w:rPr>
            </w:pPr>
            <w:bookmarkStart w:id="88" w:name="地下墙保温层R"/>
            <w:r>
              <w:rPr>
                <w:rFonts w:hint="eastAsia" w:eastAsia="宋体"/>
                <w:bCs/>
                <w:sz w:val="21"/>
                <w:szCs w:val="21"/>
                <w:lang w:eastAsia="zh-CN"/>
              </w:rPr>
              <w:t>－</w:t>
            </w:r>
            <w:bookmarkEnd w:id="88"/>
          </w:p>
        </w:tc>
        <w:tc>
          <w:tcPr>
            <w:tcW w:w="1654" w:type="pct"/>
            <w:gridSpan w:val="3"/>
            <w:vAlign w:val="center"/>
          </w:tcPr>
          <w:p>
            <w:pPr>
              <w:jc w:val="center"/>
              <w:rPr>
                <w:rFonts w:eastAsia="宋体"/>
                <w:bCs/>
                <w:sz w:val="21"/>
                <w:szCs w:val="21"/>
                <w:lang w:eastAsia="zh-CN"/>
              </w:rPr>
            </w:pPr>
            <w:bookmarkStart w:id="89" w:name="参照建筑地下墙保温层R"/>
            <w:bookmarkStart w:id="90" w:name="参照建筑地下墙R"/>
            <w:r>
              <w:rPr>
                <w:rFonts w:hint="eastAsia" w:eastAsia="宋体"/>
                <w:bCs/>
                <w:sz w:val="21"/>
                <w:szCs w:val="21"/>
                <w:lang w:eastAsia="zh-CN"/>
              </w:rPr>
              <w:t>－</w:t>
            </w:r>
            <w:bookmarkEnd w:id="89"/>
            <w:bookmarkEnd w:id="9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884"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860"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486"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最不利窗墙比</w:t>
            </w:r>
          </w:p>
        </w:tc>
        <w:tc>
          <w:tcPr>
            <w:tcW w:w="399"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717"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  系数(夏季)</w:t>
            </w:r>
          </w:p>
        </w:tc>
        <w:tc>
          <w:tcPr>
            <w:tcW w:w="553"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395"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706"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  系数(夏季)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884" w:type="pct"/>
            <w:vMerge w:val="continue"/>
            <w:vAlign w:val="center"/>
          </w:tcPr>
          <w:p>
            <w:pPr>
              <w:jc w:val="center"/>
              <w:rPr>
                <w:rFonts w:eastAsia="宋体"/>
                <w:bCs/>
                <w:sz w:val="21"/>
                <w:szCs w:val="21"/>
                <w:lang w:eastAsia="zh-CN"/>
              </w:rPr>
            </w:pPr>
          </w:p>
        </w:tc>
        <w:tc>
          <w:tcPr>
            <w:tcW w:w="860" w:type="pct"/>
            <w:vMerge w:val="restart"/>
            <w:shd w:val="clear" w:color="auto" w:fill="E6E6E6"/>
            <w:vAlign w:val="center"/>
          </w:tcPr>
          <w:p>
            <w:pPr>
              <w:jc w:val="center"/>
              <w:rPr>
                <w:rFonts w:eastAsia="宋体"/>
                <w:bCs/>
                <w:sz w:val="21"/>
                <w:szCs w:val="21"/>
                <w:lang w:eastAsia="zh-CN"/>
              </w:rPr>
            </w:pPr>
            <w:r>
              <w:rPr>
                <w:rFonts w:hAnsi="宋体" w:eastAsia="宋体"/>
                <w:bCs/>
                <w:sz w:val="21"/>
                <w:szCs w:val="21"/>
                <w:lang w:eastAsia="zh-CN"/>
              </w:rPr>
              <w:t>南向</w:t>
            </w:r>
          </w:p>
        </w:tc>
        <w:tc>
          <w:tcPr>
            <w:tcW w:w="486" w:type="pct"/>
            <w:vMerge w:val="restart"/>
            <w:vAlign w:val="center"/>
          </w:tcPr>
          <w:p>
            <w:pPr>
              <w:jc w:val="center"/>
              <w:rPr>
                <w:rFonts w:eastAsia="宋体"/>
                <w:bCs/>
                <w:sz w:val="21"/>
                <w:szCs w:val="21"/>
                <w:lang w:eastAsia="zh-CN"/>
              </w:rPr>
            </w:pPr>
            <w:bookmarkStart w:id="91" w:name="窗墙比－南向"/>
            <w:bookmarkStart w:id="92" w:name="最不利开间窗墙比－南向"/>
            <w:r>
              <w:rPr>
                <w:rFonts w:hint="eastAsia" w:eastAsia="宋体"/>
                <w:bCs/>
                <w:sz w:val="21"/>
                <w:szCs w:val="21"/>
                <w:lang w:eastAsia="zh-CN"/>
              </w:rPr>
              <w:t>0.25</w:t>
            </w:r>
            <w:bookmarkEnd w:id="91"/>
            <w:bookmarkEnd w:id="92"/>
          </w:p>
        </w:tc>
        <w:tc>
          <w:tcPr>
            <w:tcW w:w="399" w:type="pct"/>
            <w:vMerge w:val="restart"/>
            <w:vAlign w:val="center"/>
          </w:tcPr>
          <w:p>
            <w:pPr>
              <w:jc w:val="center"/>
              <w:rPr>
                <w:rFonts w:eastAsia="宋体"/>
                <w:bCs/>
                <w:sz w:val="21"/>
                <w:szCs w:val="21"/>
                <w:lang w:eastAsia="zh-CN"/>
              </w:rPr>
            </w:pPr>
            <w:bookmarkStart w:id="93" w:name="外窗K－南向"/>
            <w:bookmarkStart w:id="94" w:name="最不利窗墙比房间外窗K－南向"/>
            <w:r>
              <w:rPr>
                <w:rFonts w:hint="eastAsia" w:eastAsia="宋体"/>
                <w:bCs/>
                <w:sz w:val="21"/>
                <w:szCs w:val="21"/>
                <w:lang w:eastAsia="zh-CN"/>
              </w:rPr>
              <w:t>3.90</w:t>
            </w:r>
            <w:bookmarkEnd w:id="93"/>
            <w:bookmarkEnd w:id="94"/>
          </w:p>
        </w:tc>
        <w:tc>
          <w:tcPr>
            <w:tcW w:w="717" w:type="pct"/>
            <w:vMerge w:val="restart"/>
            <w:vAlign w:val="center"/>
          </w:tcPr>
          <w:p>
            <w:pPr>
              <w:jc w:val="center"/>
              <w:rPr>
                <w:rFonts w:eastAsia="宋体"/>
                <w:bCs/>
                <w:sz w:val="21"/>
                <w:szCs w:val="21"/>
                <w:lang w:eastAsia="zh-CN"/>
              </w:rPr>
            </w:pPr>
            <w:bookmarkStart w:id="95" w:name="外窗SHGC－夏季－南向"/>
            <w:r>
              <w:rPr>
                <w:rFonts w:hint="eastAsia" w:eastAsia="宋体"/>
                <w:bCs/>
                <w:sz w:val="21"/>
                <w:szCs w:val="21"/>
                <w:lang w:eastAsia="zh-CN"/>
              </w:rPr>
              <w:t>0.33</w:t>
            </w:r>
            <w:bookmarkEnd w:id="95"/>
          </w:p>
        </w:tc>
        <w:tc>
          <w:tcPr>
            <w:tcW w:w="553" w:type="pct"/>
            <w:vAlign w:val="center"/>
          </w:tcPr>
          <w:p>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pPr>
              <w:jc w:val="center"/>
              <w:rPr>
                <w:rFonts w:eastAsia="宋体"/>
                <w:bCs/>
                <w:sz w:val="21"/>
                <w:szCs w:val="21"/>
                <w:lang w:eastAsia="zh-CN"/>
              </w:rPr>
            </w:pPr>
            <w:bookmarkStart w:id="96" w:name="外窗K一档限值－南向"/>
            <w:r>
              <w:rPr>
                <w:rFonts w:hint="eastAsia" w:eastAsia="宋体"/>
                <w:bCs/>
                <w:sz w:val="21"/>
                <w:szCs w:val="21"/>
                <w:lang w:eastAsia="zh-CN"/>
              </w:rPr>
              <w:t>1.60</w:t>
            </w:r>
            <w:bookmarkEnd w:id="96"/>
          </w:p>
        </w:tc>
        <w:tc>
          <w:tcPr>
            <w:tcW w:w="706" w:type="pct"/>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0" w:hRule="exact"/>
          <w:jc w:val="center"/>
        </w:trPr>
        <w:tc>
          <w:tcPr>
            <w:tcW w:w="884" w:type="pct"/>
            <w:vMerge w:val="continue"/>
            <w:vAlign w:val="center"/>
          </w:tcPr>
          <w:p>
            <w:pPr>
              <w:jc w:val="center"/>
              <w:rPr>
                <w:rFonts w:eastAsia="宋体"/>
                <w:bCs/>
                <w:sz w:val="21"/>
                <w:szCs w:val="21"/>
                <w:lang w:eastAsia="zh-CN"/>
              </w:rPr>
            </w:pPr>
          </w:p>
        </w:tc>
        <w:tc>
          <w:tcPr>
            <w:tcW w:w="860" w:type="pct"/>
            <w:vMerge w:val="continue"/>
            <w:shd w:val="clear" w:color="auto" w:fill="E6E6E6"/>
            <w:vAlign w:val="center"/>
          </w:tcPr>
          <w:p>
            <w:pPr>
              <w:jc w:val="center"/>
              <w:rPr>
                <w:rFonts w:hAnsi="宋体" w:eastAsia="宋体"/>
                <w:bCs/>
                <w:sz w:val="21"/>
                <w:szCs w:val="21"/>
                <w:lang w:eastAsia="zh-CN"/>
              </w:rPr>
            </w:pPr>
          </w:p>
        </w:tc>
        <w:tc>
          <w:tcPr>
            <w:tcW w:w="486" w:type="pct"/>
            <w:vMerge w:val="continue"/>
            <w:vAlign w:val="center"/>
          </w:tcPr>
          <w:p>
            <w:pPr>
              <w:jc w:val="center"/>
              <w:rPr>
                <w:rFonts w:eastAsia="宋体"/>
                <w:bCs/>
                <w:sz w:val="21"/>
                <w:szCs w:val="21"/>
                <w:lang w:eastAsia="zh-CN"/>
              </w:rPr>
            </w:pPr>
          </w:p>
        </w:tc>
        <w:tc>
          <w:tcPr>
            <w:tcW w:w="399" w:type="pct"/>
            <w:vMerge w:val="continue"/>
            <w:vAlign w:val="center"/>
          </w:tcPr>
          <w:p>
            <w:pPr>
              <w:jc w:val="center"/>
              <w:rPr>
                <w:rFonts w:eastAsia="宋体"/>
                <w:bCs/>
                <w:sz w:val="21"/>
                <w:szCs w:val="21"/>
                <w:lang w:eastAsia="zh-CN"/>
              </w:rPr>
            </w:pPr>
          </w:p>
        </w:tc>
        <w:tc>
          <w:tcPr>
            <w:tcW w:w="717" w:type="pct"/>
            <w:vMerge w:val="continue"/>
            <w:vAlign w:val="center"/>
          </w:tcPr>
          <w:p>
            <w:pPr>
              <w:jc w:val="center"/>
              <w:rPr>
                <w:rFonts w:eastAsia="宋体"/>
                <w:bCs/>
                <w:sz w:val="21"/>
                <w:szCs w:val="21"/>
                <w:lang w:eastAsia="zh-CN"/>
              </w:rPr>
            </w:pPr>
          </w:p>
        </w:tc>
        <w:tc>
          <w:tcPr>
            <w:tcW w:w="553" w:type="pct"/>
            <w:vAlign w:val="center"/>
          </w:tcPr>
          <w:p>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pPr>
              <w:jc w:val="center"/>
              <w:rPr>
                <w:rFonts w:eastAsia="宋体"/>
                <w:bCs/>
                <w:sz w:val="21"/>
                <w:szCs w:val="21"/>
                <w:lang w:eastAsia="zh-CN"/>
              </w:rPr>
            </w:pPr>
            <w:bookmarkStart w:id="97" w:name="外窗K二档限值－南向"/>
            <w:r>
              <w:rPr>
                <w:rFonts w:hint="eastAsia" w:eastAsia="宋体"/>
                <w:bCs/>
                <w:sz w:val="21"/>
                <w:szCs w:val="21"/>
                <w:lang w:eastAsia="zh-CN"/>
              </w:rPr>
              <w:t>1.40</w:t>
            </w:r>
            <w:bookmarkEnd w:id="97"/>
          </w:p>
        </w:tc>
        <w:tc>
          <w:tcPr>
            <w:tcW w:w="706" w:type="pct"/>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84" w:type="pct"/>
            <w:vMerge w:val="continue"/>
            <w:vAlign w:val="center"/>
          </w:tcPr>
          <w:p>
            <w:pPr>
              <w:jc w:val="center"/>
              <w:rPr>
                <w:rFonts w:eastAsia="宋体"/>
                <w:bCs/>
                <w:sz w:val="21"/>
                <w:szCs w:val="21"/>
                <w:lang w:eastAsia="zh-CN"/>
              </w:rPr>
            </w:pPr>
          </w:p>
        </w:tc>
        <w:tc>
          <w:tcPr>
            <w:tcW w:w="860" w:type="pct"/>
            <w:vMerge w:val="restart"/>
            <w:shd w:val="clear" w:color="auto" w:fill="E6E6E6"/>
            <w:vAlign w:val="center"/>
          </w:tcPr>
          <w:p>
            <w:pPr>
              <w:jc w:val="center"/>
              <w:rPr>
                <w:rFonts w:eastAsia="宋体"/>
                <w:bCs/>
                <w:sz w:val="21"/>
                <w:szCs w:val="21"/>
                <w:lang w:eastAsia="zh-CN"/>
              </w:rPr>
            </w:pPr>
            <w:r>
              <w:rPr>
                <w:rFonts w:hAnsi="宋体" w:eastAsia="宋体"/>
                <w:bCs/>
                <w:sz w:val="21"/>
                <w:szCs w:val="21"/>
                <w:lang w:eastAsia="zh-CN"/>
              </w:rPr>
              <w:t>北向</w:t>
            </w:r>
          </w:p>
        </w:tc>
        <w:tc>
          <w:tcPr>
            <w:tcW w:w="486" w:type="pct"/>
            <w:vMerge w:val="restart"/>
            <w:vAlign w:val="center"/>
          </w:tcPr>
          <w:p>
            <w:pPr>
              <w:jc w:val="center"/>
              <w:rPr>
                <w:rFonts w:eastAsia="宋体"/>
                <w:bCs/>
                <w:sz w:val="21"/>
                <w:szCs w:val="21"/>
                <w:lang w:eastAsia="zh-CN"/>
              </w:rPr>
            </w:pPr>
            <w:bookmarkStart w:id="98" w:name="窗墙比－北向"/>
            <w:bookmarkStart w:id="99" w:name="最不利开间窗墙比－北向"/>
            <w:r>
              <w:rPr>
                <w:rFonts w:hint="eastAsia" w:eastAsia="宋体"/>
                <w:bCs/>
                <w:sz w:val="21"/>
                <w:szCs w:val="21"/>
                <w:lang w:eastAsia="zh-CN"/>
              </w:rPr>
              <w:t>0.21</w:t>
            </w:r>
            <w:bookmarkEnd w:id="98"/>
            <w:bookmarkEnd w:id="99"/>
          </w:p>
        </w:tc>
        <w:tc>
          <w:tcPr>
            <w:tcW w:w="399" w:type="pct"/>
            <w:vMerge w:val="restart"/>
            <w:vAlign w:val="center"/>
          </w:tcPr>
          <w:p>
            <w:pPr>
              <w:jc w:val="center"/>
              <w:rPr>
                <w:rFonts w:eastAsia="宋体"/>
                <w:bCs/>
                <w:sz w:val="21"/>
                <w:szCs w:val="21"/>
                <w:lang w:eastAsia="zh-CN"/>
              </w:rPr>
            </w:pPr>
            <w:bookmarkStart w:id="100" w:name="外窗K－北向"/>
            <w:bookmarkStart w:id="101" w:name="最不利窗墙比房间外窗K－北向"/>
            <w:r>
              <w:rPr>
                <w:rFonts w:hint="eastAsia" w:eastAsia="宋体"/>
                <w:bCs/>
                <w:sz w:val="21"/>
                <w:szCs w:val="21"/>
                <w:lang w:eastAsia="zh-CN"/>
              </w:rPr>
              <w:t>3.90</w:t>
            </w:r>
            <w:bookmarkEnd w:id="100"/>
            <w:bookmarkEnd w:id="101"/>
          </w:p>
        </w:tc>
        <w:tc>
          <w:tcPr>
            <w:tcW w:w="717" w:type="pct"/>
            <w:vMerge w:val="restart"/>
            <w:vAlign w:val="center"/>
          </w:tcPr>
          <w:p>
            <w:pPr>
              <w:jc w:val="center"/>
              <w:rPr>
                <w:rFonts w:eastAsia="宋体"/>
                <w:bCs/>
                <w:sz w:val="21"/>
                <w:szCs w:val="21"/>
                <w:lang w:eastAsia="zh-CN"/>
              </w:rPr>
            </w:pPr>
            <w:bookmarkStart w:id="102" w:name="外窗SHGC－夏季－北向"/>
            <w:r>
              <w:rPr>
                <w:rFonts w:hint="eastAsia" w:eastAsia="宋体"/>
                <w:bCs/>
                <w:sz w:val="21"/>
                <w:szCs w:val="21"/>
                <w:lang w:eastAsia="zh-CN"/>
              </w:rPr>
              <w:t>0.33</w:t>
            </w:r>
            <w:bookmarkEnd w:id="102"/>
          </w:p>
        </w:tc>
        <w:tc>
          <w:tcPr>
            <w:tcW w:w="553" w:type="pct"/>
            <w:vAlign w:val="center"/>
          </w:tcPr>
          <w:p>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pPr>
              <w:jc w:val="center"/>
              <w:rPr>
                <w:rFonts w:eastAsia="宋体"/>
                <w:bCs/>
                <w:sz w:val="21"/>
                <w:szCs w:val="21"/>
                <w:lang w:eastAsia="zh-CN"/>
              </w:rPr>
            </w:pPr>
            <w:bookmarkStart w:id="103" w:name="外窗K一档限值－北向"/>
            <w:r>
              <w:rPr>
                <w:rFonts w:hint="eastAsia" w:eastAsia="宋体"/>
                <w:bCs/>
                <w:sz w:val="21"/>
                <w:szCs w:val="21"/>
                <w:lang w:eastAsia="zh-CN"/>
              </w:rPr>
              <w:t>1.60</w:t>
            </w:r>
            <w:bookmarkEnd w:id="103"/>
          </w:p>
        </w:tc>
        <w:tc>
          <w:tcPr>
            <w:tcW w:w="706" w:type="pct"/>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84" w:type="pct"/>
            <w:vMerge w:val="continue"/>
            <w:vAlign w:val="center"/>
          </w:tcPr>
          <w:p>
            <w:pPr>
              <w:jc w:val="center"/>
              <w:rPr>
                <w:rFonts w:eastAsia="宋体"/>
                <w:bCs/>
                <w:sz w:val="21"/>
                <w:szCs w:val="21"/>
                <w:lang w:eastAsia="zh-CN"/>
              </w:rPr>
            </w:pPr>
          </w:p>
        </w:tc>
        <w:tc>
          <w:tcPr>
            <w:tcW w:w="860" w:type="pct"/>
            <w:vMerge w:val="continue"/>
            <w:shd w:val="clear" w:color="auto" w:fill="E6E6E6"/>
            <w:vAlign w:val="center"/>
          </w:tcPr>
          <w:p>
            <w:pPr>
              <w:jc w:val="center"/>
              <w:rPr>
                <w:rFonts w:hAnsi="宋体" w:eastAsia="宋体"/>
                <w:bCs/>
                <w:sz w:val="21"/>
                <w:szCs w:val="21"/>
                <w:lang w:eastAsia="zh-CN"/>
              </w:rPr>
            </w:pPr>
          </w:p>
        </w:tc>
        <w:tc>
          <w:tcPr>
            <w:tcW w:w="486" w:type="pct"/>
            <w:vMerge w:val="continue"/>
            <w:vAlign w:val="center"/>
          </w:tcPr>
          <w:p>
            <w:pPr>
              <w:jc w:val="center"/>
              <w:rPr>
                <w:rFonts w:eastAsia="宋体"/>
                <w:bCs/>
                <w:sz w:val="21"/>
                <w:szCs w:val="21"/>
                <w:lang w:eastAsia="zh-CN"/>
              </w:rPr>
            </w:pPr>
          </w:p>
        </w:tc>
        <w:tc>
          <w:tcPr>
            <w:tcW w:w="399" w:type="pct"/>
            <w:vMerge w:val="continue"/>
            <w:vAlign w:val="center"/>
          </w:tcPr>
          <w:p>
            <w:pPr>
              <w:jc w:val="center"/>
              <w:rPr>
                <w:rFonts w:eastAsia="宋体"/>
                <w:bCs/>
                <w:sz w:val="21"/>
                <w:szCs w:val="21"/>
                <w:lang w:eastAsia="zh-CN"/>
              </w:rPr>
            </w:pPr>
          </w:p>
        </w:tc>
        <w:tc>
          <w:tcPr>
            <w:tcW w:w="717" w:type="pct"/>
            <w:vMerge w:val="continue"/>
            <w:vAlign w:val="center"/>
          </w:tcPr>
          <w:p>
            <w:pPr>
              <w:jc w:val="center"/>
              <w:rPr>
                <w:rFonts w:eastAsia="宋体"/>
                <w:bCs/>
                <w:sz w:val="21"/>
                <w:szCs w:val="21"/>
                <w:lang w:eastAsia="zh-CN"/>
              </w:rPr>
            </w:pPr>
          </w:p>
        </w:tc>
        <w:tc>
          <w:tcPr>
            <w:tcW w:w="553" w:type="pct"/>
            <w:vAlign w:val="center"/>
          </w:tcPr>
          <w:p>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pPr>
              <w:jc w:val="center"/>
              <w:rPr>
                <w:rFonts w:eastAsia="宋体"/>
                <w:bCs/>
                <w:sz w:val="21"/>
                <w:szCs w:val="21"/>
                <w:lang w:eastAsia="zh-CN"/>
              </w:rPr>
            </w:pPr>
            <w:bookmarkStart w:id="104" w:name="外窗K二档限值－北向"/>
            <w:r>
              <w:rPr>
                <w:rFonts w:hint="eastAsia" w:eastAsia="宋体"/>
                <w:bCs/>
                <w:sz w:val="21"/>
                <w:szCs w:val="21"/>
                <w:lang w:eastAsia="zh-CN"/>
              </w:rPr>
              <w:t>1.40</w:t>
            </w:r>
            <w:bookmarkEnd w:id="104"/>
          </w:p>
        </w:tc>
        <w:tc>
          <w:tcPr>
            <w:tcW w:w="706" w:type="pct"/>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84" w:type="pct"/>
            <w:vMerge w:val="continue"/>
            <w:vAlign w:val="center"/>
          </w:tcPr>
          <w:p>
            <w:pPr>
              <w:jc w:val="center"/>
              <w:rPr>
                <w:rFonts w:eastAsia="宋体"/>
                <w:bCs/>
                <w:sz w:val="21"/>
                <w:szCs w:val="21"/>
                <w:lang w:eastAsia="zh-CN"/>
              </w:rPr>
            </w:pPr>
          </w:p>
        </w:tc>
        <w:tc>
          <w:tcPr>
            <w:tcW w:w="860" w:type="pct"/>
            <w:vMerge w:val="restart"/>
            <w:shd w:val="clear" w:color="auto" w:fill="E6E6E6"/>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486" w:type="pct"/>
            <w:vMerge w:val="restart"/>
            <w:vAlign w:val="center"/>
          </w:tcPr>
          <w:p>
            <w:pPr>
              <w:jc w:val="center"/>
              <w:rPr>
                <w:rFonts w:eastAsia="宋体"/>
                <w:bCs/>
                <w:sz w:val="21"/>
                <w:szCs w:val="21"/>
                <w:lang w:eastAsia="zh-CN"/>
              </w:rPr>
            </w:pPr>
            <w:bookmarkStart w:id="105" w:name="窗墙比－东向"/>
            <w:bookmarkStart w:id="106" w:name="最不利开间窗墙比－东向"/>
            <w:r>
              <w:rPr>
                <w:rFonts w:hint="eastAsia" w:eastAsia="宋体"/>
                <w:bCs/>
                <w:sz w:val="21"/>
                <w:szCs w:val="21"/>
                <w:lang w:eastAsia="zh-CN"/>
              </w:rPr>
              <w:t>－</w:t>
            </w:r>
            <w:bookmarkEnd w:id="105"/>
            <w:bookmarkEnd w:id="106"/>
          </w:p>
        </w:tc>
        <w:tc>
          <w:tcPr>
            <w:tcW w:w="399" w:type="pct"/>
            <w:vMerge w:val="restart"/>
            <w:vAlign w:val="center"/>
          </w:tcPr>
          <w:p>
            <w:pPr>
              <w:jc w:val="center"/>
              <w:rPr>
                <w:rFonts w:eastAsia="宋体"/>
                <w:bCs/>
                <w:sz w:val="21"/>
                <w:szCs w:val="21"/>
                <w:lang w:eastAsia="zh-CN"/>
              </w:rPr>
            </w:pPr>
            <w:bookmarkStart w:id="107" w:name="外窗K－东向"/>
            <w:bookmarkStart w:id="108" w:name="最不利窗墙比房间外窗K－东向"/>
            <w:r>
              <w:rPr>
                <w:rFonts w:hint="eastAsia" w:eastAsia="宋体"/>
                <w:bCs/>
                <w:sz w:val="21"/>
                <w:szCs w:val="21"/>
                <w:lang w:eastAsia="zh-CN"/>
              </w:rPr>
              <w:t>－</w:t>
            </w:r>
            <w:bookmarkEnd w:id="107"/>
            <w:bookmarkEnd w:id="108"/>
          </w:p>
        </w:tc>
        <w:tc>
          <w:tcPr>
            <w:tcW w:w="717" w:type="pct"/>
            <w:vMerge w:val="restart"/>
            <w:vAlign w:val="center"/>
          </w:tcPr>
          <w:p>
            <w:pPr>
              <w:jc w:val="center"/>
              <w:rPr>
                <w:rFonts w:eastAsia="宋体"/>
                <w:bCs/>
                <w:sz w:val="21"/>
                <w:szCs w:val="21"/>
                <w:lang w:eastAsia="zh-CN"/>
              </w:rPr>
            </w:pPr>
            <w:bookmarkStart w:id="109" w:name="外窗SHGC－夏季－东向"/>
            <w:r>
              <w:rPr>
                <w:rFonts w:hint="eastAsia" w:eastAsia="宋体"/>
                <w:bCs/>
                <w:sz w:val="21"/>
                <w:szCs w:val="21"/>
                <w:lang w:eastAsia="zh-CN"/>
              </w:rPr>
              <w:t>－</w:t>
            </w:r>
            <w:bookmarkEnd w:id="109"/>
          </w:p>
        </w:tc>
        <w:tc>
          <w:tcPr>
            <w:tcW w:w="553" w:type="pct"/>
            <w:vAlign w:val="center"/>
          </w:tcPr>
          <w:p>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pPr>
              <w:jc w:val="center"/>
              <w:rPr>
                <w:rFonts w:eastAsia="宋体"/>
                <w:bCs/>
                <w:sz w:val="21"/>
                <w:szCs w:val="21"/>
                <w:lang w:eastAsia="zh-CN"/>
              </w:rPr>
            </w:pPr>
            <w:bookmarkStart w:id="110" w:name="外窗K一档限值－东向"/>
            <w:r>
              <w:rPr>
                <w:rFonts w:hint="eastAsia" w:eastAsia="宋体"/>
                <w:bCs/>
                <w:sz w:val="21"/>
                <w:szCs w:val="21"/>
                <w:lang w:eastAsia="zh-CN"/>
              </w:rPr>
              <w:t>1.60</w:t>
            </w:r>
            <w:bookmarkEnd w:id="110"/>
          </w:p>
        </w:tc>
        <w:tc>
          <w:tcPr>
            <w:tcW w:w="706" w:type="pct"/>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884" w:type="pct"/>
            <w:vMerge w:val="continue"/>
            <w:vAlign w:val="center"/>
          </w:tcPr>
          <w:p>
            <w:pPr>
              <w:jc w:val="center"/>
              <w:rPr>
                <w:rFonts w:eastAsia="宋体"/>
                <w:bCs/>
                <w:sz w:val="21"/>
                <w:szCs w:val="21"/>
                <w:lang w:eastAsia="zh-CN"/>
              </w:rPr>
            </w:pPr>
          </w:p>
        </w:tc>
        <w:tc>
          <w:tcPr>
            <w:tcW w:w="860" w:type="pct"/>
            <w:vMerge w:val="continue"/>
            <w:shd w:val="clear" w:color="auto" w:fill="E6E6E6"/>
            <w:vAlign w:val="center"/>
          </w:tcPr>
          <w:p>
            <w:pPr>
              <w:jc w:val="center"/>
              <w:rPr>
                <w:rFonts w:hAnsi="宋体" w:eastAsia="宋体"/>
                <w:bCs/>
                <w:sz w:val="21"/>
                <w:szCs w:val="21"/>
                <w:lang w:eastAsia="zh-CN"/>
              </w:rPr>
            </w:pPr>
          </w:p>
        </w:tc>
        <w:tc>
          <w:tcPr>
            <w:tcW w:w="486" w:type="pct"/>
            <w:vMerge w:val="continue"/>
            <w:vAlign w:val="center"/>
          </w:tcPr>
          <w:p>
            <w:pPr>
              <w:jc w:val="center"/>
              <w:rPr>
                <w:rFonts w:eastAsia="宋体"/>
                <w:bCs/>
                <w:sz w:val="21"/>
                <w:szCs w:val="21"/>
                <w:lang w:eastAsia="zh-CN"/>
              </w:rPr>
            </w:pPr>
          </w:p>
        </w:tc>
        <w:tc>
          <w:tcPr>
            <w:tcW w:w="399" w:type="pct"/>
            <w:vMerge w:val="continue"/>
            <w:vAlign w:val="center"/>
          </w:tcPr>
          <w:p>
            <w:pPr>
              <w:jc w:val="center"/>
              <w:rPr>
                <w:rFonts w:eastAsia="宋体"/>
                <w:bCs/>
                <w:sz w:val="21"/>
                <w:szCs w:val="21"/>
                <w:lang w:eastAsia="zh-CN"/>
              </w:rPr>
            </w:pPr>
          </w:p>
        </w:tc>
        <w:tc>
          <w:tcPr>
            <w:tcW w:w="717" w:type="pct"/>
            <w:vMerge w:val="continue"/>
            <w:vAlign w:val="center"/>
          </w:tcPr>
          <w:p>
            <w:pPr>
              <w:jc w:val="center"/>
              <w:rPr>
                <w:rFonts w:eastAsia="宋体"/>
                <w:bCs/>
                <w:sz w:val="21"/>
                <w:szCs w:val="21"/>
                <w:lang w:eastAsia="zh-CN"/>
              </w:rPr>
            </w:pPr>
          </w:p>
        </w:tc>
        <w:tc>
          <w:tcPr>
            <w:tcW w:w="553" w:type="pct"/>
            <w:vAlign w:val="center"/>
          </w:tcPr>
          <w:p>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pPr>
              <w:jc w:val="center"/>
              <w:rPr>
                <w:rFonts w:eastAsia="宋体"/>
                <w:bCs/>
                <w:sz w:val="21"/>
                <w:szCs w:val="21"/>
                <w:lang w:eastAsia="zh-CN"/>
              </w:rPr>
            </w:pPr>
            <w:bookmarkStart w:id="111" w:name="外窗K二档限值－东向"/>
            <w:r>
              <w:rPr>
                <w:rFonts w:hint="eastAsia" w:eastAsia="宋体"/>
                <w:bCs/>
                <w:sz w:val="21"/>
                <w:szCs w:val="21"/>
                <w:lang w:eastAsia="zh-CN"/>
              </w:rPr>
              <w:t>1.40</w:t>
            </w:r>
            <w:bookmarkEnd w:id="111"/>
          </w:p>
        </w:tc>
        <w:tc>
          <w:tcPr>
            <w:tcW w:w="706" w:type="pct"/>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884" w:type="pct"/>
            <w:vMerge w:val="continue"/>
            <w:vAlign w:val="center"/>
          </w:tcPr>
          <w:p>
            <w:pPr>
              <w:jc w:val="center"/>
              <w:rPr>
                <w:rFonts w:eastAsia="宋体"/>
                <w:bCs/>
                <w:sz w:val="21"/>
                <w:szCs w:val="21"/>
                <w:lang w:eastAsia="zh-CN"/>
              </w:rPr>
            </w:pPr>
          </w:p>
        </w:tc>
        <w:tc>
          <w:tcPr>
            <w:tcW w:w="860" w:type="pct"/>
            <w:vMerge w:val="restart"/>
            <w:shd w:val="clear" w:color="auto" w:fill="E6E6E6"/>
            <w:vAlign w:val="center"/>
          </w:tcPr>
          <w:p>
            <w:pPr>
              <w:jc w:val="center"/>
              <w:rPr>
                <w:rFonts w:eastAsia="宋体"/>
                <w:bCs/>
                <w:sz w:val="21"/>
                <w:szCs w:val="21"/>
                <w:lang w:eastAsia="zh-CN"/>
              </w:rPr>
            </w:pPr>
            <w:r>
              <w:rPr>
                <w:rFonts w:hAnsi="宋体" w:eastAsia="宋体"/>
                <w:bCs/>
                <w:sz w:val="21"/>
                <w:szCs w:val="21"/>
                <w:lang w:eastAsia="zh-CN"/>
              </w:rPr>
              <w:t>西向</w:t>
            </w:r>
          </w:p>
        </w:tc>
        <w:tc>
          <w:tcPr>
            <w:tcW w:w="486" w:type="pct"/>
            <w:vMerge w:val="restart"/>
            <w:vAlign w:val="center"/>
          </w:tcPr>
          <w:p>
            <w:pPr>
              <w:jc w:val="center"/>
              <w:rPr>
                <w:rFonts w:eastAsia="宋体"/>
                <w:bCs/>
                <w:sz w:val="21"/>
                <w:szCs w:val="21"/>
                <w:lang w:eastAsia="zh-CN"/>
              </w:rPr>
            </w:pPr>
            <w:bookmarkStart w:id="112" w:name="窗墙比－西向"/>
            <w:bookmarkStart w:id="113" w:name="最不利开间窗墙比－西向"/>
            <w:r>
              <w:rPr>
                <w:rFonts w:hint="eastAsia" w:eastAsia="宋体"/>
                <w:bCs/>
                <w:sz w:val="21"/>
                <w:szCs w:val="21"/>
                <w:lang w:eastAsia="zh-CN"/>
              </w:rPr>
              <w:t>－</w:t>
            </w:r>
            <w:bookmarkEnd w:id="112"/>
            <w:bookmarkEnd w:id="113"/>
          </w:p>
        </w:tc>
        <w:tc>
          <w:tcPr>
            <w:tcW w:w="399" w:type="pct"/>
            <w:vMerge w:val="restart"/>
            <w:vAlign w:val="center"/>
          </w:tcPr>
          <w:p>
            <w:pPr>
              <w:jc w:val="center"/>
              <w:rPr>
                <w:rFonts w:eastAsia="宋体"/>
                <w:bCs/>
                <w:sz w:val="21"/>
                <w:szCs w:val="21"/>
                <w:lang w:eastAsia="zh-CN"/>
              </w:rPr>
            </w:pPr>
            <w:bookmarkStart w:id="114" w:name="最不利窗墙比房间外窗K－西向"/>
            <w:bookmarkStart w:id="115" w:name="外窗K－西向"/>
            <w:r>
              <w:rPr>
                <w:rFonts w:hint="eastAsia" w:eastAsia="宋体"/>
                <w:bCs/>
                <w:sz w:val="21"/>
                <w:szCs w:val="21"/>
                <w:lang w:eastAsia="zh-CN"/>
              </w:rPr>
              <w:t>－</w:t>
            </w:r>
            <w:bookmarkEnd w:id="114"/>
            <w:bookmarkEnd w:id="115"/>
          </w:p>
        </w:tc>
        <w:tc>
          <w:tcPr>
            <w:tcW w:w="717" w:type="pct"/>
            <w:vMerge w:val="restart"/>
            <w:vAlign w:val="center"/>
          </w:tcPr>
          <w:p>
            <w:pPr>
              <w:jc w:val="center"/>
              <w:rPr>
                <w:rFonts w:eastAsia="宋体"/>
                <w:bCs/>
                <w:sz w:val="21"/>
                <w:szCs w:val="21"/>
                <w:lang w:eastAsia="zh-CN"/>
              </w:rPr>
            </w:pPr>
            <w:bookmarkStart w:id="116" w:name="外窗SHGC－夏季－西向"/>
            <w:r>
              <w:rPr>
                <w:rFonts w:hint="eastAsia" w:eastAsia="宋体"/>
                <w:bCs/>
                <w:sz w:val="21"/>
                <w:szCs w:val="21"/>
                <w:lang w:eastAsia="zh-CN"/>
              </w:rPr>
              <w:t>－</w:t>
            </w:r>
            <w:bookmarkEnd w:id="116"/>
          </w:p>
        </w:tc>
        <w:tc>
          <w:tcPr>
            <w:tcW w:w="553" w:type="pct"/>
            <w:vAlign w:val="center"/>
          </w:tcPr>
          <w:p>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pPr>
              <w:jc w:val="center"/>
              <w:rPr>
                <w:rFonts w:eastAsia="宋体"/>
                <w:bCs/>
                <w:sz w:val="21"/>
                <w:szCs w:val="21"/>
                <w:lang w:eastAsia="zh-CN"/>
              </w:rPr>
            </w:pPr>
            <w:bookmarkStart w:id="117" w:name="外窗K一档限值－西向"/>
            <w:r>
              <w:rPr>
                <w:rFonts w:hint="eastAsia" w:eastAsia="宋体"/>
                <w:bCs/>
                <w:sz w:val="21"/>
                <w:szCs w:val="21"/>
                <w:lang w:eastAsia="zh-CN"/>
              </w:rPr>
              <w:t>1.60</w:t>
            </w:r>
            <w:bookmarkEnd w:id="117"/>
          </w:p>
        </w:tc>
        <w:tc>
          <w:tcPr>
            <w:tcW w:w="706" w:type="pct"/>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84" w:type="pct"/>
            <w:vMerge w:val="continue"/>
            <w:vAlign w:val="center"/>
          </w:tcPr>
          <w:p>
            <w:pPr>
              <w:jc w:val="center"/>
              <w:rPr>
                <w:rFonts w:eastAsia="宋体"/>
                <w:bCs/>
                <w:sz w:val="21"/>
                <w:szCs w:val="21"/>
                <w:lang w:eastAsia="zh-CN"/>
              </w:rPr>
            </w:pPr>
          </w:p>
        </w:tc>
        <w:tc>
          <w:tcPr>
            <w:tcW w:w="860" w:type="pct"/>
            <w:vMerge w:val="continue"/>
            <w:shd w:val="clear" w:color="auto" w:fill="E6E6E6"/>
            <w:vAlign w:val="center"/>
          </w:tcPr>
          <w:p>
            <w:pPr>
              <w:jc w:val="center"/>
              <w:rPr>
                <w:rFonts w:hAnsi="宋体" w:eastAsia="宋体"/>
                <w:bCs/>
                <w:sz w:val="21"/>
                <w:szCs w:val="21"/>
                <w:lang w:eastAsia="zh-CN"/>
              </w:rPr>
            </w:pPr>
          </w:p>
        </w:tc>
        <w:tc>
          <w:tcPr>
            <w:tcW w:w="486" w:type="pct"/>
            <w:vMerge w:val="continue"/>
            <w:vAlign w:val="center"/>
          </w:tcPr>
          <w:p>
            <w:pPr>
              <w:jc w:val="center"/>
              <w:rPr>
                <w:rFonts w:eastAsia="宋体"/>
                <w:bCs/>
                <w:sz w:val="21"/>
                <w:szCs w:val="21"/>
                <w:lang w:eastAsia="zh-CN"/>
              </w:rPr>
            </w:pPr>
          </w:p>
        </w:tc>
        <w:tc>
          <w:tcPr>
            <w:tcW w:w="399" w:type="pct"/>
            <w:vMerge w:val="continue"/>
            <w:vAlign w:val="center"/>
          </w:tcPr>
          <w:p>
            <w:pPr>
              <w:jc w:val="center"/>
              <w:rPr>
                <w:rFonts w:eastAsia="宋体"/>
                <w:bCs/>
                <w:sz w:val="21"/>
                <w:szCs w:val="21"/>
                <w:lang w:eastAsia="zh-CN"/>
              </w:rPr>
            </w:pPr>
          </w:p>
        </w:tc>
        <w:tc>
          <w:tcPr>
            <w:tcW w:w="717" w:type="pct"/>
            <w:vMerge w:val="continue"/>
            <w:vAlign w:val="center"/>
          </w:tcPr>
          <w:p>
            <w:pPr>
              <w:jc w:val="center"/>
              <w:rPr>
                <w:rFonts w:eastAsia="宋体"/>
                <w:bCs/>
                <w:sz w:val="21"/>
                <w:szCs w:val="21"/>
                <w:lang w:eastAsia="zh-CN"/>
              </w:rPr>
            </w:pPr>
          </w:p>
        </w:tc>
        <w:tc>
          <w:tcPr>
            <w:tcW w:w="553" w:type="pct"/>
            <w:vAlign w:val="center"/>
          </w:tcPr>
          <w:p>
            <w:pPr>
              <w:jc w:val="center"/>
              <w:rPr>
                <w:rFonts w:eastAsia="宋体"/>
                <w:bCs/>
                <w:sz w:val="21"/>
                <w:szCs w:val="21"/>
                <w:lang w:eastAsia="zh-CN"/>
              </w:rPr>
            </w:pPr>
            <w:r>
              <w:rPr>
                <w:rFonts w:hint="eastAsia" w:eastAsia="宋体"/>
                <w:bCs/>
                <w:sz w:val="21"/>
                <w:szCs w:val="21"/>
                <w:lang w:eastAsia="zh-CN"/>
              </w:rPr>
              <w:t>＞0.30</w:t>
            </w:r>
          </w:p>
        </w:tc>
        <w:tc>
          <w:tcPr>
            <w:tcW w:w="395" w:type="pct"/>
            <w:vAlign w:val="center"/>
          </w:tcPr>
          <w:p>
            <w:pPr>
              <w:jc w:val="center"/>
              <w:rPr>
                <w:rFonts w:eastAsia="宋体"/>
                <w:bCs/>
                <w:sz w:val="21"/>
                <w:szCs w:val="21"/>
                <w:lang w:eastAsia="zh-CN"/>
              </w:rPr>
            </w:pPr>
            <w:bookmarkStart w:id="118" w:name="外窗K二档限值－西向"/>
            <w:r>
              <w:rPr>
                <w:rFonts w:hint="eastAsia" w:eastAsia="宋体"/>
                <w:bCs/>
                <w:sz w:val="21"/>
                <w:szCs w:val="21"/>
                <w:lang w:eastAsia="zh-CN"/>
              </w:rPr>
              <w:t>1.40</w:t>
            </w:r>
            <w:bookmarkEnd w:id="118"/>
          </w:p>
        </w:tc>
        <w:tc>
          <w:tcPr>
            <w:tcW w:w="706" w:type="pct"/>
            <w:vAlign w:val="center"/>
          </w:tcPr>
          <w:p>
            <w:pPr>
              <w:jc w:val="center"/>
              <w:rPr>
                <w:rFonts w:eastAsia="宋体"/>
                <w:bCs/>
                <w:sz w:val="21"/>
                <w:szCs w:val="21"/>
                <w:lang w:eastAsia="zh-CN"/>
              </w:rPr>
            </w:pPr>
            <w:r>
              <w:rPr>
                <w:rFonts w:hint="eastAsia" w:eastAsia="宋体"/>
                <w:bCs/>
                <w:sz w:val="21"/>
                <w:szCs w:val="21"/>
                <w:lang w:eastAsia="zh-CN"/>
              </w:rPr>
              <w:t>——</w:t>
            </w:r>
          </w:p>
        </w:tc>
      </w:tr>
    </w:tbl>
    <w:p>
      <w:pPr>
        <w:widowControl w:val="0"/>
        <w:jc w:val="both"/>
      </w:pPr>
      <w:r>
        <w:t>备注：1. — 代表本工程无对应项; 2. ——代表参照建筑不要求，取值同设计建筑。</w:t>
      </w:r>
    </w:p>
    <w:p>
      <w:pPr>
        <w:pStyle w:val="4"/>
        <w:widowControl w:val="0"/>
        <w:jc w:val="both"/>
      </w:pPr>
      <w:bookmarkStart w:id="119" w:name="_Toc17417"/>
      <w:r>
        <w:t>围护结构节能率</w:t>
      </w:r>
      <w:bookmarkEnd w:id="119"/>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bookmarkEnd w:id="63"/>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0"/>
          </w:p>
          <w:p>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pPr>
              <w:ind w:firstLine="0" w:firstLineChars="0"/>
              <w:jc w:val="center"/>
              <w:rPr>
                <w:lang w:val="en-US"/>
              </w:rPr>
            </w:pPr>
            <w:bookmarkStart w:id="120" w:name="节能率别名"/>
            <w:r>
              <w:rPr>
                <w:rFonts w:hint="eastAsia"/>
                <w:lang w:val="en-US"/>
              </w:rPr>
              <w:t>节能率</w:t>
            </w:r>
            <w:bookmarkEnd w:id="120"/>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w:t>
            </w:r>
            <w:r>
              <w:rPr>
                <w:lang w:val="en-US"/>
              </w:rPr>
              <w:t>冷量</w:t>
            </w:r>
          </w:p>
        </w:tc>
        <w:tc>
          <w:tcPr>
            <w:tcW w:w="877" w:type="pct"/>
            <w:vAlign w:val="center"/>
          </w:tcPr>
          <w:p>
            <w:pPr>
              <w:ind w:firstLine="0" w:firstLineChars="0"/>
              <w:jc w:val="center"/>
              <w:rPr>
                <w:lang w:val="en-US"/>
              </w:rPr>
            </w:pPr>
            <w:bookmarkStart w:id="121" w:name="耗冷量2"/>
            <w:r>
              <w:rPr>
                <w:rFonts w:hint="eastAsia"/>
                <w:lang w:val="en-US"/>
              </w:rPr>
              <w:t>-</w:t>
            </w:r>
            <w:bookmarkEnd w:id="121"/>
          </w:p>
        </w:tc>
        <w:tc>
          <w:tcPr>
            <w:tcW w:w="877" w:type="pct"/>
            <w:vAlign w:val="center"/>
          </w:tcPr>
          <w:p>
            <w:pPr>
              <w:ind w:firstLine="0" w:firstLineChars="0"/>
              <w:jc w:val="center"/>
              <w:rPr>
                <w:lang w:val="en-US"/>
              </w:rPr>
            </w:pPr>
            <w:bookmarkStart w:id="122" w:name="参照建筑耗冷量2"/>
            <w:r>
              <w:rPr>
                <w:rFonts w:hint="eastAsia"/>
                <w:lang w:val="en-US"/>
              </w:rPr>
              <w:t>-</w:t>
            </w:r>
            <w:bookmarkEnd w:id="122"/>
          </w:p>
        </w:tc>
        <w:tc>
          <w:tcPr>
            <w:tcW w:w="961" w:type="pct"/>
            <w:vAlign w:val="center"/>
          </w:tcPr>
          <w:p>
            <w:pPr>
              <w:ind w:firstLine="0" w:firstLineChars="0"/>
              <w:jc w:val="center"/>
              <w:rPr>
                <w:lang w:val="en-US"/>
              </w:rPr>
            </w:pPr>
            <w:bookmarkStart w:id="123" w:name="节能率耗冷量2"/>
            <w:r>
              <w:rPr>
                <w:rFonts w:hint="eastAsia"/>
                <w:lang w:val="en-US"/>
              </w:rPr>
              <w:t>-</w:t>
            </w:r>
            <w:bookmarkEnd w:id="12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877" w:type="pct"/>
            <w:vAlign w:val="center"/>
          </w:tcPr>
          <w:p>
            <w:pPr>
              <w:ind w:firstLine="0" w:firstLineChars="0"/>
              <w:jc w:val="center"/>
              <w:rPr>
                <w:lang w:val="en-US"/>
              </w:rPr>
            </w:pPr>
            <w:bookmarkStart w:id="124" w:name="耗热量2"/>
            <w:r>
              <w:rPr>
                <w:rFonts w:hint="eastAsia"/>
                <w:lang w:val="en-US"/>
              </w:rPr>
              <w:t>1.97</w:t>
            </w:r>
            <w:bookmarkEnd w:id="124"/>
          </w:p>
        </w:tc>
        <w:tc>
          <w:tcPr>
            <w:tcW w:w="877" w:type="pct"/>
            <w:vAlign w:val="center"/>
          </w:tcPr>
          <w:p>
            <w:pPr>
              <w:ind w:firstLine="0" w:firstLineChars="0"/>
              <w:jc w:val="center"/>
              <w:rPr>
                <w:lang w:val="en-US"/>
              </w:rPr>
            </w:pPr>
            <w:bookmarkStart w:id="125" w:name="参照建筑耗热量2"/>
            <w:r>
              <w:rPr>
                <w:rFonts w:hint="eastAsia"/>
                <w:lang w:val="en-US"/>
              </w:rPr>
              <w:t>0.25</w:t>
            </w:r>
            <w:bookmarkEnd w:id="125"/>
          </w:p>
        </w:tc>
        <w:tc>
          <w:tcPr>
            <w:tcW w:w="961" w:type="pct"/>
            <w:vAlign w:val="center"/>
          </w:tcPr>
          <w:p>
            <w:pPr>
              <w:ind w:firstLine="0" w:firstLineChars="0"/>
              <w:jc w:val="center"/>
              <w:rPr>
                <w:lang w:val="en-US"/>
              </w:rPr>
            </w:pPr>
            <w:bookmarkStart w:id="126" w:name="节能率耗热量2"/>
            <w:r>
              <w:rPr>
                <w:rFonts w:hint="eastAsia"/>
                <w:lang w:val="en-US"/>
              </w:rPr>
              <w:t>-684.04%</w:t>
            </w:r>
            <w:bookmarkEnd w:id="12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冷热合计</w:t>
            </w:r>
          </w:p>
        </w:tc>
        <w:tc>
          <w:tcPr>
            <w:tcW w:w="877" w:type="pct"/>
            <w:vAlign w:val="center"/>
          </w:tcPr>
          <w:p>
            <w:pPr>
              <w:ind w:firstLine="0" w:firstLineChars="0"/>
              <w:jc w:val="center"/>
              <w:rPr>
                <w:lang w:val="en-US"/>
              </w:rPr>
            </w:pPr>
            <w:bookmarkStart w:id="127" w:name="耗冷耗热量2"/>
            <w:r>
              <w:rPr>
                <w:rFonts w:hint="eastAsia"/>
                <w:lang w:val="en-US"/>
              </w:rPr>
              <w:t>1.97</w:t>
            </w:r>
            <w:bookmarkEnd w:id="127"/>
          </w:p>
        </w:tc>
        <w:tc>
          <w:tcPr>
            <w:tcW w:w="877" w:type="pct"/>
            <w:vAlign w:val="center"/>
          </w:tcPr>
          <w:p>
            <w:pPr>
              <w:ind w:firstLine="0" w:firstLineChars="0"/>
              <w:jc w:val="center"/>
              <w:rPr>
                <w:lang w:val="en-US"/>
              </w:rPr>
            </w:pPr>
            <w:bookmarkStart w:id="128" w:name="参照建筑耗冷耗热量2"/>
            <w:r>
              <w:rPr>
                <w:rFonts w:hint="eastAsia"/>
                <w:lang w:val="en-US"/>
              </w:rPr>
              <w:t>0.25</w:t>
            </w:r>
            <w:bookmarkEnd w:id="128"/>
          </w:p>
        </w:tc>
        <w:tc>
          <w:tcPr>
            <w:tcW w:w="961" w:type="pct"/>
            <w:vAlign w:val="center"/>
          </w:tcPr>
          <w:p>
            <w:pPr>
              <w:ind w:firstLine="0" w:firstLineChars="0"/>
              <w:jc w:val="center"/>
              <w:rPr>
                <w:lang w:val="en-US"/>
              </w:rPr>
            </w:pPr>
            <w:bookmarkStart w:id="129" w:name="节能率耗冷耗热量2"/>
            <w:r>
              <w:rPr>
                <w:rFonts w:hint="eastAsia"/>
                <w:lang w:val="en-US"/>
              </w:rPr>
              <w:t>-684.04%</w:t>
            </w:r>
            <w:bookmarkEnd w:id="12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bookmarkStart w:id="130" w:name="供冷综合效率折算权重"/>
            <w:r>
              <w:rPr>
                <w:rFonts w:hint="eastAsia"/>
                <w:lang w:val="en-US"/>
              </w:rPr>
              <w:t>2.8</w:t>
            </w:r>
            <w:bookmarkEnd w:id="130"/>
          </w:p>
        </w:tc>
        <w:tc>
          <w:tcPr>
            <w:tcW w:w="877" w:type="pct"/>
            <w:vAlign w:val="center"/>
          </w:tcPr>
          <w:p>
            <w:pPr>
              <w:ind w:firstLine="0" w:firstLineChars="0"/>
              <w:jc w:val="center"/>
              <w:rPr>
                <w:lang w:val="en-US"/>
              </w:rPr>
            </w:pPr>
            <w:bookmarkStart w:id="131" w:name="供冷综合效率折算权重2"/>
            <w:r>
              <w:rPr>
                <w:rFonts w:hint="eastAsia"/>
                <w:lang w:val="en-US"/>
              </w:rPr>
              <w:t>2.8</w:t>
            </w:r>
            <w:bookmarkEnd w:id="131"/>
          </w:p>
        </w:tc>
        <w:tc>
          <w:tcPr>
            <w:tcW w:w="961" w:type="pct"/>
            <w:vMerge w:val="restart"/>
            <w:vAlign w:val="center"/>
          </w:tcPr>
          <w:p>
            <w:pPr>
              <w:ind w:firstLine="0" w:firstLineChars="0"/>
              <w:jc w:val="center"/>
              <w:rPr>
                <w:lang w:val="en-US"/>
              </w:rPr>
            </w:pPr>
            <w:bookmarkStart w:id="132" w:name="节能率空调能耗"/>
            <w:r>
              <w:rPr>
                <w:rFonts w:hint="eastAsia"/>
                <w:lang w:val="en-US"/>
              </w:rPr>
              <w:t>-</w:t>
            </w:r>
            <w:bookmarkEnd w:id="13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877" w:type="pct"/>
            <w:vAlign w:val="center"/>
          </w:tcPr>
          <w:p>
            <w:pPr>
              <w:ind w:firstLine="0" w:firstLineChars="0"/>
              <w:jc w:val="center"/>
              <w:rPr>
                <w:lang w:val="en-US"/>
              </w:rPr>
            </w:pPr>
            <w:bookmarkStart w:id="133" w:name="空调能耗"/>
            <w:r>
              <w:rPr>
                <w:rFonts w:hint="eastAsia"/>
                <w:lang w:val="en-US"/>
              </w:rPr>
              <w:t>-</w:t>
            </w:r>
            <w:bookmarkEnd w:id="133"/>
          </w:p>
        </w:tc>
        <w:tc>
          <w:tcPr>
            <w:tcW w:w="877" w:type="pct"/>
            <w:vAlign w:val="center"/>
          </w:tcPr>
          <w:p>
            <w:pPr>
              <w:ind w:firstLine="0" w:firstLineChars="0"/>
              <w:jc w:val="center"/>
              <w:rPr>
                <w:lang w:val="en-US"/>
              </w:rPr>
            </w:pPr>
            <w:bookmarkStart w:id="134" w:name="参照建筑空调能耗"/>
            <w:r>
              <w:rPr>
                <w:rFonts w:hint="eastAsia"/>
                <w:lang w:val="en-US"/>
              </w:rPr>
              <w:t>-</w:t>
            </w:r>
            <w:bookmarkEnd w:id="134"/>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bookmarkStart w:id="135" w:name="供暖综合效率折算权重"/>
            <w:r>
              <w:rPr>
                <w:rFonts w:hint="eastAsia"/>
                <w:lang w:val="en-US"/>
              </w:rPr>
              <w:t>1.6</w:t>
            </w:r>
            <w:bookmarkEnd w:id="135"/>
          </w:p>
        </w:tc>
        <w:tc>
          <w:tcPr>
            <w:tcW w:w="877" w:type="pct"/>
            <w:vAlign w:val="center"/>
          </w:tcPr>
          <w:p>
            <w:pPr>
              <w:ind w:firstLine="0" w:firstLineChars="0"/>
              <w:jc w:val="center"/>
              <w:rPr>
                <w:lang w:val="en-US"/>
              </w:rPr>
            </w:pPr>
            <w:bookmarkStart w:id="136" w:name="供暖综合效率折算权重2"/>
            <w:r>
              <w:rPr>
                <w:rFonts w:hint="eastAsia"/>
                <w:lang w:val="en-US"/>
              </w:rPr>
              <w:t>1.6</w:t>
            </w:r>
            <w:bookmarkEnd w:id="136"/>
          </w:p>
        </w:tc>
        <w:tc>
          <w:tcPr>
            <w:tcW w:w="961" w:type="pct"/>
            <w:vMerge w:val="restart"/>
            <w:vAlign w:val="center"/>
          </w:tcPr>
          <w:p>
            <w:pPr>
              <w:ind w:firstLine="0" w:firstLineChars="0"/>
              <w:jc w:val="center"/>
              <w:rPr>
                <w:lang w:val="en-US"/>
              </w:rPr>
            </w:pPr>
            <w:bookmarkStart w:id="137" w:name="节能率供暖能耗"/>
            <w:r>
              <w:rPr>
                <w:rFonts w:hint="eastAsia"/>
                <w:lang w:val="en-US"/>
              </w:rPr>
              <w:t>-684.04%</w:t>
            </w:r>
            <w:bookmarkEnd w:id="13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供暖能耗</w:t>
            </w:r>
          </w:p>
        </w:tc>
        <w:tc>
          <w:tcPr>
            <w:tcW w:w="877" w:type="pct"/>
            <w:vAlign w:val="center"/>
          </w:tcPr>
          <w:p>
            <w:pPr>
              <w:ind w:firstLine="0" w:firstLineChars="0"/>
              <w:jc w:val="center"/>
              <w:rPr>
                <w:lang w:val="en-US"/>
              </w:rPr>
            </w:pPr>
            <w:bookmarkStart w:id="138" w:name="供暖能耗"/>
            <w:r>
              <w:rPr>
                <w:rFonts w:hint="eastAsia"/>
                <w:lang w:val="en-US"/>
              </w:rPr>
              <w:t>1.23</w:t>
            </w:r>
            <w:bookmarkEnd w:id="138"/>
          </w:p>
        </w:tc>
        <w:tc>
          <w:tcPr>
            <w:tcW w:w="877" w:type="pct"/>
            <w:vAlign w:val="center"/>
          </w:tcPr>
          <w:p>
            <w:pPr>
              <w:ind w:firstLine="0" w:firstLineChars="0"/>
              <w:jc w:val="center"/>
              <w:rPr>
                <w:lang w:val="en-US"/>
              </w:rPr>
            </w:pPr>
            <w:bookmarkStart w:id="139" w:name="参照建筑供暖能耗"/>
            <w:r>
              <w:rPr>
                <w:rFonts w:hint="eastAsia"/>
                <w:lang w:val="en-US"/>
              </w:rPr>
              <w:t>0.16</w:t>
            </w:r>
            <w:bookmarkEnd w:id="139"/>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ind w:firstLine="0" w:firstLineChars="0"/>
              <w:jc w:val="center"/>
              <w:rPr>
                <w:lang w:val="en-US"/>
              </w:rPr>
            </w:pPr>
            <w:bookmarkStart w:id="140" w:name="空调供暖能耗"/>
            <w:r>
              <w:rPr>
                <w:rFonts w:hint="eastAsia"/>
                <w:lang w:val="en-US"/>
              </w:rPr>
              <w:t>1.23</w:t>
            </w:r>
            <w:bookmarkEnd w:id="140"/>
          </w:p>
        </w:tc>
        <w:tc>
          <w:tcPr>
            <w:tcW w:w="877" w:type="pct"/>
            <w:vAlign w:val="center"/>
          </w:tcPr>
          <w:p>
            <w:pPr>
              <w:ind w:firstLine="0" w:firstLineChars="0"/>
              <w:jc w:val="center"/>
              <w:rPr>
                <w:lang w:val="en-US"/>
              </w:rPr>
            </w:pPr>
            <w:bookmarkStart w:id="141" w:name="参照建筑空调供暖能耗"/>
            <w:r>
              <w:rPr>
                <w:rFonts w:hint="eastAsia"/>
                <w:lang w:val="en-US"/>
              </w:rPr>
              <w:t>0.16</w:t>
            </w:r>
            <w:bookmarkEnd w:id="141"/>
          </w:p>
        </w:tc>
        <w:tc>
          <w:tcPr>
            <w:tcW w:w="961" w:type="pct"/>
            <w:vAlign w:val="center"/>
          </w:tcPr>
          <w:p>
            <w:pPr>
              <w:ind w:firstLine="0" w:firstLineChars="0"/>
              <w:jc w:val="center"/>
              <w:rPr>
                <w:lang w:val="en-US"/>
              </w:rPr>
            </w:pPr>
            <w:bookmarkStart w:id="142" w:name="节能率空调供暖能耗"/>
            <w:r>
              <w:rPr>
                <w:rFonts w:hint="eastAsia"/>
                <w:lang w:val="en-US"/>
              </w:rPr>
              <w:t>-684.04%</w:t>
            </w:r>
            <w:bookmarkEnd w:id="142"/>
          </w:p>
        </w:tc>
      </w:tr>
    </w:tbl>
    <w:p>
      <w:pPr>
        <w:ind w:firstLine="0" w:firstLineChars="0"/>
        <w:jc w:val="center"/>
        <w:rPr>
          <w:sz w:val="20"/>
          <w:lang w:val="en-US"/>
        </w:rPr>
      </w:pPr>
    </w:p>
    <w:p>
      <w:pPr>
        <w:widowControl w:val="0"/>
        <w:jc w:val="both"/>
      </w:pPr>
    </w:p>
    <w:p>
      <w:pPr>
        <w:pStyle w:val="2"/>
        <w:widowControl w:val="0"/>
        <w:jc w:val="both"/>
      </w:pPr>
      <w:bookmarkStart w:id="143" w:name="_Toc9015"/>
      <w:r>
        <w:t>绿色建筑性能评估得分</w:t>
      </w:r>
      <w:bookmarkEnd w:id="143"/>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pPr>
              <w:jc w:val="center"/>
            </w:pPr>
            <w:r>
              <w:rPr>
                <w:rFonts w:hint="eastAsia"/>
              </w:rPr>
              <w:t>标准</w:t>
            </w:r>
            <w:r>
              <w:t>条文</w:t>
            </w:r>
          </w:p>
        </w:tc>
        <w:tc>
          <w:tcPr>
            <w:tcW w:w="5670" w:type="dxa"/>
            <w:shd w:val="clear" w:color="auto" w:fill="E6E6E6"/>
            <w:vAlign w:val="center"/>
          </w:tcPr>
          <w:p>
            <w:pPr>
              <w:jc w:val="center"/>
            </w:pPr>
            <w:r>
              <w:rPr>
                <w:rFonts w:hint="eastAsia"/>
              </w:rPr>
              <w:t>得分</w:t>
            </w:r>
            <w:r>
              <w:t>评价</w:t>
            </w:r>
          </w:p>
        </w:tc>
        <w:tc>
          <w:tcPr>
            <w:tcW w:w="992" w:type="dxa"/>
            <w:shd w:val="clear" w:color="auto" w:fill="E6E6E6"/>
            <w:vAlign w:val="center"/>
          </w:tcPr>
          <w:p>
            <w:pPr>
              <w:jc w:val="center"/>
            </w:pPr>
            <w:r>
              <w:rPr>
                <w:rFonts w:hint="eastAsia"/>
              </w:rPr>
              <w:t>节能率</w:t>
            </w:r>
          </w:p>
        </w:tc>
        <w:tc>
          <w:tcPr>
            <w:tcW w:w="70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pPr>
              <w:rPr>
                <w:rFonts w:hint="eastAsia"/>
              </w:rPr>
            </w:pPr>
            <w:r>
              <w:t xml:space="preserve">7.2.4 </w:t>
            </w:r>
            <w:r>
              <w:rPr>
                <w:rFonts w:hint="eastAsia"/>
              </w:rPr>
              <w:t>优化</w:t>
            </w:r>
            <w:r>
              <w:t>围护结构热工性能</w:t>
            </w:r>
          </w:p>
        </w:tc>
        <w:tc>
          <w:tcPr>
            <w:tcW w:w="5670" w:type="dxa"/>
            <w:vAlign w:val="center"/>
          </w:tcPr>
          <w:p>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r>
              <w:rPr>
                <w:rFonts w:hint="eastAsia"/>
              </w:rPr>
              <w:t>分；降低</w:t>
            </w:r>
            <w:r>
              <w:t xml:space="preserve">15%, </w:t>
            </w:r>
            <w:r>
              <w:rPr>
                <w:rFonts w:hint="eastAsia"/>
              </w:rPr>
              <w:t>得</w:t>
            </w:r>
            <w:r>
              <w:t xml:space="preserve">15 </w:t>
            </w:r>
            <w:r>
              <w:rPr>
                <w:rFonts w:hint="eastAsia"/>
              </w:rPr>
              <w:t>分。</w:t>
            </w:r>
          </w:p>
        </w:tc>
        <w:tc>
          <w:tcPr>
            <w:tcW w:w="992" w:type="dxa"/>
            <w:vAlign w:val="center"/>
          </w:tcPr>
          <w:p>
            <w:bookmarkStart w:id="144" w:name="节能率计算目标"/>
            <w:r>
              <w:t>-684.04%</w:t>
            </w:r>
            <w:bookmarkEnd w:id="144"/>
          </w:p>
        </w:tc>
        <w:tc>
          <w:tcPr>
            <w:tcW w:w="706" w:type="dxa"/>
            <w:vAlign w:val="center"/>
          </w:tcPr>
          <w:p>
            <w:bookmarkStart w:id="145" w:name="得分计算目标"/>
            <w:r>
              <w:t>0</w:t>
            </w:r>
            <w:bookmarkEnd w:id="145"/>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r>
              <w:rPr>
                <w:rFonts w:hint="eastAsia"/>
              </w:rPr>
              <w:t>标准</w:t>
            </w:r>
            <w:r>
              <w:t>依据</w:t>
            </w:r>
          </w:p>
        </w:tc>
        <w:tc>
          <w:tcPr>
            <w:tcW w:w="7368" w:type="dxa"/>
            <w:gridSpan w:val="3"/>
            <w:vAlign w:val="center"/>
          </w:tcPr>
          <w:p>
            <w:r>
              <w:rPr>
                <w:rFonts w:hint="eastAsia"/>
              </w:rPr>
              <w:t>《绿色建筑评价标准》GB</w:t>
            </w:r>
            <w:r>
              <w:t>-</w:t>
            </w:r>
            <w:r>
              <w:rPr>
                <w:rFonts w:hint="eastAsia"/>
              </w:rPr>
              <w:t>T 50378-2019</w:t>
            </w:r>
          </w:p>
        </w:tc>
      </w:tr>
    </w:tbl>
    <w:p/>
    <w:p>
      <w:pPr>
        <w:widowControl w:val="0"/>
        <w:jc w:val="both"/>
      </w:pPr>
    </w:p>
    <w:p>
      <w:pPr>
        <w:widowControl w:val="0"/>
        <w:jc w:val="cente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146" w:name="_Toc32082"/>
      <w:r>
        <w:t>附录</w:t>
      </w:r>
      <w:bookmarkEnd w:id="146"/>
    </w:p>
    <w:p>
      <w:pPr>
        <w:pStyle w:val="4"/>
        <w:jc w:val="both"/>
      </w:pPr>
      <w:bookmarkStart w:id="147" w:name="_Toc6850"/>
      <w:r>
        <w:t>工作日/节假日人员逐时在室率(%)</w:t>
      </w:r>
      <w:bookmarkEnd w:id="147"/>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过厅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Pr>
        <w:jc w:val="both"/>
      </w:pPr>
    </w:p>
    <w:p>
      <w:r>
        <w:t>注：上行：工作日；下行：节假日</w:t>
      </w:r>
    </w:p>
    <w:p>
      <w:pPr>
        <w:pStyle w:val="4"/>
      </w:pPr>
      <w:bookmarkStart w:id="148" w:name="_Toc18206"/>
      <w:r>
        <w:t>工作日/节假日照明开关时间表(%)</w:t>
      </w:r>
      <w:bookmarkEnd w:id="148"/>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过厅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149" w:name="_Toc23603"/>
      <w:r>
        <w:t>工作日/节假日设备逐时使用率(%)</w:t>
      </w:r>
      <w:bookmarkEnd w:id="149"/>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过厅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270278D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建筑围护结构节能率报告书.dotx</Template>
  <Company>ths</Company>
  <Pages>5</Pages>
  <Words>1002</Words>
  <Characters>5718</Characters>
  <Lines>47</Lines>
  <Paragraphs>13</Paragraphs>
  <TotalTime>0</TotalTime>
  <ScaleCrop>false</ScaleCrop>
  <LinksUpToDate>false</LinksUpToDate>
  <CharactersWithSpaces>6707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2018-06-14T09:18:00Z</dcterms:created>
  <dc:creator>Jiangx</dc:creator>
  <cp:lastModifiedBy>▓vigorous     youth▓</cp:lastModifiedBy>
  <cp:lastPrinted>2411-12-31T16:00:00Z</cp:lastPrinted>
  <dcterms:modified xsi:type="dcterms:W3CDTF">2024-01-02T07:18:12Z</dcterms:modified>
  <dc:title>围护结构节能率计算书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A4E2DD17843E45C3801573A2C4CD85DB_12</vt:lpwstr>
  </property>
</Properties>
</file>