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r>
              <w:t>悠然·北方农村绿色家园设计</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北京</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r>
              <w:rPr>
                <w:rFonts w:hint="eastAsia" w:ascii="宋体" w:hAnsi="宋体"/>
                <w:szCs w:val="21"/>
              </w:rPr>
              <w:t>BK1A60085</w:t>
            </w:r>
            <w:bookmarkStart w:id="76" w:name="_GoBack"/>
            <w:bookmarkEnd w:id="7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北京建筑大学</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2024年01月05日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T13051745757</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4</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5</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5</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5</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6</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8</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8</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14</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0"/>
    <w:p>
      <w:pPr>
        <w:pStyle w:val="2"/>
      </w:pPr>
      <w:bookmarkStart w:id="11" w:name="_Toc452108759"/>
      <w:bookmarkStart w:id="12" w:name="_Toc50050011"/>
      <w:bookmarkStart w:id="13" w:name="_Toc13735908"/>
      <w:bookmarkStart w:id="14" w:name="_Toc58243666"/>
      <w:bookmarkStart w:id="15" w:name="TitleFormat"/>
      <w:bookmarkStart w:id="16" w:name="_Toc452108762"/>
      <w:r>
        <w:rPr>
          <w:rFonts w:hint="eastAsia"/>
        </w:rPr>
        <w:t>项目概况</w:t>
      </w:r>
      <w:bookmarkEnd w:id="11"/>
      <w:bookmarkEnd w:id="12"/>
      <w:bookmarkEnd w:id="13"/>
      <w:bookmarkEnd w:id="14"/>
    </w:p>
    <w:p>
      <w:pPr>
        <w:pStyle w:val="3"/>
        <w:ind w:firstLine="420"/>
        <w:rPr>
          <w:lang w:val="en-US"/>
        </w:rPr>
      </w:pPr>
      <w:bookmarkStart w:id="17" w:name="项目概况"/>
      <w:bookmarkEnd w:id="17"/>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8" w:name="_Toc452108760"/>
      <w:bookmarkStart w:id="19" w:name="_Toc58243667"/>
      <w:bookmarkStart w:id="20" w:name="_Toc13735909"/>
      <w:bookmarkStart w:id="21" w:name="_Toc50050012"/>
      <w:bookmarkStart w:id="22" w:name="平面图2"/>
      <w:r>
        <w:t>平面图</w:t>
      </w:r>
      <w:bookmarkEnd w:id="18"/>
      <w:bookmarkEnd w:id="19"/>
      <w:bookmarkEnd w:id="20"/>
      <w:bookmarkEnd w:id="21"/>
    </w:p>
    <w:p>
      <w:pPr>
        <w:pStyle w:val="3"/>
        <w:ind w:firstLine="0" w:firstLineChars="0"/>
        <w:jc w:val="center"/>
        <w:rPr>
          <w:lang w:val="en-US"/>
        </w:rPr>
      </w:pPr>
      <w:bookmarkStart w:id="23" w:name="平面图"/>
      <w:bookmarkEnd w:id="23"/>
      <w:r>
        <w:drawing>
          <wp:inline distT="0" distB="0" distL="0" distR="0">
            <wp:extent cx="5667375" cy="70199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70199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p>
    <w:bookmarkEnd w:id="22"/>
    <w:p>
      <w:pPr>
        <w:pStyle w:val="3"/>
        <w:ind w:firstLine="0" w:firstLineChars="0"/>
        <w:jc w:val="center"/>
        <w:rPr>
          <w:lang w:val="en-US"/>
        </w:rPr>
      </w:pPr>
    </w:p>
    <w:p>
      <w:pPr>
        <w:pStyle w:val="4"/>
      </w:pPr>
      <w:bookmarkStart w:id="24" w:name="_Toc50050013"/>
      <w:bookmarkStart w:id="25" w:name="_Toc452108761"/>
      <w:bookmarkStart w:id="26" w:name="_Toc13735910"/>
      <w:bookmarkStart w:id="27" w:name="_Toc58243668"/>
      <w:r>
        <w:rPr>
          <w:rFonts w:hint="eastAsia"/>
        </w:rPr>
        <w:t>三</w:t>
      </w:r>
      <w:r>
        <w:t>维视图</w:t>
      </w:r>
      <w:bookmarkEnd w:id="24"/>
      <w:bookmarkEnd w:id="25"/>
      <w:bookmarkEnd w:id="26"/>
      <w:bookmarkEnd w:id="27"/>
    </w:p>
    <w:p>
      <w:pPr>
        <w:pStyle w:val="3"/>
        <w:ind w:firstLine="0" w:firstLineChars="0"/>
        <w:jc w:val="center"/>
        <w:rPr>
          <w:lang w:val="en-US"/>
        </w:rPr>
      </w:pPr>
      <w:bookmarkStart w:id="28" w:name="模型观察"/>
      <w:bookmarkStart w:id="29" w:name="三维视图"/>
      <w:r>
        <w:t>请先在【模型观察】命令中保存图片</w:t>
      </w:r>
      <w:bookmarkEnd w:id="28"/>
      <w:bookmarkEnd w:id="29"/>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0" w:name="_Toc58243669"/>
      <w:bookmarkStart w:id="31" w:name="_Toc50050014"/>
      <w:r>
        <w:rPr>
          <w:rFonts w:hint="eastAsia"/>
        </w:rPr>
        <w:t>计算</w:t>
      </w:r>
      <w:r>
        <w:t>依据</w:t>
      </w:r>
      <w:bookmarkEnd w:id="15"/>
      <w:bookmarkEnd w:id="16"/>
      <w:bookmarkEnd w:id="30"/>
      <w:bookmarkEnd w:id="31"/>
    </w:p>
    <w:p>
      <w:pPr>
        <w:pStyle w:val="3"/>
        <w:ind w:firstLine="199" w:firstLineChars="95"/>
        <w:rPr>
          <w:lang w:val="en-US"/>
        </w:rPr>
      </w:pPr>
      <w:bookmarkStart w:id="32" w:name="_Toc452108763"/>
      <w:r>
        <w:rPr>
          <w:rFonts w:hint="eastAsia"/>
          <w:lang w:val="en-US"/>
        </w:rPr>
        <w:t>本项目主要参照资料为：</w:t>
      </w:r>
    </w:p>
    <w:p>
      <w:pPr>
        <w:pStyle w:val="3"/>
        <w:numPr>
          <w:ilvl w:val="0"/>
          <w:numId w:val="2"/>
        </w:numPr>
        <w:ind w:left="0" w:firstLine="200" w:firstLineChars="0"/>
        <w:rPr>
          <w:lang w:val="en-US"/>
        </w:rPr>
      </w:pPr>
      <w:bookmarkStart w:id="33" w:name="参考标准名称1"/>
      <w:r>
        <w:rPr>
          <w:rFonts w:hint="eastAsia"/>
          <w:lang w:val="en-US"/>
        </w:rPr>
        <w:t>《绿色建筑评价标准》（京津冀）DB11/T 825-2021</w:t>
      </w:r>
      <w:bookmarkEnd w:id="33"/>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4" w:name="_Toc58243670"/>
      <w:bookmarkStart w:id="35" w:name="_Toc50050015"/>
      <w:r>
        <w:rPr>
          <w:rFonts w:hint="eastAsia"/>
        </w:rPr>
        <w:t>参考</w:t>
      </w:r>
      <w:r>
        <w:t>标准</w:t>
      </w:r>
      <w:bookmarkEnd w:id="32"/>
      <w:bookmarkEnd w:id="34"/>
      <w:bookmarkEnd w:id="35"/>
    </w:p>
    <w:p>
      <w:pPr>
        <w:pStyle w:val="3"/>
        <w:ind w:firstLine="420"/>
        <w:rPr>
          <w:lang w:val="en-US"/>
        </w:rPr>
      </w:pPr>
      <w:bookmarkStart w:id="36" w:name="_Toc451698935"/>
      <w:bookmarkStart w:id="37" w:name="_Toc452108764"/>
      <w:bookmarkStart w:id="38" w:name="_Toc451436145"/>
      <w:r>
        <w:rPr>
          <w:rFonts w:hint="eastAsia"/>
          <w:lang w:val="en-US"/>
        </w:rPr>
        <w:t>室内气流组织评价的主要依据为</w:t>
      </w:r>
      <w:bookmarkStart w:id="39" w:name="参考标准名称2"/>
      <w:r>
        <w:rPr>
          <w:rFonts w:hint="eastAsia"/>
          <w:lang w:val="en-US"/>
        </w:rPr>
        <w:t>《绿色建筑评价标准》（京津冀）DB11/T 825-2021</w:t>
      </w:r>
      <w:bookmarkEnd w:id="39"/>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0" w:name="_Toc50050016"/>
      <w:bookmarkStart w:id="41" w:name="_Toc58243671"/>
      <w:r>
        <w:rPr>
          <w:rFonts w:hint="eastAsia"/>
        </w:rPr>
        <w:t>技术措施</w:t>
      </w:r>
      <w:bookmarkEnd w:id="40"/>
      <w:bookmarkEnd w:id="41"/>
    </w:p>
    <w:p>
      <w:pPr>
        <w:pStyle w:val="3"/>
        <w:ind w:firstLine="420"/>
        <w:rPr>
          <w:lang w:val="en-US"/>
        </w:rPr>
      </w:pPr>
      <w:r>
        <w:rPr>
          <w:rFonts w:hint="eastAsia"/>
          <w:lang w:val="en-US"/>
        </w:rPr>
        <w:t>本项目采用了如下技术措施避免室内气流组织合理，防止污染物串通：</w:t>
      </w:r>
    </w:p>
    <w:p>
      <w:pPr>
        <w:pStyle w:val="3"/>
        <w:ind w:firstLine="420"/>
        <w:rPr>
          <w:lang w:val="en-US"/>
        </w:rPr>
      </w:pPr>
      <w:bookmarkStart w:id="42" w:name="技术措施"/>
      <w:r>
        <w:t>无</w:t>
      </w:r>
      <w:bookmarkEnd w:id="42"/>
    </w:p>
    <w:p>
      <w:pPr>
        <w:pStyle w:val="2"/>
      </w:pPr>
      <w:bookmarkStart w:id="43" w:name="_Toc50050017"/>
      <w:bookmarkStart w:id="44" w:name="_Toc58243672"/>
      <w:r>
        <w:rPr>
          <w:rFonts w:hint="eastAsia"/>
        </w:rPr>
        <w:t>计算</w:t>
      </w:r>
      <w:bookmarkEnd w:id="36"/>
      <w:bookmarkEnd w:id="37"/>
      <w:r>
        <w:rPr>
          <w:rFonts w:hint="eastAsia"/>
        </w:rPr>
        <w:t>方法</w:t>
      </w:r>
      <w:bookmarkEnd w:id="43"/>
      <w:bookmarkEnd w:id="44"/>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5" w:name="_Toc50050018"/>
      <w:bookmarkStart w:id="46" w:name="_Toc58243673"/>
      <w:r>
        <w:t>CFD</w:t>
      </w:r>
      <w:r>
        <w:rPr>
          <w:rFonts w:hint="eastAsia"/>
        </w:rPr>
        <w:t>计算原理</w:t>
      </w:r>
      <w:bookmarkEnd w:id="45"/>
      <w:bookmarkEnd w:id="46"/>
    </w:p>
    <w:p>
      <w:pPr>
        <w:pStyle w:val="5"/>
      </w:pPr>
      <w:bookmarkStart w:id="47" w:name="_Toc50050019"/>
      <w:bookmarkStart w:id="48" w:name="_Toc58243674"/>
      <w:bookmarkStart w:id="49" w:name="_Toc451698937"/>
      <w:bookmarkStart w:id="50" w:name="_Toc452108765"/>
      <w:r>
        <w:rPr>
          <w:rFonts w:hint="eastAsia"/>
        </w:rPr>
        <w:t>湍流模型</w:t>
      </w:r>
      <w:bookmarkEnd w:id="47"/>
      <w:bookmarkEnd w:id="48"/>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1" w:name="_Toc452108766"/>
      <w:bookmarkStart w:id="52" w:name="_Toc8151"/>
      <w:bookmarkStart w:id="53" w:name="_Toc50050020"/>
      <w:bookmarkStart w:id="54" w:name="_Toc58243675"/>
      <w:bookmarkStart w:id="55" w:name="_Toc451698938"/>
      <w:r>
        <w:rPr>
          <w:rFonts w:hint="eastAsia"/>
        </w:rPr>
        <w:t>边界条件</w:t>
      </w:r>
      <w:bookmarkEnd w:id="51"/>
      <w:bookmarkEnd w:id="52"/>
      <w:bookmarkEnd w:id="53"/>
      <w:bookmarkEnd w:id="54"/>
      <w:bookmarkEnd w:id="55"/>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6" w:name="_Toc451698939"/>
      <w:bookmarkStart w:id="57" w:name="_Toc452108767"/>
      <w:bookmarkStart w:id="58" w:name="_Toc23583"/>
      <w:bookmarkStart w:id="59" w:name="_Toc58243676"/>
      <w:bookmarkStart w:id="60" w:name="_Toc50050021"/>
      <w:r>
        <w:rPr>
          <w:rFonts w:hint="eastAsia"/>
        </w:rPr>
        <w:t>求解计算</w:t>
      </w:r>
      <w:bookmarkEnd w:id="56"/>
      <w:bookmarkEnd w:id="57"/>
      <w:bookmarkEnd w:id="58"/>
      <w:bookmarkEnd w:id="59"/>
      <w:bookmarkEnd w:id="60"/>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1"/>
      <w:r>
        <w:rPr>
          <w:rFonts w:hint="eastAsia" w:ascii="黑体" w:hAnsi="黑体" w:eastAsia="黑体"/>
          <w:sz w:val="20"/>
          <w:szCs w:val="20"/>
        </w:rPr>
        <w:t xml:space="preserve"> </w:t>
      </w:r>
      <w:bookmarkStart w:id="62" w:name="_Ref225175618"/>
      <w:r>
        <w:rPr>
          <w:rFonts w:hint="eastAsia" w:ascii="黑体" w:hAnsi="黑体" w:eastAsia="黑体"/>
          <w:sz w:val="20"/>
          <w:szCs w:val="20"/>
        </w:rPr>
        <w:t>计算流体力学的控制方程</w:t>
      </w:r>
      <w:bookmarkEnd w:id="62"/>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3" w:name="_Toc452108768"/>
      <w:bookmarkStart w:id="64" w:name="_Toc3745"/>
      <w:bookmarkStart w:id="65" w:name="_Toc58243677"/>
      <w:bookmarkStart w:id="66" w:name="_Toc50050022"/>
      <w:r>
        <w:rPr>
          <w:rFonts w:hint="eastAsia"/>
        </w:rPr>
        <w:t>结果</w:t>
      </w:r>
      <w:r>
        <w:t>分析</w:t>
      </w:r>
      <w:bookmarkEnd w:id="63"/>
      <w:bookmarkEnd w:id="64"/>
      <w:bookmarkEnd w:id="65"/>
      <w:bookmarkEnd w:id="66"/>
    </w:p>
    <w:p>
      <w:pPr>
        <w:pStyle w:val="4"/>
      </w:pPr>
      <w:bookmarkStart w:id="67" w:name="_Toc50050023"/>
      <w:bookmarkStart w:id="68" w:name="_Toc58243678"/>
      <w:r>
        <w:rPr>
          <w:rFonts w:hint="eastAsia"/>
        </w:rPr>
        <w:t>室内速度场分布</w:t>
      </w:r>
      <w:bookmarkEnd w:id="67"/>
      <w:bookmarkEnd w:id="68"/>
    </w:p>
    <w:p>
      <w:pPr>
        <w:pStyle w:val="3"/>
        <w:ind w:firstLine="0" w:firstLineChars="0"/>
        <w:jc w:val="center"/>
        <w:rPr>
          <w:lang w:val="en-US"/>
        </w:rPr>
      </w:pPr>
      <w:bookmarkStart w:id="69" w:name="速度云图"/>
      <w:r>
        <w:drawing>
          <wp:inline distT="0" distB="0" distL="0" distR="0">
            <wp:extent cx="5667375" cy="3752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51"/>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9"/>
    <w:p>
      <w:pPr>
        <w:pStyle w:val="4"/>
      </w:pPr>
      <w:bookmarkStart w:id="70" w:name="_Toc50050024"/>
      <w:bookmarkStart w:id="71" w:name="_Toc58243679"/>
      <w:r>
        <w:rPr>
          <w:rFonts w:hint="eastAsia"/>
        </w:rPr>
        <w:t>室内风速矢量图</w:t>
      </w:r>
      <w:bookmarkEnd w:id="70"/>
      <w:bookmarkEnd w:id="71"/>
    </w:p>
    <w:p>
      <w:pPr>
        <w:pStyle w:val="3"/>
        <w:ind w:firstLine="0" w:firstLineChars="0"/>
        <w:jc w:val="center"/>
        <w:rPr>
          <w:lang w:val="en-US"/>
        </w:rPr>
      </w:pPr>
      <w:bookmarkStart w:id="72" w:name="速度矢量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72"/>
    <w:p>
      <w:pPr>
        <w:pStyle w:val="4"/>
      </w:pPr>
      <w:bookmarkStart w:id="73" w:name="_Toc50050025"/>
      <w:bookmarkStart w:id="74" w:name="_Toc58243680"/>
      <w:r>
        <w:rPr>
          <w:rFonts w:hint="eastAsia"/>
        </w:rPr>
        <w:t>流线图</w:t>
      </w:r>
    </w:p>
    <w:p>
      <w:pPr>
        <w:pStyle w:val="3"/>
        <w:ind w:firstLine="420"/>
        <w:jc w:val="center"/>
        <w:rPr>
          <w:lang w:val="en-US"/>
        </w:rPr>
      </w:pPr>
      <w:bookmarkStart w:id="75" w:name="流线图"/>
      <w:bookmarkEnd w:id="75"/>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pPr>
        <w:pStyle w:val="2"/>
        <w:rPr>
          <w:sz w:val="36"/>
          <w:szCs w:val="36"/>
        </w:rPr>
      </w:pPr>
      <w:r>
        <w:rPr>
          <w:rFonts w:hint="eastAsia"/>
          <w:sz w:val="36"/>
          <w:szCs w:val="36"/>
        </w:rPr>
        <w:t>结论</w:t>
      </w:r>
      <w:bookmarkEnd w:id="73"/>
      <w:bookmarkEnd w:id="74"/>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8"/>
    <w:bookmarkEnd w:id="49"/>
    <w:bookmarkEnd w:id="50"/>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2UwMDk3NTBkYmE4ZmNjYWViNmE5ZGM1OTE0ODYifQ=="/>
  </w:docVars>
  <w:rsids>
    <w:rsidRoot w:val="003F6695"/>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3F6"/>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3F6695"/>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56524"/>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07052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autoRedefine/>
    <w:qFormat/>
    <w:uiPriority w:val="0"/>
    <w:pPr>
      <w:keepNext/>
      <w:numPr>
        <w:ilvl w:val="3"/>
        <w:numId w:val="1"/>
      </w:numPr>
      <w:spacing w:before="240" w:after="60"/>
      <w:outlineLvl w:val="3"/>
    </w:pPr>
    <w:rPr>
      <w:b/>
      <w:bCs/>
      <w:szCs w:val="28"/>
    </w:rPr>
  </w:style>
  <w:style w:type="paragraph" w:styleId="7">
    <w:name w:val="heading 5"/>
    <w:basedOn w:val="1"/>
    <w:next w:val="1"/>
    <w:link w:val="39"/>
    <w:autoRedefine/>
    <w:qFormat/>
    <w:uiPriority w:val="0"/>
    <w:pPr>
      <w:numPr>
        <w:ilvl w:val="4"/>
        <w:numId w:val="1"/>
      </w:numPr>
      <w:spacing w:before="240" w:after="60"/>
      <w:outlineLvl w:val="4"/>
    </w:pPr>
    <w:rPr>
      <w:b/>
      <w:bCs/>
      <w:iCs/>
      <w:szCs w:val="26"/>
    </w:rPr>
  </w:style>
  <w:style w:type="paragraph" w:styleId="8">
    <w:name w:val="heading 6"/>
    <w:basedOn w:val="1"/>
    <w:next w:val="1"/>
    <w:link w:val="40"/>
    <w:autoRedefine/>
    <w:qFormat/>
    <w:uiPriority w:val="0"/>
    <w:pPr>
      <w:numPr>
        <w:ilvl w:val="5"/>
        <w:numId w:val="1"/>
      </w:numPr>
      <w:spacing w:before="240" w:after="60"/>
      <w:outlineLvl w:val="5"/>
    </w:pPr>
    <w:rPr>
      <w:b/>
      <w:bCs/>
      <w:szCs w:val="22"/>
    </w:rPr>
  </w:style>
  <w:style w:type="paragraph" w:styleId="9">
    <w:name w:val="heading 7"/>
    <w:basedOn w:val="1"/>
    <w:next w:val="1"/>
    <w:link w:val="41"/>
    <w:autoRedefine/>
    <w:qFormat/>
    <w:uiPriority w:val="0"/>
    <w:pPr>
      <w:numPr>
        <w:ilvl w:val="6"/>
        <w:numId w:val="1"/>
      </w:numPr>
      <w:spacing w:before="240" w:after="60"/>
      <w:outlineLvl w:val="6"/>
    </w:pPr>
    <w:rPr>
      <w:sz w:val="24"/>
      <w:szCs w:val="24"/>
    </w:rPr>
  </w:style>
  <w:style w:type="paragraph" w:styleId="10">
    <w:name w:val="heading 8"/>
    <w:basedOn w:val="1"/>
    <w:next w:val="1"/>
    <w:link w:val="42"/>
    <w:autoRedefine/>
    <w:qFormat/>
    <w:uiPriority w:val="0"/>
    <w:pPr>
      <w:numPr>
        <w:ilvl w:val="7"/>
        <w:numId w:val="1"/>
      </w:numPr>
      <w:spacing w:before="240" w:after="60"/>
      <w:outlineLvl w:val="7"/>
    </w:pPr>
    <w:rPr>
      <w:i/>
      <w:iCs/>
      <w:sz w:val="24"/>
      <w:szCs w:val="24"/>
    </w:rPr>
  </w:style>
  <w:style w:type="paragraph" w:styleId="11">
    <w:name w:val="heading 9"/>
    <w:basedOn w:val="1"/>
    <w:next w:val="1"/>
    <w:link w:val="43"/>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289;&#24067;&#25289;~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tmp2</Template>
  <Company>ths</Company>
  <Pages>16</Pages>
  <Words>394</Words>
  <Characters>2250</Characters>
  <Lines>18</Lines>
  <Paragraphs>5</Paragraphs>
  <TotalTime>0</TotalTime>
  <ScaleCrop>false</ScaleCrop>
  <LinksUpToDate>false</LinksUpToDate>
  <CharactersWithSpaces>2639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2024-01-05T05:25:00Z</dcterms:created>
  <dc:creator>拉布拉多拉不多丶</dc:creator>
  <cp:lastModifiedBy>〆Forever、沫沫</cp:lastModifiedBy>
  <cp:lastPrinted>1900-12-31T16:00:00Z</cp:lastPrinted>
  <dcterms:modified xsi:type="dcterms:W3CDTF">2024-01-05T06:33:21Z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955BEB40A4AC4F638343D96E2E7AD5F8_12</vt:lpwstr>
  </property>
</Properties>
</file>