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住区热环境设计报告书</w:t>
      </w:r>
    </w:p>
    <w:p>
      <w:pPr>
        <w:pStyle w:val="19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hint="eastAsia" w:ascii="宋体" w:hAnsi="宋体"/>
                <w:szCs w:val="21"/>
              </w:rPr>
              <w:t>山田叠舍-腾冲小甸半山民宿建筑设计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保山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r>
              <w:t>昆明理工大学腾冲小甸半山民宿建筑设计团队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ascii="宋体" w:hAnsi="宋体"/>
                <w:szCs w:val="21"/>
              </w:rPr>
              <w:t>2024年3月11日</w:t>
            </w:r>
            <w:bookmarkEnd w:id="5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住区热环境TERA2023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20220401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T13639910647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bookmarkStart w:id="10" w:name="目录"/>
      <w:bookmarkEnd w:id="10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"_Toc16494766" </w:instrText>
      </w:r>
      <w:r>
        <w:fldChar w:fldCharType="separate"/>
      </w:r>
      <w:r>
        <w:rPr>
          <w:rStyle w:val="25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住区概况</w:t>
      </w:r>
      <w:r>
        <w:tab/>
      </w:r>
      <w:r>
        <w:fldChar w:fldCharType="begin"/>
      </w:r>
      <w:r>
        <w:instrText xml:space="preserve"> PAGEREF _Toc16494766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"_Toc16494767" </w:instrText>
      </w:r>
      <w:r>
        <w:fldChar w:fldCharType="separate"/>
      </w:r>
      <w:r>
        <w:rPr>
          <w:rStyle w:val="25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设计依据</w:t>
      </w:r>
      <w:r>
        <w:tab/>
      </w:r>
      <w:r>
        <w:fldChar w:fldCharType="begin"/>
      </w:r>
      <w:r>
        <w:instrText xml:space="preserve"> PAGEREF _Toc16494767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"_Toc16494768" </w:instrText>
      </w:r>
      <w:r>
        <w:fldChar w:fldCharType="separate"/>
      </w:r>
      <w:r>
        <w:rPr>
          <w:rStyle w:val="25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计算规定</w:t>
      </w:r>
      <w:r>
        <w:tab/>
      </w:r>
      <w:r>
        <w:fldChar w:fldCharType="begin"/>
      </w:r>
      <w:r>
        <w:instrText xml:space="preserve"> PAGEREF _Toc16494768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"_Toc16494769" </w:instrText>
      </w:r>
      <w:r>
        <w:fldChar w:fldCharType="separate"/>
      </w:r>
      <w:r>
        <w:rPr>
          <w:rStyle w:val="25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强制条文</w:t>
      </w:r>
      <w:r>
        <w:tab/>
      </w:r>
      <w:r>
        <w:fldChar w:fldCharType="begin"/>
      </w:r>
      <w:r>
        <w:instrText xml:space="preserve"> PAGEREF _Toc16494769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"_Toc16494770" </w:instrText>
      </w:r>
      <w:r>
        <w:fldChar w:fldCharType="separate"/>
      </w:r>
      <w:r>
        <w:rPr>
          <w:rStyle w:val="25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规定性设计</w:t>
      </w:r>
      <w:r>
        <w:tab/>
      </w:r>
      <w:r>
        <w:fldChar w:fldCharType="begin"/>
      </w:r>
      <w:r>
        <w:instrText xml:space="preserve"> PAGEREF _Toc16494770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"_Toc16494771" </w:instrText>
      </w:r>
      <w:r>
        <w:fldChar w:fldCharType="separate"/>
      </w:r>
      <w:r>
        <w:rPr>
          <w:rStyle w:val="25"/>
          <w:lang w:val="en-GB"/>
        </w:rPr>
        <w:t>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评价性设计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"_Toc16494772" </w:instrText>
      </w:r>
      <w:r>
        <w:fldChar w:fldCharType="separate"/>
      </w:r>
      <w:r>
        <w:rPr>
          <w:rStyle w:val="25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计算参数</w:t>
      </w:r>
      <w:r>
        <w:tab/>
      </w:r>
      <w:r>
        <w:fldChar w:fldCharType="begin"/>
      </w:r>
      <w:r>
        <w:instrText xml:space="preserve"> PAGEREF _Toc16494772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"_Toc16494773" </w:instrText>
      </w:r>
      <w:r>
        <w:fldChar w:fldCharType="separate"/>
      </w:r>
      <w:r>
        <w:rPr>
          <w:rStyle w:val="25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典型气象日气象参数</w:t>
      </w:r>
      <w:r>
        <w:tab/>
      </w:r>
      <w:r>
        <w:fldChar w:fldCharType="begin"/>
      </w:r>
      <w:r>
        <w:instrText xml:space="preserve"> PAGEREF _Toc16494773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"_Toc16494774" </w:instrText>
      </w:r>
      <w:r>
        <w:fldChar w:fldCharType="separate"/>
      </w:r>
      <w:r>
        <w:rPr>
          <w:rStyle w:val="25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渗透面夏季逐时蒸发量</w:t>
      </w:r>
      <w:r>
        <w:tab/>
      </w:r>
      <w:r>
        <w:fldChar w:fldCharType="begin"/>
      </w:r>
      <w:r>
        <w:instrText xml:space="preserve"> PAGEREF _Toc16494774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"_Toc16494775" </w:instrText>
      </w:r>
      <w:r>
        <w:fldChar w:fldCharType="separate"/>
      </w:r>
      <w:r>
        <w:rPr>
          <w:rStyle w:val="25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住区指标概览</w:t>
      </w:r>
      <w:r>
        <w:tab/>
      </w:r>
      <w:r>
        <w:fldChar w:fldCharType="begin"/>
      </w:r>
      <w:r>
        <w:instrText xml:space="preserve"> PAGEREF _Toc16494775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"_Toc16494776" </w:instrText>
      </w:r>
      <w:r>
        <w:fldChar w:fldCharType="separate"/>
      </w:r>
      <w:r>
        <w:rPr>
          <w:rStyle w:val="25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规定性设计指标</w:t>
      </w:r>
      <w:r>
        <w:tab/>
      </w:r>
      <w:r>
        <w:fldChar w:fldCharType="begin"/>
      </w:r>
      <w:r>
        <w:instrText xml:space="preserve"> PAGEREF _Toc16494776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"_Toc16494777" </w:instrText>
      </w:r>
      <w:r>
        <w:fldChar w:fldCharType="separate"/>
      </w:r>
      <w:r>
        <w:rPr>
          <w:rStyle w:val="25"/>
          <w:lang w:val="en-GB"/>
        </w:rPr>
        <w:t>6.1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平均迎风面积比</w:t>
      </w:r>
      <w:r>
        <w:tab/>
      </w:r>
      <w:r>
        <w:fldChar w:fldCharType="begin"/>
      </w:r>
      <w:r>
        <w:instrText xml:space="preserve"> PAGEREF _Toc16494777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"_Toc16494778" </w:instrText>
      </w:r>
      <w:r>
        <w:fldChar w:fldCharType="separate"/>
      </w:r>
      <w:r>
        <w:rPr>
          <w:rStyle w:val="25"/>
          <w:lang w:val="en-GB"/>
        </w:rPr>
        <w:t>6.2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活动场地遮阳覆盖率</w:t>
      </w:r>
      <w:r>
        <w:tab/>
      </w:r>
      <w:r>
        <w:fldChar w:fldCharType="begin"/>
      </w:r>
      <w:r>
        <w:instrText xml:space="preserve"> PAGEREF _Toc16494778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"_Toc16494779" </w:instrText>
      </w:r>
      <w:r>
        <w:fldChar w:fldCharType="separate"/>
      </w:r>
      <w:r>
        <w:rPr>
          <w:rStyle w:val="25"/>
          <w:lang w:val="en-GB"/>
        </w:rPr>
        <w:t>6.3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底层通风架空率</w:t>
      </w:r>
      <w:r>
        <w:tab/>
      </w:r>
      <w:r>
        <w:fldChar w:fldCharType="begin"/>
      </w:r>
      <w:r>
        <w:instrText xml:space="preserve"> PAGEREF _Toc16494779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"_Toc16494780" </w:instrText>
      </w:r>
      <w:r>
        <w:fldChar w:fldCharType="separate"/>
      </w:r>
      <w:r>
        <w:rPr>
          <w:rStyle w:val="25"/>
          <w:lang w:val="en-GB"/>
        </w:rPr>
        <w:t>6.4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绿化遮阳体叶面积指数</w:t>
      </w:r>
      <w:r>
        <w:tab/>
      </w:r>
      <w:r>
        <w:fldChar w:fldCharType="begin"/>
      </w:r>
      <w:r>
        <w:instrText xml:space="preserve"> PAGEREF _Toc16494780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"_Toc16494781" </w:instrText>
      </w:r>
      <w:r>
        <w:fldChar w:fldCharType="separate"/>
      </w:r>
      <w:r>
        <w:rPr>
          <w:rStyle w:val="25"/>
          <w:lang w:val="en-GB"/>
        </w:rPr>
        <w:t>6.5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渗透蒸发指标</w:t>
      </w:r>
      <w:r>
        <w:tab/>
      </w:r>
      <w:r>
        <w:fldChar w:fldCharType="begin"/>
      </w:r>
      <w:r>
        <w:instrText xml:space="preserve"> PAGEREF _Toc16494781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"_Toc16494782" </w:instrText>
      </w:r>
      <w:r>
        <w:fldChar w:fldCharType="separate"/>
      </w:r>
      <w:r>
        <w:rPr>
          <w:rStyle w:val="25"/>
          <w:lang w:val="en-GB"/>
        </w:rPr>
        <w:t>6.6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屋面绿化率</w:t>
      </w:r>
      <w:r>
        <w:tab/>
      </w:r>
      <w:r>
        <w:fldChar w:fldCharType="begin"/>
      </w:r>
      <w:r>
        <w:instrText xml:space="preserve"> PAGEREF _Toc16494782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"_Toc16494783" </w:instrText>
      </w:r>
      <w:r>
        <w:fldChar w:fldCharType="separate"/>
      </w:r>
      <w:r>
        <w:rPr>
          <w:rStyle w:val="25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评价性设计</w:t>
      </w:r>
      <w:r>
        <w:tab/>
      </w:r>
      <w:r>
        <w:rPr>
          <w:rFonts w:hint="eastAsia"/>
          <w:lang w:val="en-US" w:eastAsia="zh-CN"/>
        </w:rPr>
        <w:t>4</w:t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"_Toc16494784" </w:instrText>
      </w:r>
      <w:r>
        <w:fldChar w:fldCharType="separate"/>
      </w:r>
      <w:r>
        <w:rPr>
          <w:rStyle w:val="25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平均热岛强度</w:t>
      </w:r>
      <w:r>
        <w:tab/>
      </w:r>
      <w:r>
        <w:rPr>
          <w:rFonts w:hint="eastAsia"/>
          <w:lang w:val="en-US" w:eastAsia="zh-CN"/>
        </w:rPr>
        <w:t>5</w:t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"_Toc16494785" </w:instrText>
      </w:r>
      <w:r>
        <w:fldChar w:fldCharType="separate"/>
      </w:r>
      <w:r>
        <w:rPr>
          <w:rStyle w:val="25"/>
          <w:lang w:val="en-GB"/>
        </w:rPr>
        <w:t>7.2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湿球黑球温度</w:t>
      </w:r>
      <w:r>
        <w:tab/>
      </w:r>
      <w:r>
        <w:rPr>
          <w:rFonts w:hint="eastAsia"/>
          <w:lang w:val="en-US" w:eastAsia="zh-CN"/>
        </w:rPr>
        <w:t>6</w:t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"_Toc16494786" </w:instrText>
      </w:r>
      <w:r>
        <w:fldChar w:fldCharType="separate"/>
      </w:r>
      <w:r>
        <w:rPr>
          <w:rStyle w:val="25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结论</w:t>
      </w:r>
      <w:r>
        <w:tab/>
      </w:r>
      <w:r>
        <w:rPr>
          <w:rFonts w:hint="eastAsia"/>
          <w:lang w:val="en-US" w:eastAsia="zh-CN"/>
        </w:rPr>
        <w:t>7</w:t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1" w:name="_Toc16494766"/>
      <w:r>
        <w:rPr>
          <w:rFonts w:hint="eastAsia"/>
        </w:rPr>
        <w:t>住区概况</w:t>
      </w:r>
      <w:bookmarkEnd w:id="11"/>
    </w:p>
    <w:tbl>
      <w:tblPr>
        <w:tblStyle w:val="20"/>
        <w:tblpPr w:leftFromText="180" w:rightFromText="180" w:vertAnchor="text" w:horzAnchor="margin" w:tblpXSpec="center" w:tblpY="191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114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767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1"/>
            <w:r>
              <w:rPr>
                <w:rFonts w:hint="eastAsia" w:ascii="宋体" w:hAnsi="宋体"/>
              </w:rPr>
              <w:t>山田叠舍-腾冲小甸半山民宿建筑设计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保山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t>25.13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t>99.17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气候区"/>
            <w:r>
              <w:t>VB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主导风向"/>
            <w:r>
              <w:t>西南</w:t>
            </w:r>
            <w:bookmarkEnd w:id="17"/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18" w:name="总图鸟瞰图"/>
      <w:bookmarkEnd w:id="18"/>
      <w:r>
        <w:drawing>
          <wp:inline distT="0" distB="0" distL="0" distR="0">
            <wp:extent cx="5667375" cy="38957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bookmarkStart w:id="19" w:name="OLE_LINK4"/>
      <w:bookmarkStart w:id="20" w:name="OLE_LINK3"/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  <w:bookmarkEnd w:id="19"/>
      <w:bookmarkEnd w:id="20"/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21" w:name="总图平面图"/>
      <w:bookmarkEnd w:id="21"/>
      <w:r>
        <w:drawing>
          <wp:inline distT="0" distB="0" distL="0" distR="0">
            <wp:extent cx="5667375" cy="38957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>
      <w:pPr>
        <w:pStyle w:val="2"/>
      </w:pPr>
      <w:bookmarkStart w:id="22" w:name="_Toc16494767"/>
      <w:bookmarkStart w:id="23" w:name="TitleFormat"/>
      <w:r>
        <w:rPr>
          <w:rFonts w:hint="eastAsia"/>
        </w:rPr>
        <w:t>设计依据</w:t>
      </w:r>
      <w:bookmarkEnd w:id="22"/>
    </w:p>
    <w:p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r>
        <w:t>1. 《绿色建筑评价标准》GB/T 50378-2019</w:t>
      </w:r>
      <w:r>
        <w:br w:type="textWrapping"/>
      </w:r>
      <w:r>
        <w:t>2. 《城市居住区热环境设计标准》JGJ 286-2013</w:t>
      </w:r>
      <w:bookmarkEnd w:id="23"/>
      <w:bookmarkEnd w:id="24"/>
    </w:p>
    <w:p>
      <w:pPr>
        <w:pStyle w:val="2"/>
      </w:pPr>
      <w:bookmarkStart w:id="25" w:name="_Toc16494768"/>
      <w:r>
        <w:rPr>
          <w:rFonts w:hint="eastAsia"/>
        </w:rPr>
        <w:t>计算规定</w:t>
      </w:r>
      <w:bookmarkEnd w:id="25"/>
    </w:p>
    <w:p>
      <w:pPr>
        <w:pStyle w:val="3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hint="eastAsia" w:ascii="Arial" w:hAnsi="Arial" w:cs="Arial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>
      <w:pPr>
        <w:pStyle w:val="4"/>
      </w:pPr>
      <w:bookmarkStart w:id="26" w:name="_Toc16494769"/>
      <w:r>
        <w:rPr>
          <w:rFonts w:hint="eastAsia"/>
        </w:rPr>
        <w:t>强制条文</w:t>
      </w:r>
      <w:bookmarkEnd w:id="26"/>
    </w:p>
    <w:p>
      <w:pPr>
        <w:pStyle w:val="3"/>
        <w:spacing w:line="360" w:lineRule="auto"/>
        <w:ind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rFonts w:hint="eastAsia"/>
          <w:bCs/>
          <w:kern w:val="2"/>
          <w:sz w:val="24"/>
          <w:szCs w:val="24"/>
          <w:lang w:val="en-US"/>
        </w:rPr>
        <w:t>.1.1</w:t>
      </w:r>
      <w:r>
        <w:rPr>
          <w:bCs/>
          <w:kern w:val="2"/>
          <w:sz w:val="24"/>
          <w:szCs w:val="24"/>
          <w:lang w:val="en-US"/>
        </w:rPr>
        <w:t xml:space="preserve"> 居住区的夏季平均迎风面积比应符合表4．1．1的规定。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表4．1．1 居住区的夏季平均迎风面积比（ζ</w:t>
      </w:r>
      <w:r>
        <w:rPr>
          <w:rStyle w:val="23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23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III、V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0.70</w:t>
            </w:r>
          </w:p>
        </w:tc>
      </w:tr>
    </w:tbl>
    <w:p>
      <w:pPr>
        <w:pStyle w:val="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>
      <w:pPr>
        <w:pStyle w:val="18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>
        <w:rPr>
          <w:rFonts w:hint="eastAsia" w:ascii="Times New Roman" w:hAnsi="Times New Roman" w:cs="Times New Roman"/>
          <w:kern w:val="2"/>
          <w:sz w:val="21"/>
        </w:rPr>
        <w:t>（2）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hint="eastAsia" w:ascii="Times New Roman" w:hAnsi="Times New Roman" w:cs="Times New Roman"/>
          <w:bCs/>
          <w:kern w:val="2"/>
        </w:rPr>
        <w:t>.2.1</w:t>
      </w:r>
      <w:r>
        <w:rPr>
          <w:rFonts w:ascii="Times New Roman" w:hAnsi="Times New Roman" w:cs="Times New Roman"/>
          <w:bCs/>
          <w:kern w:val="2"/>
        </w:rPr>
        <w:t>居住区夏季户外活动场地应有遮阳，遮阳覆盖率不应小于表4．2．1的规定。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表4．2．1 居住区活动场地的遮阳覆盖率限值(％)</w:t>
      </w:r>
    </w:p>
    <w:tbl>
      <w:tblPr>
        <w:tblStyle w:val="21"/>
        <w:tblW w:w="0" w:type="auto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5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restart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建筑气候区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III、IV、V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50</w:t>
            </w:r>
          </w:p>
        </w:tc>
      </w:tr>
    </w:tbl>
    <w:p>
      <w:pPr>
        <w:pStyle w:val="4"/>
      </w:pPr>
      <w:bookmarkStart w:id="27" w:name="_Toc16494770"/>
      <w:r>
        <w:rPr>
          <w:rFonts w:hint="eastAsia"/>
        </w:rPr>
        <w:t>规定性设计</w:t>
      </w:r>
      <w:bookmarkEnd w:id="27"/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（1）4.1.4：在Ⅲ、Ⅳ、Ⅴ建筑气候区，当夏季主导风向上的建筑物迎风面宽度超过80m时，该建筑底层的通风架空率不应小于10％。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（2）4.2.3：</w:t>
      </w:r>
      <w:r>
        <w:rPr>
          <w:rFonts w:ascii="Times New Roman" w:hAnsi="Times New Roman" w:cs="Times New Roman"/>
          <w:bCs/>
          <w:kern w:val="2"/>
        </w:rPr>
        <w:t>绿化遮阳体的叶面积指数不应小于3</w:t>
      </w:r>
      <w:r>
        <w:rPr>
          <w:rFonts w:hint="eastAsia" w:ascii="Times New Roman" w:hAnsi="Times New Roman" w:cs="Times New Roman"/>
          <w:bCs/>
          <w:kern w:val="2"/>
        </w:rPr>
        <w:t>.0</w:t>
      </w:r>
      <w:r>
        <w:rPr>
          <w:rFonts w:ascii="Times New Roman" w:hAnsi="Times New Roman" w:cs="Times New Roman"/>
          <w:bCs/>
          <w:kern w:val="2"/>
        </w:rPr>
        <w:t>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（3）4.3.1：居住区户外活动场地和人行道路地面应有雨水渗透与蒸发能力，渗透与蒸发指标不应低于表4.3.1的规定。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3</w:t>
      </w:r>
      <w:r>
        <w:rPr>
          <w:rStyle w:val="23"/>
          <w:rFonts w:ascii="Arial" w:hAnsi="Arial" w:cs="Arial"/>
          <w:color w:val="333333"/>
          <w:sz w:val="21"/>
          <w:szCs w:val="21"/>
        </w:rPr>
        <w:t>．1 居住区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地面渗透蒸发指标</w:t>
      </w:r>
    </w:p>
    <w:tbl>
      <w:tblPr>
        <w:tblStyle w:val="20"/>
        <w:tblW w:w="974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I、II、VI、VII气候区</w:t>
            </w:r>
          </w:p>
        </w:tc>
        <w:tc>
          <w:tcPr>
            <w:tcW w:w="4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III、IV、V气候区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（4）居住区内建筑屋面的绿化面积不应低于可绿化屋面面积的50％。</w:t>
      </w:r>
    </w:p>
    <w:p>
      <w:pPr>
        <w:pStyle w:val="3"/>
        <w:ind w:firstLine="199" w:firstLineChars="95"/>
        <w:rPr>
          <w:lang w:val="en-US"/>
        </w:rPr>
      </w:pPr>
      <w:r>
        <w:rPr>
          <w:rFonts w:hint="eastAsia"/>
          <w:lang w:val="en-US"/>
        </w:rPr>
        <w:t>当以上4条有任意一条不能满足时候，需要进行评价性设计。</w:t>
      </w:r>
    </w:p>
    <w:p>
      <w:pPr>
        <w:pStyle w:val="2"/>
      </w:pPr>
      <w:bookmarkStart w:id="28" w:name="_Toc16494772"/>
      <w:r>
        <w:rPr>
          <w:rFonts w:hint="eastAsia"/>
        </w:rPr>
        <w:t>计算参数</w:t>
      </w:r>
      <w:bookmarkEnd w:id="28"/>
    </w:p>
    <w:p>
      <w:pPr>
        <w:pStyle w:val="4"/>
      </w:pPr>
      <w:bookmarkStart w:id="29" w:name="_Toc16494773"/>
      <w:r>
        <w:rPr>
          <w:rFonts w:hint="eastAsia"/>
        </w:rPr>
        <w:t>典型气象日气象参数</w:t>
      </w:r>
      <w:bookmarkEnd w:id="29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41"/>
        <w:gridCol w:w="1341"/>
        <w:gridCol w:w="1341"/>
        <w:gridCol w:w="1341"/>
        <w:gridCol w:w="1341"/>
        <w:gridCol w:w="134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</w:t>
            </w:r>
            <w:r>
              <w:br w:type="textWrapping"/>
            </w:r>
            <w:r>
              <w:t>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相对湿度(%)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水平总辐射照度</w:t>
            </w:r>
            <w:r>
              <w:br w:type="textWrapping"/>
            </w:r>
            <w:r>
              <w:t>(W/㎡)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水平散射辐射照度</w:t>
            </w:r>
            <w:r>
              <w:br w:type="textWrapping"/>
            </w:r>
            <w:r>
              <w:t>(W/㎡)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风速(m/s)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主导风向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西南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227.78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227.78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319.44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397.22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344.44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447.22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375.00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466.67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375.00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397.22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338.89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319.44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222.22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52.78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52.78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日平均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151.16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134.37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2.4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0" w:name="气象参数"/>
      <w:bookmarkEnd w:id="30"/>
    </w:p>
    <w:p>
      <w:pPr>
        <w:pStyle w:val="4"/>
      </w:pPr>
      <w:bookmarkStart w:id="31" w:name="_Toc16494774"/>
      <w:r>
        <w:rPr>
          <w:rFonts w:hint="eastAsia"/>
        </w:rPr>
        <w:t>渗透面夏季逐时蒸发量</w:t>
      </w:r>
      <w:bookmarkEnd w:id="31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水面(kg/(㎡.h))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绿地(kg/(㎡.h))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渗透型硬地</w:t>
            </w:r>
            <w:r>
              <w:br w:type="textWrapping"/>
            </w:r>
            <w:r>
              <w:t>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绿化屋面</w:t>
            </w:r>
            <w:r>
              <w:br w:type="textWrapping"/>
            </w:r>
            <w:r>
              <w:t>(kg/(㎡.h))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日累计(kg/(㎡.d))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4.80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2" w:name="蒸发量参数"/>
      <w:bookmarkEnd w:id="32"/>
    </w:p>
    <w:p>
      <w:pPr>
        <w:pStyle w:val="2"/>
      </w:pPr>
      <w:bookmarkStart w:id="33" w:name="_Toc16494775"/>
      <w:r>
        <w:rPr>
          <w:rFonts w:hint="eastAsia"/>
        </w:rPr>
        <w:t>住区指标概览</w:t>
      </w:r>
      <w:bookmarkEnd w:id="33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6"/>
        <w:gridCol w:w="46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地块面积(㎡)</w:t>
            </w:r>
          </w:p>
        </w:tc>
        <w:tc>
          <w:tcPr>
            <w:vAlign w:val="center"/>
          </w:tcPr>
          <w:p>
            <w:r>
              <w:t>9581.80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建筑密度</w:t>
            </w:r>
          </w:p>
        </w:tc>
        <w:tc>
          <w:tcPr>
            <w:vAlign w:val="center"/>
          </w:tcPr>
          <w:p>
            <w:r>
              <w:t>0.06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室外面积(㎡)</w:t>
            </w:r>
          </w:p>
        </w:tc>
        <w:tc>
          <w:tcPr>
            <w:vAlign w:val="center"/>
          </w:tcPr>
          <w:p>
            <w:r>
              <w:t>8979.56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广场面积(㎡)</w:t>
            </w:r>
          </w:p>
        </w:tc>
        <w:tc>
          <w:tcPr>
            <w:vAlign w:val="center"/>
          </w:tcPr>
          <w:p>
            <w:r>
              <w:t>483.47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道路面积(㎡)</w:t>
            </w:r>
          </w:p>
        </w:tc>
        <w:tc>
          <w:tcPr>
            <w:vAlign w:val="center"/>
          </w:tcPr>
          <w:p>
            <w:r>
              <w:t>1785.78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绿地面积(㎡)</w:t>
            </w:r>
          </w:p>
        </w:tc>
        <w:tc>
          <w:tcPr>
            <w:vAlign w:val="center"/>
          </w:tcPr>
          <w:p>
            <w:r>
              <w:t>937.55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水面面积(㎡)</w:t>
            </w:r>
          </w:p>
        </w:tc>
        <w:tc>
          <w:tcPr>
            <w:vAlign w:val="center"/>
          </w:tcPr>
          <w:p>
            <w:r>
              <w:t>338.89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绿化屋面面积(㎡)</w:t>
            </w:r>
          </w:p>
        </w:tc>
        <w:tc>
          <w:tcPr>
            <w:vAlign w:val="center"/>
          </w:tcPr>
          <w:p>
            <w:r>
              <w:t>330.42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乔木爬藤面积(㎡)</w:t>
            </w:r>
          </w:p>
        </w:tc>
        <w:tc>
          <w:tcPr>
            <w:vAlign w:val="center"/>
          </w:tcPr>
          <w:p>
            <w:r>
              <w:t>2181.37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亭廊面积(㎡)</w:t>
            </w:r>
          </w:p>
        </w:tc>
        <w:tc>
          <w:tcPr>
            <w:vAlign w:val="center"/>
          </w:tcPr>
          <w:p>
            <w:r>
              <w:t>539.48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渗透型硬地面积(㎡)</w:t>
            </w:r>
          </w:p>
        </w:tc>
        <w:tc>
          <w:tcPr>
            <w:vAlign w:val="center"/>
          </w:tcPr>
          <w:p>
            <w:r>
              <w:t>2164.75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地表平均太阳辐射吸收系数</w:t>
            </w:r>
          </w:p>
        </w:tc>
        <w:tc>
          <w:tcPr>
            <w:vAlign w:val="center"/>
          </w:tcPr>
          <w:p>
            <w:r>
              <w:t>0.78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地面粗糙系数</w:t>
            </w:r>
          </w:p>
        </w:tc>
        <w:tc>
          <w:tcPr>
            <w:vAlign w:val="center"/>
          </w:tcPr>
          <w:p>
            <w:r>
              <w:t>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平均迎风面积比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7891</w:t>
            </w:r>
            <w:bookmarkStart w:id="56" w:name="_GoBack"/>
            <w:bookmarkEnd w:id="56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CTTC居住区热时间常数(h)</w:t>
            </w:r>
          </w:p>
        </w:tc>
        <w:tc>
          <w:tcPr>
            <w:vAlign w:val="center"/>
          </w:tcPr>
          <w:p>
            <w:r>
              <w:t>11.85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绿化遮阳覆盖率(%)</w:t>
            </w:r>
          </w:p>
        </w:tc>
        <w:tc>
          <w:tcPr>
            <w:vAlign w:val="center"/>
          </w:tcPr>
          <w:p>
            <w:r>
              <w:t>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构筑物遮阳覆盖率(%)</w:t>
            </w:r>
          </w:p>
        </w:tc>
        <w:tc>
          <w:tcPr>
            <w:vAlign w:val="center"/>
          </w:tcPr>
          <w:p>
            <w: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平均天空角系数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通风架空率(%)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4" w:name="住区指标概览"/>
      <w:bookmarkEnd w:id="34"/>
    </w:p>
    <w:p>
      <w:pPr>
        <w:pStyle w:val="2"/>
      </w:pPr>
      <w:r>
        <w:rPr>
          <w:rFonts w:hint="eastAsia"/>
        </w:rPr>
        <w:t>强制性</w:t>
      </w:r>
      <w:r>
        <w:t>设计指标</w:t>
      </w:r>
    </w:p>
    <w:p>
      <w:pPr>
        <w:pStyle w:val="4"/>
      </w:pPr>
      <w:bookmarkStart w:id="35" w:name="_Toc16494777"/>
      <w:r>
        <w:rPr>
          <w:rFonts w:hint="eastAsia"/>
        </w:rPr>
        <w:t>平均迎风面积比</w:t>
      </w:r>
      <w:bookmarkEnd w:id="35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迎风面积(㎡)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最大可能</w:t>
            </w:r>
            <w:r>
              <w:br w:type="textWrapping"/>
            </w:r>
            <w:r>
              <w:t>迎风面积(㎡)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最大可能</w:t>
            </w:r>
            <w:r>
              <w:br w:type="textWrapping"/>
            </w:r>
            <w:r>
              <w:t>迎风方向(°)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迎风面积比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半山民宿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t>7</w:t>
            </w:r>
            <w:r>
              <w:rPr>
                <w:rFonts w:hint="eastAsia"/>
                <w:lang w:val="en-US" w:eastAsia="zh-CN"/>
              </w:rPr>
              <w:t>60.66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t>9</w:t>
            </w:r>
            <w:r>
              <w:rPr>
                <w:rFonts w:hint="eastAsia"/>
                <w:lang w:val="en-US" w:eastAsia="zh-CN"/>
              </w:rPr>
              <w:t>64.01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87.00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7891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平均迎风面积比</w:t>
            </w:r>
          </w:p>
        </w:tc>
        <w:tc>
          <w:tcPr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0.7891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《城市居住区热环境设计标准》4.1.1条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平均迎风面积比≤0.80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6" w:name="平均迎风面积比"/>
      <w:bookmarkEnd w:id="36"/>
    </w:p>
    <w:p>
      <w:pPr>
        <w:pStyle w:val="4"/>
      </w:pPr>
      <w:bookmarkStart w:id="37" w:name="_Toc16494778"/>
      <w:r>
        <w:rPr>
          <w:rFonts w:hint="eastAsia"/>
        </w:rPr>
        <w:t>活动场地遮阳覆盖率</w:t>
      </w:r>
      <w:bookmarkEnd w:id="37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场地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场地面积(㎡)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遮阳覆盖率(%)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覆盖率限值(%)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广场</w:t>
            </w:r>
          </w:p>
        </w:tc>
        <w:tc>
          <w:tcPr>
            <w:vAlign w:val="center"/>
          </w:tcPr>
          <w:p>
            <w:r>
              <w:t>243.4</w:t>
            </w:r>
          </w:p>
        </w:tc>
        <w:tc>
          <w:tcPr>
            <w:vAlign w:val="center"/>
          </w:tcPr>
          <w:p>
            <w:r>
              <w:t>483.5</w:t>
            </w:r>
          </w:p>
        </w:tc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游憩场</w:t>
            </w:r>
          </w:p>
        </w:tc>
        <w:tc>
          <w:tcPr>
            <w:vAlign w:val="center"/>
          </w:tcPr>
          <w:p>
            <w:r>
              <w:t>75.8</w:t>
            </w:r>
          </w:p>
        </w:tc>
        <w:tc>
          <w:tcPr>
            <w:vAlign w:val="center"/>
          </w:tcPr>
          <w:p>
            <w:r>
              <w:t>236.3</w:t>
            </w:r>
          </w:p>
        </w:tc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>
            <w: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vAlign w:val="center"/>
          </w:tcPr>
          <w:p>
            <w:r>
              <w:t>568.4</w:t>
            </w:r>
          </w:p>
        </w:tc>
        <w:tc>
          <w:tcPr>
            <w:vAlign w:val="center"/>
          </w:tcPr>
          <w:p>
            <w:r>
              <w:t>1113.5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停车场</w:t>
            </w:r>
          </w:p>
        </w:tc>
        <w:tc>
          <w:tcPr>
            <w:vAlign w:val="center"/>
          </w:tcPr>
          <w:p>
            <w:r>
              <w:t>102.8</w:t>
            </w:r>
          </w:p>
        </w:tc>
        <w:tc>
          <w:tcPr>
            <w:vAlign w:val="center"/>
          </w:tcPr>
          <w:p>
            <w:r>
              <w:t>331.5</w:t>
            </w:r>
          </w:p>
        </w:tc>
        <w:tc>
          <w:tcPr>
            <w:vAlign w:val="center"/>
          </w:tcPr>
          <w:p>
            <w:r>
              <w:t>31</w:t>
            </w:r>
          </w:p>
        </w:tc>
        <w:tc>
          <w:tcPr>
            <w:vAlign w:val="center"/>
          </w:tcPr>
          <w:p>
            <w: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《城市居住区热环境设计标准》4.2.1条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各类活动场地遮阳覆盖率不得低于标准要求限值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8" w:name="活动场地遮阳覆盖率"/>
      <w:bookmarkEnd w:id="38"/>
    </w:p>
    <w:p>
      <w:pPr>
        <w:pStyle w:val="2"/>
      </w:pPr>
      <w:bookmarkStart w:id="39" w:name="_Toc16494776"/>
      <w:r>
        <w:rPr>
          <w:rFonts w:hint="eastAsia"/>
        </w:rPr>
        <w:t>规定性设计指标</w:t>
      </w:r>
      <w:bookmarkEnd w:id="39"/>
    </w:p>
    <w:p>
      <w:pPr>
        <w:pStyle w:val="4"/>
      </w:pPr>
      <w:bookmarkStart w:id="40" w:name="_Toc16494779"/>
      <w:r>
        <w:rPr>
          <w:rFonts w:hint="eastAsia"/>
        </w:rPr>
        <w:t>底层通风架空率</w:t>
      </w:r>
      <w:bookmarkEnd w:id="40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底层架空面积(㎡)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基底面积(㎡)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迎风面宽度(m)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底层通风架空率(%)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半山民宿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602.2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t>《城市居住区热环境设计标准》4.1.4条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III、IV、V气候区，夏季主导风向迎风面积宽度超过80m时，底层通风架空率不应小于10%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1" w:name="底层通风架空率"/>
      <w:bookmarkEnd w:id="41"/>
    </w:p>
    <w:p>
      <w:pPr>
        <w:pStyle w:val="4"/>
      </w:pPr>
      <w:bookmarkStart w:id="42" w:name="_Toc16494780"/>
      <w:r>
        <w:rPr>
          <w:rFonts w:hint="eastAsia"/>
        </w:rPr>
        <w:t>绿化遮阳体叶面积指数</w:t>
      </w:r>
      <w:bookmarkEnd w:id="42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遮阳体类型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叶面积指数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r>
              <w:t>乔木</w:t>
            </w:r>
          </w:p>
        </w:tc>
        <w:tc>
          <w:tcPr>
            <w:vAlign w:val="center"/>
          </w:tcPr>
          <w:p>
            <w:r>
              <w:t>LAI &gt;= 3</w:t>
            </w:r>
          </w:p>
        </w:tc>
        <w:tc>
          <w:tcPr>
            <w:vAlign w:val="center"/>
          </w:tcPr>
          <w:p>
            <w:r>
              <w:t>821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LAI &lt; 3</w:t>
            </w:r>
          </w:p>
        </w:tc>
        <w:tc>
          <w:tcPr>
            <w:vAlign w:val="center"/>
          </w:tcPr>
          <w:p>
            <w:r>
              <w:t>269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r>
              <w:t>爬藤棚架</w:t>
            </w:r>
          </w:p>
        </w:tc>
        <w:tc>
          <w:tcPr>
            <w:vAlign w:val="center"/>
          </w:tcPr>
          <w:p>
            <w:r>
              <w:t>LAI &gt;= 3</w:t>
            </w:r>
          </w:p>
        </w:tc>
        <w:tc>
          <w:tcPr>
            <w:vAlign w:val="center"/>
          </w:tcPr>
          <w:p>
            <w:r>
              <w:t>991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LAI &lt; 3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2"/>
            <w:vAlign w:val="center"/>
          </w:tcPr>
          <w:p>
            <w:r>
              <w:t>《城市居住区热环境设计标准》4.2.3条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2"/>
            <w:vAlign w:val="center"/>
          </w:tcPr>
          <w:p>
            <w:r>
              <w:t>绿化遮阳体叶面积指数不应小于3.0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2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3" w:name="绿化遮阳体叶面积指数"/>
      <w:bookmarkEnd w:id="43"/>
    </w:p>
    <w:p>
      <w:pPr>
        <w:pStyle w:val="4"/>
      </w:pPr>
      <w:bookmarkStart w:id="44" w:name="_Toc16494781"/>
      <w:r>
        <w:rPr>
          <w:rFonts w:hint="eastAsia"/>
        </w:rPr>
        <w:t>渗透蒸发指标</w:t>
      </w:r>
      <w:bookmarkEnd w:id="44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地面透水系数k(mm/s)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蒸发量m</w:t>
            </w:r>
            <w:r>
              <w:br w:type="textWrapping"/>
            </w:r>
            <w:r>
              <w:t>(kg/(㎡·d))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广场</w:t>
            </w:r>
          </w:p>
        </w:tc>
        <w:tc>
          <w:tcPr>
            <w:vAlign w:val="center"/>
          </w:tcPr>
          <w:p>
            <w:r>
              <w:t>483</w:t>
            </w:r>
          </w:p>
        </w:tc>
        <w:tc>
          <w:tcPr>
            <w:vAlign w:val="center"/>
          </w:tcPr>
          <w:p>
            <w:r>
              <w:t>0.223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1.32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游憩场</w:t>
            </w:r>
          </w:p>
        </w:tc>
        <w:tc>
          <w:tcPr>
            <w:vAlign w:val="center"/>
          </w:tcPr>
          <w:p>
            <w:r>
              <w:t>236</w:t>
            </w:r>
          </w:p>
        </w:tc>
        <w:tc>
          <w:tcPr>
            <w:vAlign w:val="center"/>
          </w:tcPr>
          <w:p>
            <w:r>
              <w:t>0.109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1.32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vAlign w:val="center"/>
          </w:tcPr>
          <w:p>
            <w:r>
              <w:t>1113</w:t>
            </w:r>
          </w:p>
        </w:tc>
        <w:tc>
          <w:tcPr>
            <w:vAlign w:val="center"/>
          </w:tcPr>
          <w:p>
            <w:r>
              <w:t>0.514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1.32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停车场</w:t>
            </w:r>
          </w:p>
        </w:tc>
        <w:tc>
          <w:tcPr>
            <w:vAlign w:val="center"/>
          </w:tcPr>
          <w:p>
            <w:r>
              <w:t>331</w:t>
            </w:r>
          </w:p>
        </w:tc>
        <w:tc>
          <w:tcPr>
            <w:vAlign w:val="center"/>
          </w:tcPr>
          <w:p>
            <w:r>
              <w:t>0.153</w:t>
            </w:r>
          </w:p>
        </w:tc>
        <w:tc>
          <w:tcPr>
            <w:vAlign w:val="center"/>
          </w:tcPr>
          <w:p>
            <w:r>
              <w:t>14.24</w:t>
            </w:r>
          </w:p>
        </w:tc>
        <w:tc>
          <w:tcPr>
            <w:vAlign w:val="center"/>
          </w:tcPr>
          <w:p>
            <w:r>
              <w:t>1.32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2165</w:t>
            </w:r>
          </w:p>
        </w:tc>
        <w:tc>
          <w:tcPr>
            <w:vAlign w:val="center"/>
          </w:tcPr>
          <w:p>
            <w:r>
              <w:t>1.0</w:t>
            </w:r>
          </w:p>
        </w:tc>
        <w:tc>
          <w:tcPr>
            <w:vAlign w:val="center"/>
          </w:tcPr>
          <w:p>
            <w:r>
              <w:t>4.72</w:t>
            </w:r>
          </w:p>
        </w:tc>
        <w:tc>
          <w:tcPr>
            <w:vAlign w:val="center"/>
          </w:tcPr>
          <w:p>
            <w:r>
              <w:t>1.32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5" w:name="渗透蒸发指标"/>
      <w:bookmarkEnd w:id="45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渗透面积比率(%)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广场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游憩场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停车场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渗透与蒸发指标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地面透水系数k(mm/s)</w:t>
            </w:r>
          </w:p>
        </w:tc>
        <w:tc>
          <w:tcPr>
            <w:vAlign w:val="center"/>
          </w:tcPr>
          <w:p>
            <w:r>
              <w:t>4.72</w:t>
            </w:r>
          </w:p>
        </w:tc>
        <w:tc>
          <w:tcPr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蒸发量m(kg/(㎡·d))</w:t>
            </w:r>
          </w:p>
        </w:tc>
        <w:tc>
          <w:tcPr>
            <w:vAlign w:val="center"/>
          </w:tcPr>
          <w:p>
            <w:r>
              <w:t>1.32</w:t>
            </w:r>
          </w:p>
        </w:tc>
        <w:tc>
          <w:tcPr>
            <w:vAlign w:val="center"/>
          </w:tcPr>
          <w:p>
            <w:r>
              <w:t>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2"/>
            <w:vAlign w:val="center"/>
          </w:tcPr>
          <w:p>
            <w:r>
              <w:t>《城市居住区热环境设计标准》4.3.1条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2"/>
            <w:vAlign w:val="center"/>
          </w:tcPr>
          <w:p>
            <w:r>
              <w:t>渗透面积比率、透水系数及蒸发量不应低于标准规定限值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2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4"/>
      </w:pPr>
      <w:bookmarkStart w:id="46" w:name="_Toc16494782"/>
      <w:r>
        <w:rPr>
          <w:rFonts w:hint="eastAsia"/>
        </w:rPr>
        <w:t>屋面绿化率</w:t>
      </w:r>
      <w:bookmarkEnd w:id="46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屋面轮廓面积(㎡)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屋顶绿化面积(㎡)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可绿化屋面</w:t>
            </w:r>
            <w:r>
              <w:br w:type="textWrapping"/>
            </w: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屋面绿化率(%)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半山民宿</w:t>
            </w:r>
          </w:p>
        </w:tc>
        <w:tc>
          <w:tcPr>
            <w:vAlign w:val="center"/>
          </w:tcPr>
          <w:p>
            <w:r>
              <w:t>602.2</w:t>
            </w:r>
          </w:p>
        </w:tc>
        <w:tc>
          <w:tcPr>
            <w:vAlign w:val="center"/>
          </w:tcPr>
          <w:p>
            <w:r>
              <w:t>330.4</w:t>
            </w:r>
          </w:p>
        </w:tc>
        <w:tc>
          <w:tcPr>
            <w:vAlign w:val="center"/>
          </w:tcPr>
          <w:p>
            <w:r>
              <w:t>602.2</w:t>
            </w:r>
          </w:p>
        </w:tc>
        <w:tc>
          <w:tcPr>
            <w:vAlign w:val="center"/>
          </w:tcPr>
          <w:p>
            <w:r>
              <w:t>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602.2</w:t>
            </w:r>
          </w:p>
        </w:tc>
        <w:tc>
          <w:tcPr>
            <w:vAlign w:val="center"/>
          </w:tcPr>
          <w:p>
            <w:r>
              <w:t>330.4</w:t>
            </w:r>
          </w:p>
        </w:tc>
        <w:tc>
          <w:tcPr>
            <w:vAlign w:val="center"/>
          </w:tcPr>
          <w:p>
            <w:r>
              <w:t>602.2</w:t>
            </w:r>
          </w:p>
        </w:tc>
        <w:tc>
          <w:tcPr>
            <w:vAlign w:val="center"/>
          </w:tcPr>
          <w:p>
            <w:r>
              <w:t>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t>《城市居住区热环境设计标准》4.4.2条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建筑屋面的绿化面积不应低于可绿化屋面面积的50%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7" w:name="屋面绿化率"/>
      <w:bookmarkEnd w:id="47"/>
    </w:p>
    <w:p>
      <w:pPr>
        <w:pStyle w:val="2"/>
      </w:pPr>
      <w:bookmarkStart w:id="48" w:name="_Toc16494786"/>
      <w:r>
        <w:rPr>
          <w:rFonts w:hint="eastAsia"/>
        </w:rPr>
        <w:t>结论</w:t>
      </w:r>
      <w:bookmarkEnd w:id="48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800"/>
        <w:gridCol w:w="1866"/>
        <w:gridCol w:w="28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bookmarkStart w:id="49" w:name="结论"/>
            <w:bookmarkEnd w:id="49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满足</w:t>
            </w:r>
          </w:p>
        </w:tc>
        <w:tc>
          <w:tcPr>
            <w:tcW w:w="2800" w:type="dxa"/>
            <w:vMerge w:val="restart"/>
            <w:vAlign w:val="center"/>
          </w:tcPr>
          <w:p>
            <w:r>
              <w:rPr>
                <w:b/>
              </w:rPr>
              <w:t>强制条文，必须满足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bookmarkStart w:id="50" w:name="活动场地遮阳覆盖率结论"/>
            <w:r>
              <w:rPr>
                <w:rFonts w:hint="eastAsia"/>
                <w:b/>
              </w:rPr>
              <w:t>满足</w:t>
            </w:r>
            <w:bookmarkEnd w:id="50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t>规定性设计</w:t>
            </w:r>
          </w:p>
        </w:tc>
        <w:tc>
          <w:tcPr>
            <w:tcW w:w="2800" w:type="dxa"/>
            <w:vAlign w:val="center"/>
          </w:tcPr>
          <w:p>
            <w:r>
              <w:t>底层通风架空率</w:t>
            </w:r>
          </w:p>
        </w:tc>
        <w:tc>
          <w:tcPr>
            <w:tcW w:w="1866" w:type="dxa"/>
            <w:vAlign w:val="center"/>
          </w:tcPr>
          <w:p>
            <w:bookmarkStart w:id="51" w:name="底层通风架空率结论"/>
            <w: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>
            <w:r>
              <w:t>不满足任意一条时，进行评价性设计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>
            <w:bookmarkStart w:id="52" w:name="绿化遮阳体叶面积指数结论"/>
            <w:r>
              <w:t>满足</w:t>
            </w:r>
            <w:bookmarkEnd w:id="52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渗透蒸发指标</w:t>
            </w:r>
          </w:p>
        </w:tc>
        <w:tc>
          <w:tcPr>
            <w:tcW w:w="1866" w:type="dxa"/>
            <w:vAlign w:val="center"/>
          </w:tcPr>
          <w:p>
            <w:bookmarkStart w:id="53" w:name="渗透蒸发指标结论"/>
            <w:r>
              <w:t>满足</w:t>
            </w:r>
            <w:bookmarkEnd w:id="53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屋面绿化率</w:t>
            </w:r>
          </w:p>
        </w:tc>
        <w:tc>
          <w:tcPr>
            <w:tcW w:w="1866" w:type="dxa"/>
            <w:vAlign w:val="center"/>
          </w:tcPr>
          <w:p>
            <w:bookmarkStart w:id="54" w:name="屋面绿化率结论"/>
            <w:r>
              <w:t>满足</w:t>
            </w:r>
            <w:bookmarkEnd w:id="54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>
            <w:pPr>
              <w:rPr>
                <w:b/>
              </w:rPr>
            </w:pPr>
            <w:bookmarkStart w:id="55" w:name="总结论"/>
            <w:r>
              <w:rPr>
                <w:rFonts w:hint="eastAsia"/>
                <w:b/>
                <w:color w:val="000000" w:themeColor="text1"/>
              </w:rPr>
              <w:t>满足</w:t>
            </w:r>
            <w:bookmarkEnd w:id="55"/>
          </w:p>
        </w:tc>
      </w:tr>
    </w:tbl>
    <w:p>
      <w:pPr>
        <w:pStyle w:val="3"/>
        <w:ind w:firstLine="420"/>
        <w:rPr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separate"/>
    </w:r>
    <w:r>
      <w:rPr>
        <w:rStyle w:val="24"/>
      </w:rPr>
      <w:t>1</w:t>
    </w:r>
    <w:r>
      <w:rPr>
        <w:rStyle w:val="24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WMyZTM0MjBkY2NhYTdlYzQ5MGE0Mzc0ZDY5ZDBlZGIifQ=="/>
  </w:docVars>
  <w:rsids>
    <w:rsidRoot w:val="00217F62"/>
    <w:rsid w:val="001915A3"/>
    <w:rsid w:val="00217F62"/>
    <w:rsid w:val="00A906D8"/>
    <w:rsid w:val="00AB5A74"/>
    <w:rsid w:val="00F071AE"/>
    <w:rsid w:val="066553A4"/>
    <w:rsid w:val="0DD5744A"/>
    <w:rsid w:val="4D08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autoRedefine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autoRedefine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autoRedefine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autoRedefine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autoRedefine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18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19">
    <w:name w:val="Title"/>
    <w:basedOn w:val="1"/>
    <w:next w:val="1"/>
    <w:link w:val="26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1">
    <w:name w:val="Table Grid"/>
    <w:basedOn w:val="20"/>
    <w:autoRedefine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autoRedefine/>
    <w:qFormat/>
    <w:uiPriority w:val="22"/>
    <w:rPr>
      <w:b/>
      <w:bCs/>
    </w:rPr>
  </w:style>
  <w:style w:type="character" w:styleId="24">
    <w:name w:val="page number"/>
    <w:basedOn w:val="22"/>
    <w:autoRedefine/>
    <w:qFormat/>
    <w:uiPriority w:val="0"/>
  </w:style>
  <w:style w:type="character" w:styleId="25">
    <w:name w:val="Hyperlink"/>
    <w:autoRedefine/>
    <w:qFormat/>
    <w:uiPriority w:val="99"/>
    <w:rPr>
      <w:color w:val="0000FF"/>
      <w:u w:val="single"/>
    </w:rPr>
  </w:style>
  <w:style w:type="character" w:customStyle="1" w:styleId="26">
    <w:name w:val="标题 Char"/>
    <w:basedOn w:val="22"/>
    <w:link w:val="19"/>
    <w:autoRedefine/>
    <w:qFormat/>
    <w:uiPriority w:val="0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bmp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住区热环境(规定性设计)计算书.dotx</Template>
  <Company>ths</Company>
  <Pages>6</Pages>
  <Words>428</Words>
  <Characters>2440</Characters>
  <Lines>20</Lines>
  <Paragraphs>5</Paragraphs>
  <TotalTime>3</TotalTime>
  <ScaleCrop>false</ScaleCrop>
  <LinksUpToDate>false</LinksUpToDate>
  <CharactersWithSpaces>2863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2020-03-23T09:11:00Z</dcterms:created>
  <dc:creator>human</dc:creator>
  <cp:lastModifiedBy>无爱别演</cp:lastModifiedBy>
  <cp:lastPrinted>2411-12-31T16:00:00Z</cp:lastPrinted>
  <dcterms:modified xsi:type="dcterms:W3CDTF">2024-03-11T05:35:54Z</dcterms:modified>
  <dc:title>住区热环境规定性设计计算书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F4CE6CEBBB004028AFDAFE3EA6222F20_12</vt:lpwstr>
  </property>
</Properties>
</file>