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image/png" PartName="/word/media/document_image_rId4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屋檐下——乡村居民活动中心设计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410949" cy="5201374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0949" cy="520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报告日期：2024年3月16日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项目名称：屋檐下——乡村居民活动中心设计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围护结构提高11%或负荷降低11.5%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68.0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962.0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pn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