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eastAsia="宋体"/>
          <w:b/>
          <w:bCs/>
          <w:sz w:val="32"/>
          <w:szCs w:val="32"/>
          <w:lang w:val="en-US" w:eastAsia="zh-CN"/>
        </w:rPr>
      </w:pPr>
      <w:r>
        <w:rPr>
          <w:rFonts w:hint="eastAsia" w:ascii="宋体" w:hAnsi="宋体"/>
          <w:b/>
          <w:bCs/>
          <w:sz w:val="32"/>
          <w:szCs w:val="32"/>
          <w:lang w:val="en-US" w:eastAsia="zh-CN"/>
        </w:rPr>
        <w:t xml:space="preserve"> </w:t>
      </w:r>
      <w:bookmarkStart w:id="58" w:name="_GoBack"/>
      <w:bookmarkEnd w:id="58"/>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南宁</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2024年3月13日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T17708473286</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计算结果</w:t>
      </w:r>
      <w:r>
        <w:tab/>
      </w:r>
      <w:r>
        <w:fldChar w:fldCharType="begin"/>
      </w:r>
      <w:r>
        <w:instrText xml:space="preserve"> PAGEREF _Toc16494755 \h </w:instrText>
      </w:r>
      <w:r>
        <w:fldChar w:fldCharType="separate"/>
      </w:r>
      <w:r>
        <w:rPr>
          <w:rFonts w:hint="eastAsia"/>
          <w:b w:val="0"/>
          <w:bCs w:val="0"/>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南宁</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22.80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108.30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IVB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r>
        <w:rPr>
          <w:rFonts w:hint="eastAsia"/>
        </w:rPr>
        <w:t>计算规定</w:t>
      </w:r>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r>
        <w:rPr>
          <w:rFonts w:hint="eastAsia"/>
        </w:rPr>
        <w:t>强制条文</w:t>
      </w:r>
      <w:bookmarkEnd w:id="25"/>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6494771"/>
      <w:r>
        <w:rPr>
          <w:rFonts w:hint="eastAsia"/>
        </w:rPr>
        <w:t>评价性设计</w:t>
      </w:r>
      <w:bookmarkEnd w:id="26"/>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7" w:name="_Toc16494748"/>
      <w:r>
        <w:rPr>
          <w:rFonts w:hint="eastAsia"/>
        </w:rPr>
        <w:t>计算方法</w:t>
      </w:r>
      <w:bookmarkEnd w:id="27"/>
    </w:p>
    <w:p>
      <w:pPr>
        <w:widowControl w:val="0"/>
        <w:spacing w:line="360" w:lineRule="auto"/>
        <w:jc w:val="both"/>
        <w:rPr>
          <w:kern w:val="2"/>
          <w:szCs w:val="21"/>
          <w:lang w:val="en-US"/>
        </w:rPr>
      </w:pPr>
      <w:bookmarkStart w:id="28" w:name="计算方法"/>
      <w:bookmarkEnd w:id="28"/>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29" w:name="_Toc16494749"/>
      <w:r>
        <w:rPr>
          <w:rFonts w:hint="eastAsia"/>
        </w:rPr>
        <w:t>计算参数</w:t>
      </w:r>
      <w:bookmarkEnd w:id="29"/>
    </w:p>
    <w:p>
      <w:pPr>
        <w:pStyle w:val="4"/>
      </w:pPr>
      <w:bookmarkStart w:id="30" w:name="_Toc16494750"/>
      <w:r>
        <w:rPr>
          <w:rFonts w:hint="eastAsia"/>
        </w:rPr>
        <w:t>典型气象日气象参数</w:t>
      </w:r>
      <w:bookmarkEnd w:id="3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27.1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26.7</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26.5</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26.3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26.4</w:t>
            </w:r>
          </w:p>
        </w:tc>
        <w:tc>
          <w:tcPr>
            <w:vAlign w:val="center"/>
          </w:tcPr>
          <w:p>
            <w:pPr>
              <w:jc w:val="center"/>
            </w:pPr>
            <w:r>
              <w:t>88</w:t>
            </w:r>
          </w:p>
        </w:tc>
        <w:tc>
          <w:tcPr>
            <w:vAlign w:val="center"/>
          </w:tcPr>
          <w:p>
            <w:pPr>
              <w:jc w:val="center"/>
            </w:pPr>
            <w:r>
              <w:t>30.56</w:t>
            </w:r>
          </w:p>
        </w:tc>
        <w:tc>
          <w:tcPr>
            <w:vAlign w:val="center"/>
          </w:tcPr>
          <w:p>
            <w:pPr>
              <w:jc w:val="center"/>
            </w:pPr>
            <w:r>
              <w:t>27.78</w:t>
            </w:r>
          </w:p>
        </w:tc>
        <w:tc>
          <w:tcPr>
            <w:vAlign w:val="center"/>
          </w:tcPr>
          <w:p>
            <w:pPr>
              <w:jc w:val="center"/>
            </w:pPr>
            <w:r>
              <w:t>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26.7</w:t>
            </w:r>
          </w:p>
        </w:tc>
        <w:tc>
          <w:tcPr>
            <w:vAlign w:val="center"/>
          </w:tcPr>
          <w:p>
            <w:pPr>
              <w:jc w:val="center"/>
            </w:pPr>
            <w:r>
              <w:t>86</w:t>
            </w:r>
          </w:p>
        </w:tc>
        <w:tc>
          <w:tcPr>
            <w:vAlign w:val="center"/>
          </w:tcPr>
          <w:p>
            <w:pPr>
              <w:jc w:val="center"/>
            </w:pPr>
            <w:r>
              <w:t>161.11</w:t>
            </w:r>
          </w:p>
        </w:tc>
        <w:tc>
          <w:tcPr>
            <w:vAlign w:val="center"/>
          </w:tcPr>
          <w:p>
            <w:pPr>
              <w:jc w:val="center"/>
            </w:pPr>
            <w:r>
              <w:t>97.22</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27.3</w:t>
            </w:r>
          </w:p>
        </w:tc>
        <w:tc>
          <w:tcPr>
            <w:vAlign w:val="center"/>
          </w:tcPr>
          <w:p>
            <w:pPr>
              <w:jc w:val="center"/>
            </w:pPr>
            <w:r>
              <w:t>84</w:t>
            </w:r>
          </w:p>
        </w:tc>
        <w:tc>
          <w:tcPr>
            <w:vAlign w:val="center"/>
          </w:tcPr>
          <w:p>
            <w:pPr>
              <w:jc w:val="center"/>
            </w:pPr>
            <w:r>
              <w:t>316.67</w:t>
            </w:r>
          </w:p>
        </w:tc>
        <w:tc>
          <w:tcPr>
            <w:vAlign w:val="center"/>
          </w:tcPr>
          <w:p>
            <w:pPr>
              <w:jc w:val="center"/>
            </w:pPr>
            <w:r>
              <w:t>169.44</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28.1</w:t>
            </w:r>
          </w:p>
        </w:tc>
        <w:tc>
          <w:tcPr>
            <w:vAlign w:val="center"/>
          </w:tcPr>
          <w:p>
            <w:pPr>
              <w:jc w:val="center"/>
            </w:pPr>
            <w:r>
              <w:t>82</w:t>
            </w:r>
          </w:p>
        </w:tc>
        <w:tc>
          <w:tcPr>
            <w:vAlign w:val="center"/>
          </w:tcPr>
          <w:p>
            <w:pPr>
              <w:jc w:val="center"/>
            </w:pPr>
            <w:r>
              <w:t>475.00</w:t>
            </w:r>
          </w:p>
        </w:tc>
        <w:tc>
          <w:tcPr>
            <w:vAlign w:val="center"/>
          </w:tcPr>
          <w:p>
            <w:pPr>
              <w:jc w:val="center"/>
            </w:pPr>
            <w:r>
              <w:t>230.56</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28.9</w:t>
            </w:r>
          </w:p>
        </w:tc>
        <w:tc>
          <w:tcPr>
            <w:vAlign w:val="center"/>
          </w:tcPr>
          <w:p>
            <w:pPr>
              <w:jc w:val="center"/>
            </w:pPr>
            <w:r>
              <w:t>79</w:t>
            </w:r>
          </w:p>
        </w:tc>
        <w:tc>
          <w:tcPr>
            <w:vAlign w:val="center"/>
          </w:tcPr>
          <w:p>
            <w:pPr>
              <w:jc w:val="center"/>
            </w:pPr>
            <w:r>
              <w:t>619.44</w:t>
            </w:r>
          </w:p>
        </w:tc>
        <w:tc>
          <w:tcPr>
            <w:vAlign w:val="center"/>
          </w:tcPr>
          <w:p>
            <w:pPr>
              <w:jc w:val="center"/>
            </w:pPr>
            <w:r>
              <w:t>280.56</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29.7</w:t>
            </w:r>
          </w:p>
        </w:tc>
        <w:tc>
          <w:tcPr>
            <w:vAlign w:val="center"/>
          </w:tcPr>
          <w:p>
            <w:pPr>
              <w:jc w:val="center"/>
            </w:pPr>
            <w:r>
              <w:t>77</w:t>
            </w:r>
          </w:p>
        </w:tc>
        <w:tc>
          <w:tcPr>
            <w:vAlign w:val="center"/>
          </w:tcPr>
          <w:p>
            <w:pPr>
              <w:jc w:val="center"/>
            </w:pPr>
            <w:r>
              <w:t>727.78</w:t>
            </w:r>
          </w:p>
        </w:tc>
        <w:tc>
          <w:tcPr>
            <w:vAlign w:val="center"/>
          </w:tcPr>
          <w:p>
            <w:pPr>
              <w:jc w:val="center"/>
            </w:pPr>
            <w:r>
              <w:t>316.67</w:t>
            </w:r>
          </w:p>
        </w:tc>
        <w:tc>
          <w:tcPr>
            <w:vAlign w:val="center"/>
          </w:tcPr>
          <w:p>
            <w:pPr>
              <w:jc w:val="center"/>
            </w:pPr>
            <w:r>
              <w:t>1.3</w:t>
            </w:r>
          </w:p>
        </w:tc>
        <w:tc>
          <w:tcPr>
            <w:vMerge w:val="continue"/>
            <w:vAlign w:val="center"/>
          </w:tcPr>
          <w:p>
            <w:pPr>
              <w:jc w:val="center"/>
            </w:pPr>
          </w:p>
        </w:tc>
      </w:tr>
      <w:tr>
        <w:tblPrEx>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30.4</w:t>
            </w:r>
          </w:p>
        </w:tc>
        <w:tc>
          <w:tcPr>
            <w:vAlign w:val="center"/>
          </w:tcPr>
          <w:p>
            <w:pPr>
              <w:jc w:val="center"/>
            </w:pPr>
            <w:r>
              <w:t>76</w:t>
            </w:r>
          </w:p>
        </w:tc>
        <w:tc>
          <w:tcPr>
            <w:vAlign w:val="center"/>
          </w:tcPr>
          <w:p>
            <w:pPr>
              <w:jc w:val="center"/>
            </w:pPr>
            <w:r>
              <w:t>783.33</w:t>
            </w:r>
          </w:p>
        </w:tc>
        <w:tc>
          <w:tcPr>
            <w:vAlign w:val="center"/>
          </w:tcPr>
          <w:p>
            <w:pPr>
              <w:jc w:val="center"/>
            </w:pPr>
            <w:r>
              <w:t>333.33</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30.8</w:t>
            </w:r>
          </w:p>
        </w:tc>
        <w:tc>
          <w:tcPr>
            <w:vAlign w:val="center"/>
          </w:tcPr>
          <w:p>
            <w:pPr>
              <w:jc w:val="center"/>
            </w:pPr>
            <w:r>
              <w:t>75</w:t>
            </w:r>
          </w:p>
        </w:tc>
        <w:tc>
          <w:tcPr>
            <w:vAlign w:val="center"/>
          </w:tcPr>
          <w:p>
            <w:pPr>
              <w:jc w:val="center"/>
            </w:pPr>
            <w:r>
              <w:t>775.00</w:t>
            </w:r>
          </w:p>
        </w:tc>
        <w:tc>
          <w:tcPr>
            <w:vAlign w:val="center"/>
          </w:tcPr>
          <w:p>
            <w:pPr>
              <w:jc w:val="center"/>
            </w:pPr>
            <w:r>
              <w:t>333.33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30.9</w:t>
            </w:r>
          </w:p>
        </w:tc>
        <w:tc>
          <w:tcPr>
            <w:vAlign w:val="center"/>
          </w:tcPr>
          <w:p>
            <w:pPr>
              <w:jc w:val="center"/>
            </w:pPr>
            <w:r>
              <w:t>75</w:t>
            </w:r>
          </w:p>
        </w:tc>
        <w:tc>
          <w:tcPr>
            <w:vAlign w:val="center"/>
          </w:tcPr>
          <w:p>
            <w:pPr>
              <w:jc w:val="center"/>
            </w:pPr>
            <w:r>
              <w:t>705.56</w:t>
            </w:r>
          </w:p>
        </w:tc>
        <w:tc>
          <w:tcPr>
            <w:vAlign w:val="center"/>
          </w:tcPr>
          <w:p>
            <w:pPr>
              <w:jc w:val="center"/>
            </w:pPr>
            <w:r>
              <w:t>311.11</w:t>
            </w:r>
          </w:p>
        </w:tc>
        <w:tc>
          <w:tcPr>
            <w:vAlign w:val="center"/>
          </w:tcPr>
          <w:p>
            <w:pPr>
              <w:jc w:val="center"/>
            </w:pPr>
            <w:r>
              <w:t>2.2</w:t>
            </w:r>
          </w:p>
        </w:tc>
        <w:tc>
          <w:tcPr>
            <w:vMerge w:val="continue"/>
            <w:vAlign w:val="center"/>
          </w:tcPr>
          <w:p>
            <w:pPr>
              <w:jc w:val="center"/>
            </w:pPr>
          </w:p>
        </w:tc>
      </w:tr>
      <w:tr>
        <w:tblPrEx>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77</w:t>
            </w:r>
          </w:p>
        </w:tc>
        <w:tc>
          <w:tcPr>
            <w:vAlign w:val="center"/>
          </w:tcPr>
          <w:p>
            <w:pPr>
              <w:jc w:val="center"/>
            </w:pPr>
            <w:r>
              <w:t>586.11</w:t>
            </w:r>
          </w:p>
        </w:tc>
        <w:tc>
          <w:tcPr>
            <w:vAlign w:val="center"/>
          </w:tcPr>
          <w:p>
            <w:pPr>
              <w:jc w:val="center"/>
            </w:pPr>
            <w:r>
              <w:t>272.22</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30.2</w:t>
            </w:r>
          </w:p>
        </w:tc>
        <w:tc>
          <w:tcPr>
            <w:vAlign w:val="center"/>
          </w:tcPr>
          <w:p>
            <w:pPr>
              <w:jc w:val="center"/>
            </w:pPr>
            <w:r>
              <w:t>78</w:t>
            </w:r>
          </w:p>
        </w:tc>
        <w:tc>
          <w:tcPr>
            <w:vAlign w:val="center"/>
          </w:tcPr>
          <w:p>
            <w:pPr>
              <w:jc w:val="center"/>
            </w:pPr>
            <w:r>
              <w:t>436.11</w:t>
            </w:r>
          </w:p>
        </w:tc>
        <w:tc>
          <w:tcPr>
            <w:vAlign w:val="center"/>
          </w:tcPr>
          <w:p>
            <w:pPr>
              <w:jc w:val="center"/>
            </w:pPr>
            <w:r>
              <w:t>216.67</w:t>
            </w:r>
          </w:p>
        </w:tc>
        <w:tc>
          <w:tcPr>
            <w:vAlign w:val="center"/>
          </w:tcPr>
          <w:p>
            <w:pPr>
              <w:jc w:val="center"/>
            </w:pPr>
            <w:r>
              <w:t>2.5</w:t>
            </w:r>
          </w:p>
        </w:tc>
        <w:tc>
          <w:tcPr>
            <w:vMerge w:val="continue"/>
            <w:vAlign w:val="center"/>
          </w:tcPr>
          <w:p>
            <w:pPr>
              <w:jc w:val="center"/>
            </w:pPr>
          </w:p>
        </w:tc>
      </w:tr>
      <w:tr>
        <w:tblPrEx>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29.7</w:t>
            </w:r>
          </w:p>
        </w:tc>
        <w:tc>
          <w:tcPr>
            <w:vAlign w:val="center"/>
          </w:tcPr>
          <w:p>
            <w:pPr>
              <w:jc w:val="center"/>
            </w:pPr>
            <w:r>
              <w:t>81</w:t>
            </w:r>
          </w:p>
        </w:tc>
        <w:tc>
          <w:tcPr>
            <w:vAlign w:val="center"/>
          </w:tcPr>
          <w:p>
            <w:pPr>
              <w:jc w:val="center"/>
            </w:pPr>
            <w:r>
              <w:t>275.00</w:t>
            </w:r>
          </w:p>
        </w:tc>
        <w:tc>
          <w:tcPr>
            <w:vAlign w:val="center"/>
          </w:tcPr>
          <w:p>
            <w:pPr>
              <w:jc w:val="center"/>
            </w:pPr>
            <w:r>
              <w:t>147.22</w:t>
            </w:r>
          </w:p>
        </w:tc>
        <w:tc>
          <w:tcPr>
            <w:vAlign w:val="center"/>
          </w:tcPr>
          <w:p>
            <w:pPr>
              <w:jc w:val="center"/>
            </w:pPr>
            <w:r>
              <w:t>2.7</w:t>
            </w:r>
          </w:p>
        </w:tc>
        <w:tc>
          <w:tcPr>
            <w:vMerge w:val="continue"/>
            <w:vAlign w:val="center"/>
          </w:tcPr>
          <w:p>
            <w:pPr>
              <w:jc w:val="center"/>
            </w:pPr>
          </w:p>
        </w:tc>
      </w:tr>
      <w:tr>
        <w:tblPrEx>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29.1</w:t>
            </w:r>
          </w:p>
        </w:tc>
        <w:tc>
          <w:tcPr>
            <w:vAlign w:val="center"/>
          </w:tcPr>
          <w:p>
            <w:pPr>
              <w:jc w:val="center"/>
            </w:pPr>
            <w:r>
              <w:t>83</w:t>
            </w:r>
          </w:p>
        </w:tc>
        <w:tc>
          <w:tcPr>
            <w:vAlign w:val="center"/>
          </w:tcPr>
          <w:p>
            <w:pPr>
              <w:jc w:val="center"/>
            </w:pPr>
            <w:r>
              <w:t>125.00</w:t>
            </w:r>
          </w:p>
        </w:tc>
        <w:tc>
          <w:tcPr>
            <w:vAlign w:val="center"/>
          </w:tcPr>
          <w:p>
            <w:pPr>
              <w:jc w:val="center"/>
            </w:pPr>
            <w:r>
              <w:t>75.00</w:t>
            </w:r>
          </w:p>
        </w:tc>
        <w:tc>
          <w:tcPr>
            <w:vAlign w:val="center"/>
          </w:tcPr>
          <w:p>
            <w:pPr>
              <w:jc w:val="center"/>
            </w:pPr>
            <w:r>
              <w:t>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28.6</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28.2</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27.6</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27.3</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28.3</w:t>
            </w:r>
          </w:p>
        </w:tc>
        <w:tc>
          <w:tcPr>
            <w:vAlign w:val="center"/>
          </w:tcPr>
          <w:p>
            <w:pPr>
              <w:jc w:val="center"/>
            </w:pPr>
            <w:r>
              <w:t>84</w:t>
            </w:r>
          </w:p>
        </w:tc>
        <w:tc>
          <w:tcPr>
            <w:vAlign w:val="center"/>
          </w:tcPr>
          <w:p>
            <w:pPr>
              <w:jc w:val="center"/>
            </w:pPr>
            <w:r>
              <w:t>250.69</w:t>
            </w:r>
          </w:p>
        </w:tc>
        <w:tc>
          <w:tcPr>
            <w:vAlign w:val="center"/>
          </w:tcPr>
          <w:p>
            <w:pPr>
              <w:jc w:val="center"/>
            </w:pPr>
            <w:r>
              <w:t>117.13</w:t>
            </w:r>
          </w:p>
        </w:tc>
        <w:tc>
          <w:tcPr>
            <w:vAlign w:val="center"/>
          </w:tcPr>
          <w:p>
            <w:pPr>
              <w:jc w:val="center"/>
            </w:pPr>
            <w:r>
              <w:t>1.4</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16494751"/>
      <w:r>
        <w:rPr>
          <w:rFonts w:hint="eastAsia"/>
        </w:rPr>
        <w:t>渗透面夏季逐时蒸发量</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3" w:name="蒸发量参数"/>
      <w:bookmarkEnd w:id="33"/>
    </w:p>
    <w:p>
      <w:pPr>
        <w:pStyle w:val="2"/>
      </w:pPr>
      <w:bookmarkStart w:id="34" w:name="_Toc16494752"/>
      <w:r>
        <w:rPr>
          <w:rFonts w:hint="eastAsia"/>
        </w:rPr>
        <w:t>指标概览</w:t>
      </w:r>
      <w:bookmarkEnd w:id="34"/>
    </w:p>
    <w:p>
      <w:pPr>
        <w:pStyle w:val="4"/>
      </w:pPr>
      <w:bookmarkStart w:id="35" w:name="_Toc16494753"/>
      <w:r>
        <w:rPr>
          <w:rFonts w:hint="eastAsia"/>
        </w:rPr>
        <w:t>建筑列表</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6" w:name="建筑列表"/>
      <w:bookmarkEnd w:id="36"/>
    </w:p>
    <w:p>
      <w:pPr>
        <w:pStyle w:val="4"/>
      </w:pPr>
      <w:bookmarkStart w:id="37" w:name="_Toc16494754"/>
      <w:r>
        <w:rPr>
          <w:rFonts w:hint="eastAsia"/>
        </w:rPr>
        <w:t>住区指标</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103.28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103.28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20.18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8" w:name="住区指标概览"/>
      <w:bookmarkEnd w:id="38"/>
    </w:p>
    <w:p>
      <w:pPr>
        <w:pStyle w:val="2"/>
      </w:pPr>
      <w:bookmarkStart w:id="39" w:name="_Toc16494776"/>
      <w:r>
        <w:rPr>
          <w:rFonts w:hint="eastAsia"/>
        </w:rPr>
        <w:t>强</w:t>
      </w:r>
      <w:bookmarkEnd w:id="39"/>
      <w:r>
        <w:rPr>
          <w:rFonts w:hint="eastAsia"/>
        </w:rPr>
        <w:t>条</w:t>
      </w:r>
      <w:r>
        <w:t>检查</w:t>
      </w:r>
    </w:p>
    <w:p>
      <w:pPr>
        <w:pStyle w:val="4"/>
      </w:pPr>
      <w:bookmarkStart w:id="40" w:name="_Toc16494777"/>
      <w:r>
        <w:rPr>
          <w:rFonts w:hint="eastAsia"/>
        </w:rPr>
        <w:t>平均迎风面积比</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1" w:name="平均迎风面积比"/>
      <w:bookmarkEnd w:id="41"/>
    </w:p>
    <w:p>
      <w:pPr>
        <w:pStyle w:val="4"/>
      </w:pPr>
      <w:bookmarkStart w:id="42" w:name="_Toc16494778"/>
      <w:r>
        <w:rPr>
          <w:rFonts w:hint="eastAsia"/>
        </w:rPr>
        <w:t>活动场地遮阳覆盖率</w:t>
      </w:r>
      <w:bookmarkEnd w:id="4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3" w:name="活动场地遮阳覆盖率"/>
      <w:bookmarkEnd w:id="43"/>
    </w:p>
    <w:p>
      <w:pPr>
        <w:pStyle w:val="3"/>
        <w:ind w:firstLine="420"/>
        <w:rPr>
          <w:lang w:val="en-US"/>
        </w:rPr>
      </w:pPr>
    </w:p>
    <w:p>
      <w:pPr>
        <w:pStyle w:val="2"/>
      </w:pPr>
      <w:bookmarkStart w:id="44" w:name="_Toc16494783"/>
      <w:r>
        <w:rPr>
          <w:rFonts w:hint="eastAsia"/>
        </w:rPr>
        <w:t>评价性设计</w:t>
      </w:r>
      <w:bookmarkEnd w:id="44"/>
    </w:p>
    <w:p>
      <w:pPr>
        <w:pStyle w:val="4"/>
      </w:pPr>
      <w:bookmarkStart w:id="45" w:name="_Toc16494784"/>
      <w:r>
        <w:rPr>
          <w:rFonts w:hint="eastAsia"/>
        </w:rPr>
        <w:t>平均热岛强度</w:t>
      </w:r>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28.3</w:t>
            </w:r>
          </w:p>
        </w:tc>
        <w:tc>
          <w:tcPr>
            <w:vAlign w:val="center"/>
          </w:tcPr>
          <w:p>
            <w:r>
              <w:t>0.0</w:t>
            </w:r>
          </w:p>
        </w:tc>
        <w:tc>
          <w:tcPr>
            <w:vAlign w:val="center"/>
          </w:tcPr>
          <w:p>
            <w:r>
              <w:t>4.8</w:t>
            </w:r>
          </w:p>
        </w:tc>
        <w:tc>
          <w:tcPr>
            <w:vAlign w:val="center"/>
          </w:tcPr>
          <w:p>
            <w:r>
              <w:t>0.4</w:t>
            </w:r>
          </w:p>
        </w:tc>
        <w:tc>
          <w:tcPr>
            <w:vAlign w:val="center"/>
          </w:tcPr>
          <w:p>
            <w:r>
              <w:t>23.0</w:t>
            </w:r>
          </w:p>
        </w:tc>
        <w:tc>
          <w:tcPr>
            <w:vAlign w:val="center"/>
          </w:tcPr>
          <w:p>
            <w:r>
              <w:t>28.1</w:t>
            </w:r>
          </w:p>
        </w:tc>
        <w:tc>
          <w:tcPr>
            <w:vAlign w:val="center"/>
          </w:tcPr>
          <w:p>
            <w:r>
              <w:t>-5.059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28.3</w:t>
            </w:r>
          </w:p>
        </w:tc>
        <w:tc>
          <w:tcPr>
            <w:vAlign w:val="center"/>
          </w:tcPr>
          <w:p>
            <w:r>
              <w:t>0.0</w:t>
            </w:r>
          </w:p>
        </w:tc>
        <w:tc>
          <w:tcPr>
            <w:vAlign w:val="center"/>
          </w:tcPr>
          <w:p>
            <w:r>
              <w:t>4.5</w:t>
            </w:r>
          </w:p>
        </w:tc>
        <w:tc>
          <w:tcPr>
            <w:vAlign w:val="center"/>
          </w:tcPr>
          <w:p>
            <w:r>
              <w:t>0.5</w:t>
            </w:r>
          </w:p>
        </w:tc>
        <w:tc>
          <w:tcPr>
            <w:vAlign w:val="center"/>
          </w:tcPr>
          <w:p>
            <w:r>
              <w:t>23.3</w:t>
            </w:r>
          </w:p>
        </w:tc>
        <w:tc>
          <w:tcPr>
            <w:vAlign w:val="center"/>
          </w:tcPr>
          <w:p>
            <w:r>
              <w:t>28.9</w:t>
            </w:r>
          </w:p>
        </w:tc>
        <w:tc>
          <w:tcPr>
            <w:vAlign w:val="center"/>
          </w:tcPr>
          <w:p>
            <w:r>
              <w:t>-5.650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28.3</w:t>
            </w:r>
          </w:p>
        </w:tc>
        <w:tc>
          <w:tcPr>
            <w:vAlign w:val="center"/>
          </w:tcPr>
          <w:p>
            <w:r>
              <w:t>0.0</w:t>
            </w:r>
          </w:p>
        </w:tc>
        <w:tc>
          <w:tcPr>
            <w:vAlign w:val="center"/>
          </w:tcPr>
          <w:p>
            <w:r>
              <w:t>4.3</w:t>
            </w:r>
          </w:p>
        </w:tc>
        <w:tc>
          <w:tcPr>
            <w:vAlign w:val="center"/>
          </w:tcPr>
          <w:p>
            <w:r>
              <w:t>0.4</w:t>
            </w:r>
          </w:p>
        </w:tc>
        <w:tc>
          <w:tcPr>
            <w:vAlign w:val="center"/>
          </w:tcPr>
          <w:p>
            <w:r>
              <w:t>23.5</w:t>
            </w:r>
          </w:p>
        </w:tc>
        <w:tc>
          <w:tcPr>
            <w:vAlign w:val="center"/>
          </w:tcPr>
          <w:p>
            <w:r>
              <w:t>29.7</w:t>
            </w:r>
          </w:p>
        </w:tc>
        <w:tc>
          <w:tcPr>
            <w:vAlign w:val="center"/>
          </w:tcPr>
          <w:p>
            <w:r>
              <w:t>-6.176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28.3</w:t>
            </w:r>
          </w:p>
        </w:tc>
        <w:tc>
          <w:tcPr>
            <w:vAlign w:val="center"/>
          </w:tcPr>
          <w:p>
            <w:r>
              <w:t>0.0</w:t>
            </w:r>
          </w:p>
        </w:tc>
        <w:tc>
          <w:tcPr>
            <w:vAlign w:val="center"/>
          </w:tcPr>
          <w:p>
            <w:r>
              <w:t>4.0</w:t>
            </w:r>
          </w:p>
        </w:tc>
        <w:tc>
          <w:tcPr>
            <w:vAlign w:val="center"/>
          </w:tcPr>
          <w:p>
            <w:r>
              <w:t>0.4</w:t>
            </w:r>
          </w:p>
        </w:tc>
        <w:tc>
          <w:tcPr>
            <w:vAlign w:val="center"/>
          </w:tcPr>
          <w:p>
            <w:r>
              <w:t>23.9</w:t>
            </w:r>
          </w:p>
        </w:tc>
        <w:tc>
          <w:tcPr>
            <w:vAlign w:val="center"/>
          </w:tcPr>
          <w:p>
            <w:r>
              <w:t>30.4</w:t>
            </w:r>
          </w:p>
        </w:tc>
        <w:tc>
          <w:tcPr>
            <w:vAlign w:val="center"/>
          </w:tcPr>
          <w:p>
            <w:r>
              <w:t>-6.508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28.3</w:t>
            </w:r>
          </w:p>
        </w:tc>
        <w:tc>
          <w:tcPr>
            <w:vAlign w:val="center"/>
          </w:tcPr>
          <w:p>
            <w:r>
              <w:t>0.0</w:t>
            </w:r>
          </w:p>
        </w:tc>
        <w:tc>
          <w:tcPr>
            <w:vAlign w:val="center"/>
          </w:tcPr>
          <w:p>
            <w:r>
              <w:t>3.8</w:t>
            </w:r>
          </w:p>
        </w:tc>
        <w:tc>
          <w:tcPr>
            <w:vAlign w:val="center"/>
          </w:tcPr>
          <w:p>
            <w:r>
              <w:t>0.4</w:t>
            </w:r>
          </w:p>
        </w:tc>
        <w:tc>
          <w:tcPr>
            <w:vAlign w:val="center"/>
          </w:tcPr>
          <w:p>
            <w:r>
              <w:t>24.1</w:t>
            </w:r>
          </w:p>
        </w:tc>
        <w:tc>
          <w:tcPr>
            <w:vAlign w:val="center"/>
          </w:tcPr>
          <w:p>
            <w:r>
              <w:t>30.8</w:t>
            </w:r>
          </w:p>
        </w:tc>
        <w:tc>
          <w:tcPr>
            <w:vAlign w:val="center"/>
          </w:tcPr>
          <w:p>
            <w:r>
              <w:t>-6.668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28.3</w:t>
            </w:r>
          </w:p>
        </w:tc>
        <w:tc>
          <w:tcPr>
            <w:vAlign w:val="center"/>
          </w:tcPr>
          <w:p>
            <w:r>
              <w:t>0.0</w:t>
            </w:r>
          </w:p>
        </w:tc>
        <w:tc>
          <w:tcPr>
            <w:vAlign w:val="center"/>
          </w:tcPr>
          <w:p>
            <w:r>
              <w:t>3.6</w:t>
            </w:r>
          </w:p>
        </w:tc>
        <w:tc>
          <w:tcPr>
            <w:vAlign w:val="center"/>
          </w:tcPr>
          <w:p>
            <w:r>
              <w:t>0.3</w:t>
            </w:r>
          </w:p>
        </w:tc>
        <w:tc>
          <w:tcPr>
            <w:vAlign w:val="center"/>
          </w:tcPr>
          <w:p>
            <w:r>
              <w:t>24.3</w:t>
            </w:r>
          </w:p>
        </w:tc>
        <w:tc>
          <w:tcPr>
            <w:vAlign w:val="center"/>
          </w:tcPr>
          <w:p>
            <w:r>
              <w:t>30.9</w:t>
            </w:r>
          </w:p>
        </w:tc>
        <w:tc>
          <w:tcPr>
            <w:vAlign w:val="center"/>
          </w:tcPr>
          <w:p>
            <w:r>
              <w:t>-6.564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28.3</w:t>
            </w:r>
          </w:p>
        </w:tc>
        <w:tc>
          <w:tcPr>
            <w:vAlign w:val="center"/>
          </w:tcPr>
          <w:p>
            <w:r>
              <w:t>0.0</w:t>
            </w:r>
          </w:p>
        </w:tc>
        <w:tc>
          <w:tcPr>
            <w:vAlign w:val="center"/>
          </w:tcPr>
          <w:p>
            <w:r>
              <w:t>3.5</w:t>
            </w:r>
          </w:p>
        </w:tc>
        <w:tc>
          <w:tcPr>
            <w:vAlign w:val="center"/>
          </w:tcPr>
          <w:p>
            <w:r>
              <w:t>0.2</w:t>
            </w:r>
          </w:p>
        </w:tc>
        <w:tc>
          <w:tcPr>
            <w:vAlign w:val="center"/>
          </w:tcPr>
          <w:p>
            <w:r>
              <w:t>24.5</w:t>
            </w:r>
          </w:p>
        </w:tc>
        <w:tc>
          <w:tcPr>
            <w:vAlign w:val="center"/>
          </w:tcPr>
          <w:p>
            <w:r>
              <w:t>30.7</w:t>
            </w:r>
          </w:p>
        </w:tc>
        <w:tc>
          <w:tcPr>
            <w:vAlign w:val="center"/>
          </w:tcPr>
          <w:p>
            <w:r>
              <w:t>-6.200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28.3</w:t>
            </w:r>
          </w:p>
        </w:tc>
        <w:tc>
          <w:tcPr>
            <w:vAlign w:val="center"/>
          </w:tcPr>
          <w:p>
            <w:r>
              <w:t>0.0</w:t>
            </w:r>
          </w:p>
        </w:tc>
        <w:tc>
          <w:tcPr>
            <w:vAlign w:val="center"/>
          </w:tcPr>
          <w:p>
            <w:r>
              <w:t>3.5</w:t>
            </w:r>
          </w:p>
        </w:tc>
        <w:tc>
          <w:tcPr>
            <w:vAlign w:val="center"/>
          </w:tcPr>
          <w:p>
            <w:r>
              <w:t>0.2</w:t>
            </w:r>
          </w:p>
        </w:tc>
        <w:tc>
          <w:tcPr>
            <w:vAlign w:val="center"/>
          </w:tcPr>
          <w:p>
            <w:r>
              <w:t>24.6</w:t>
            </w:r>
          </w:p>
        </w:tc>
        <w:tc>
          <w:tcPr>
            <w:vAlign w:val="center"/>
          </w:tcPr>
          <w:p>
            <w:r>
              <w:t>30.2</w:t>
            </w:r>
          </w:p>
        </w:tc>
        <w:tc>
          <w:tcPr>
            <w:vAlign w:val="center"/>
          </w:tcPr>
          <w:p>
            <w:r>
              <w:t>-5.589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28.3</w:t>
            </w:r>
          </w:p>
        </w:tc>
        <w:tc>
          <w:tcPr>
            <w:vAlign w:val="center"/>
          </w:tcPr>
          <w:p>
            <w:r>
              <w:t>0.0</w:t>
            </w:r>
          </w:p>
        </w:tc>
        <w:tc>
          <w:tcPr>
            <w:vAlign w:val="center"/>
          </w:tcPr>
          <w:p>
            <w:r>
              <w:t>3.3</w:t>
            </w:r>
          </w:p>
        </w:tc>
        <w:tc>
          <w:tcPr>
            <w:vAlign w:val="center"/>
          </w:tcPr>
          <w:p>
            <w:r>
              <w:t>0.1</w:t>
            </w:r>
          </w:p>
        </w:tc>
        <w:tc>
          <w:tcPr>
            <w:vAlign w:val="center"/>
          </w:tcPr>
          <w:p>
            <w:r>
              <w:t>24.8</w:t>
            </w:r>
          </w:p>
        </w:tc>
        <w:tc>
          <w:tcPr>
            <w:vAlign w:val="center"/>
          </w:tcPr>
          <w:p>
            <w:r>
              <w:t>29.7</w:t>
            </w:r>
          </w:p>
        </w:tc>
        <w:tc>
          <w:tcPr>
            <w:vAlign w:val="center"/>
          </w:tcPr>
          <w:p>
            <w:r>
              <w:t>-4.901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28.3</w:t>
            </w:r>
          </w:p>
        </w:tc>
        <w:tc>
          <w:tcPr>
            <w:vAlign w:val="center"/>
          </w:tcPr>
          <w:p>
            <w:r>
              <w:t>0.0</w:t>
            </w:r>
          </w:p>
        </w:tc>
        <w:tc>
          <w:tcPr>
            <w:vAlign w:val="center"/>
          </w:tcPr>
          <w:p>
            <w:r>
              <w:t>3.3</w:t>
            </w:r>
          </w:p>
        </w:tc>
        <w:tc>
          <w:tcPr>
            <w:vAlign w:val="center"/>
          </w:tcPr>
          <w:p>
            <w:r>
              <w:t>0.1</w:t>
            </w:r>
          </w:p>
        </w:tc>
        <w:tc>
          <w:tcPr>
            <w:vAlign w:val="center"/>
          </w:tcPr>
          <w:p>
            <w:r>
              <w:t>24.9</w:t>
            </w:r>
          </w:p>
        </w:tc>
        <w:tc>
          <w:tcPr>
            <w:vAlign w:val="center"/>
          </w:tcPr>
          <w:p>
            <w:r>
              <w:t>29.1</w:t>
            </w:r>
          </w:p>
        </w:tc>
        <w:tc>
          <w:tcPr>
            <w:vAlign w:val="center"/>
          </w:tcPr>
          <w:p>
            <w:r>
              <w:t>-4.233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28.3</w:t>
            </w:r>
          </w:p>
        </w:tc>
        <w:tc>
          <w:tcPr>
            <w:vAlign w:val="center"/>
          </w:tcPr>
          <w:p>
            <w:r>
              <w:t>0.0</w:t>
            </w:r>
          </w:p>
        </w:tc>
        <w:tc>
          <w:tcPr>
            <w:vAlign w:val="center"/>
          </w:tcPr>
          <w:p>
            <w:r>
              <w:t>3.2</w:t>
            </w:r>
          </w:p>
        </w:tc>
        <w:tc>
          <w:tcPr>
            <w:vAlign w:val="center"/>
          </w:tcPr>
          <w:p>
            <w:r>
              <w:t>0.1</w:t>
            </w:r>
          </w:p>
        </w:tc>
        <w:tc>
          <w:tcPr>
            <w:vAlign w:val="center"/>
          </w:tcPr>
          <w:p>
            <w:r>
              <w:t>25.0</w:t>
            </w:r>
          </w:p>
        </w:tc>
        <w:tc>
          <w:tcPr>
            <w:vAlign w:val="center"/>
          </w:tcPr>
          <w:p>
            <w:r>
              <w:t>28.6</w:t>
            </w:r>
          </w:p>
        </w:tc>
        <w:tc>
          <w:tcPr>
            <w:vAlign w:val="center"/>
          </w:tcPr>
          <w:p>
            <w:r>
              <w:t>-3.640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46" w:name="平均热岛强度"/>
      <w:bookmarkEnd w:id="46"/>
    </w:p>
    <w:p>
      <w:pPr>
        <w:pStyle w:val="3"/>
        <w:ind w:firstLine="0" w:firstLineChars="0"/>
        <w:rPr>
          <w:lang w:val="en-US"/>
        </w:rPr>
      </w:pPr>
      <w:bookmarkStart w:id="47" w:name="平均热岛强度图片"/>
      <w:bookmarkEnd w:id="47"/>
    </w:p>
    <w:p>
      <w:pPr>
        <w:pStyle w:val="4"/>
      </w:pPr>
      <w:bookmarkStart w:id="48" w:name="_Toc16494785"/>
      <w:r>
        <w:rPr>
          <w:rFonts w:hint="eastAsia"/>
        </w:rPr>
        <w:t>湿球黑球温度</w:t>
      </w:r>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CellMar>
            <w:top w:w="0" w:type="dxa"/>
            <w:left w:w="108" w:type="dxa"/>
            <w:bottom w:w="0" w:type="dxa"/>
            <w:right w:w="108" w:type="dxa"/>
          </w:tblCellMar>
        </w:tblPrEx>
        <w:tc>
          <w:tcPr>
            <w:shd w:val="clear" w:color="auto" w:fill="E6E6E6"/>
            <w:vAlign w:val="center"/>
          </w:tcPr>
          <w:p>
            <w:r>
              <w:t>9:00</w:t>
            </w:r>
          </w:p>
        </w:tc>
        <w:tc>
          <w:tcPr>
            <w:vAlign w:val="center"/>
          </w:tcPr>
          <w:p>
            <w:r>
              <w:t>23.0</w:t>
            </w:r>
          </w:p>
        </w:tc>
        <w:tc>
          <w:tcPr>
            <w:vAlign w:val="center"/>
          </w:tcPr>
          <w:p>
            <w:r>
              <w:t>1.1</w:t>
            </w:r>
          </w:p>
        </w:tc>
        <w:tc>
          <w:tcPr>
            <w:vAlign w:val="center"/>
          </w:tcPr>
          <w:p>
            <w:r>
              <w:t>318.0</w:t>
            </w:r>
          </w:p>
        </w:tc>
        <w:tc>
          <w:tcPr>
            <w:vAlign w:val="center"/>
          </w:tcPr>
          <w:p>
            <w:r>
              <w:t>66.0</w:t>
            </w:r>
          </w:p>
        </w:tc>
        <w:tc>
          <w:tcPr>
            <w:vAlign w:val="center"/>
          </w:tcPr>
          <w:p>
            <w: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23.3</w:t>
            </w:r>
          </w:p>
        </w:tc>
        <w:tc>
          <w:tcPr>
            <w:vAlign w:val="center"/>
          </w:tcPr>
          <w:p>
            <w:r>
              <w:t>1.0</w:t>
            </w:r>
          </w:p>
        </w:tc>
        <w:tc>
          <w:tcPr>
            <w:vAlign w:val="center"/>
          </w:tcPr>
          <w:p>
            <w:r>
              <w:t>448.7</w:t>
            </w:r>
          </w:p>
        </w:tc>
        <w:tc>
          <w:tcPr>
            <w:vAlign w:val="center"/>
          </w:tcPr>
          <w:p>
            <w:r>
              <w:t>93.0</w:t>
            </w:r>
          </w:p>
        </w:tc>
        <w:tc>
          <w:tcPr>
            <w:vAlign w:val="center"/>
          </w:tcPr>
          <w:p>
            <w:r>
              <w:t>26.9</w:t>
            </w:r>
          </w:p>
        </w:tc>
      </w:tr>
      <w:tr>
        <w:tblPrEx>
          <w:tblCellMar>
            <w:top w:w="0" w:type="dxa"/>
            <w:left w:w="108" w:type="dxa"/>
            <w:bottom w:w="0" w:type="dxa"/>
            <w:right w:w="108" w:type="dxa"/>
          </w:tblCellMar>
        </w:tblPrEx>
        <w:tc>
          <w:tcPr>
            <w:shd w:val="clear" w:color="auto" w:fill="E6E6E6"/>
            <w:vAlign w:val="center"/>
          </w:tcPr>
          <w:p>
            <w:r>
              <w:t>11:00</w:t>
            </w:r>
          </w:p>
        </w:tc>
        <w:tc>
          <w:tcPr>
            <w:vAlign w:val="center"/>
          </w:tcPr>
          <w:p>
            <w:r>
              <w:t>23.5</w:t>
            </w:r>
          </w:p>
        </w:tc>
        <w:tc>
          <w:tcPr>
            <w:vAlign w:val="center"/>
          </w:tcPr>
          <w:p>
            <w:r>
              <w:t>1.0</w:t>
            </w:r>
          </w:p>
        </w:tc>
        <w:tc>
          <w:tcPr>
            <w:vAlign w:val="center"/>
          </w:tcPr>
          <w:p>
            <w:r>
              <w:t>494.3</w:t>
            </w:r>
          </w:p>
        </w:tc>
        <w:tc>
          <w:tcPr>
            <w:vAlign w:val="center"/>
          </w:tcPr>
          <w:p>
            <w:r>
              <w:t>102.5</w:t>
            </w:r>
          </w:p>
        </w:tc>
        <w:tc>
          <w:tcPr>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23.9</w:t>
            </w:r>
          </w:p>
        </w:tc>
        <w:tc>
          <w:tcPr>
            <w:vAlign w:val="center"/>
          </w:tcPr>
          <w:p>
            <w:r>
              <w:t>0.9</w:t>
            </w:r>
          </w:p>
        </w:tc>
        <w:tc>
          <w:tcPr>
            <w:vAlign w:val="center"/>
          </w:tcPr>
          <w:p>
            <w:r>
              <w:t>592.9</w:t>
            </w:r>
          </w:p>
        </w:tc>
        <w:tc>
          <w:tcPr>
            <w:vAlign w:val="center"/>
          </w:tcPr>
          <w:p>
            <w:r>
              <w:t>123.0</w:t>
            </w:r>
          </w:p>
        </w:tc>
        <w:tc>
          <w:tcPr>
            <w:vAlign w:val="center"/>
          </w:tcPr>
          <w:p>
            <w:r>
              <w:t>28.5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24.1</w:t>
            </w:r>
          </w:p>
        </w:tc>
        <w:tc>
          <w:tcPr>
            <w:vAlign w:val="center"/>
          </w:tcPr>
          <w:p>
            <w:r>
              <w:t>0.9</w:t>
            </w:r>
          </w:p>
        </w:tc>
        <w:tc>
          <w:tcPr>
            <w:vAlign w:val="center"/>
          </w:tcPr>
          <w:p>
            <w:r>
              <w:t>525.2</w:t>
            </w:r>
          </w:p>
        </w:tc>
        <w:tc>
          <w:tcPr>
            <w:vAlign w:val="center"/>
          </w:tcPr>
          <w:p>
            <w:r>
              <w:t>108.9</w:t>
            </w:r>
          </w:p>
        </w:tc>
        <w:tc>
          <w:tcPr>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24.3</w:t>
            </w:r>
          </w:p>
        </w:tc>
        <w:tc>
          <w:tcPr>
            <w:vAlign w:val="center"/>
          </w:tcPr>
          <w:p>
            <w:r>
              <w:t>0.8</w:t>
            </w:r>
          </w:p>
        </w:tc>
        <w:tc>
          <w:tcPr>
            <w:vAlign w:val="center"/>
          </w:tcPr>
          <w:p>
            <w:r>
              <w:t>506.1</w:t>
            </w:r>
          </w:p>
        </w:tc>
        <w:tc>
          <w:tcPr>
            <w:vAlign w:val="center"/>
          </w:tcPr>
          <w:p>
            <w:r>
              <w:t>104.9</w:t>
            </w:r>
          </w:p>
        </w:tc>
        <w:tc>
          <w:tcPr>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24.5</w:t>
            </w:r>
          </w:p>
        </w:tc>
        <w:tc>
          <w:tcPr>
            <w:vAlign w:val="center"/>
          </w:tcPr>
          <w:p>
            <w:r>
              <w:t>0.8</w:t>
            </w:r>
          </w:p>
        </w:tc>
        <w:tc>
          <w:tcPr>
            <w:vAlign w:val="center"/>
          </w:tcPr>
          <w:p>
            <w:r>
              <w:t>382.3</w:t>
            </w:r>
          </w:p>
        </w:tc>
        <w:tc>
          <w:tcPr>
            <w:vAlign w:val="center"/>
          </w:tcPr>
          <w:p>
            <w:r>
              <w:t>79.3</w:t>
            </w:r>
          </w:p>
        </w:tc>
        <w:tc>
          <w:tcPr>
            <w:vAlign w:val="center"/>
          </w:tcPr>
          <w:p>
            <w:r>
              <w:t>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24.6</w:t>
            </w:r>
          </w:p>
        </w:tc>
        <w:tc>
          <w:tcPr>
            <w:vAlign w:val="center"/>
          </w:tcPr>
          <w:p>
            <w:r>
              <w:t>0.7</w:t>
            </w:r>
          </w:p>
        </w:tc>
        <w:tc>
          <w:tcPr>
            <w:vAlign w:val="center"/>
          </w:tcPr>
          <w:p>
            <w:r>
              <w:t>266.7</w:t>
            </w:r>
          </w:p>
        </w:tc>
        <w:tc>
          <w:tcPr>
            <w:vAlign w:val="center"/>
          </w:tcPr>
          <w:p>
            <w:r>
              <w:t>55.3</w:t>
            </w:r>
          </w:p>
        </w:tc>
        <w:tc>
          <w:tcPr>
            <w:vAlign w:val="center"/>
          </w:tcPr>
          <w:p>
            <w:r>
              <w:t>29.4</w:t>
            </w:r>
          </w:p>
        </w:tc>
      </w:tr>
      <w:tr>
        <w:tblPrEx>
          <w:tblCellMar>
            <w:top w:w="0" w:type="dxa"/>
            <w:left w:w="108" w:type="dxa"/>
            <w:bottom w:w="0" w:type="dxa"/>
            <w:right w:w="108" w:type="dxa"/>
          </w:tblCellMar>
        </w:tblPrEx>
        <w:tc>
          <w:tcPr>
            <w:shd w:val="clear" w:color="auto" w:fill="E6E6E6"/>
            <w:vAlign w:val="center"/>
          </w:tcPr>
          <w:p>
            <w:r>
              <w:t>17:00</w:t>
            </w:r>
          </w:p>
        </w:tc>
        <w:tc>
          <w:tcPr>
            <w:vAlign w:val="center"/>
          </w:tcPr>
          <w:p>
            <w:r>
              <w:t>24.8</w:t>
            </w:r>
          </w:p>
        </w:tc>
        <w:tc>
          <w:tcPr>
            <w:vAlign w:val="center"/>
          </w:tcPr>
          <w:p>
            <w:r>
              <w:t>0.7</w:t>
            </w:r>
          </w:p>
        </w:tc>
        <w:tc>
          <w:tcPr>
            <w:vAlign w:val="center"/>
          </w:tcPr>
          <w:p>
            <w:r>
              <w:t>163.0</w:t>
            </w:r>
          </w:p>
        </w:tc>
        <w:tc>
          <w:tcPr>
            <w:vAlign w:val="center"/>
          </w:tcPr>
          <w:p>
            <w:r>
              <w:t>33.8</w:t>
            </w:r>
          </w:p>
        </w:tc>
        <w:tc>
          <w:tcPr>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24.9</w:t>
            </w:r>
          </w:p>
        </w:tc>
        <w:tc>
          <w:tcPr>
            <w:vAlign w:val="center"/>
          </w:tcPr>
          <w:p>
            <w:r>
              <w:t>0.7</w:t>
            </w:r>
          </w:p>
        </w:tc>
        <w:tc>
          <w:tcPr>
            <w:vAlign w:val="center"/>
          </w:tcPr>
          <w:p>
            <w:r>
              <w:t>73.7</w:t>
            </w:r>
          </w:p>
        </w:tc>
        <w:tc>
          <w:tcPr>
            <w:vAlign w:val="center"/>
          </w:tcPr>
          <w:p>
            <w:r>
              <w:t>15.3</w:t>
            </w:r>
          </w:p>
        </w:tc>
        <w:tc>
          <w:tcPr>
            <w:vAlign w:val="center"/>
          </w:tcPr>
          <w:p>
            <w:r>
              <w:t>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25.0</w:t>
            </w:r>
          </w:p>
        </w:tc>
        <w:tc>
          <w:tcPr>
            <w:vAlign w:val="center"/>
          </w:tcPr>
          <w:p>
            <w:r>
              <w:t>0.7</w:t>
            </w:r>
          </w:p>
        </w:tc>
        <w:tc>
          <w:tcPr>
            <w:vAlign w:val="center"/>
          </w:tcPr>
          <w:p>
            <w:r>
              <w:t>0.0</w:t>
            </w:r>
          </w:p>
        </w:tc>
        <w:tc>
          <w:tcPr>
            <w:vAlign w:val="center"/>
          </w:tcPr>
          <w:p>
            <w:r>
              <w:t>0.0</w:t>
            </w:r>
          </w:p>
        </w:tc>
        <w:tc>
          <w:tcPr>
            <w:vAlign w:val="center"/>
          </w:tcPr>
          <w:p>
            <w:r>
              <w:t>29.0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29.56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49" w:name="湿球黑球温度"/>
      <w:bookmarkEnd w:id="49"/>
    </w:p>
    <w:p>
      <w:pPr>
        <w:pStyle w:val="3"/>
        <w:ind w:firstLine="0" w:firstLineChars="0"/>
        <w:rPr>
          <w:lang w:val="en-US"/>
        </w:rPr>
      </w:pPr>
      <w:bookmarkStart w:id="50" w:name="湿球黑球温度图片"/>
      <w:bookmarkEnd w:id="50"/>
    </w:p>
    <w:p>
      <w:pPr>
        <w:pStyle w:val="2"/>
      </w:pPr>
      <w:bookmarkStart w:id="51" w:name="_Toc16494786"/>
      <w:r>
        <w:rPr>
          <w:rFonts w:hint="eastAsia"/>
        </w:rPr>
        <w:t>结论</w:t>
      </w:r>
      <w:bookmarkEnd w:id="5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52" w:name="结论"/>
            <w:bookmarkEnd w:id="5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53" w:name="平均迎风面积比结论"/>
            <w:r>
              <w:rPr>
                <w:rFonts w:hint="eastAsia"/>
                <w:b/>
              </w:rPr>
              <w:t>满足</w:t>
            </w:r>
            <w:bookmarkEnd w:id="5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54" w:name="活动场地遮阳覆盖率结论"/>
            <w:r>
              <w:rPr>
                <w:rFonts w:hint="eastAsia"/>
                <w:b/>
              </w:rPr>
              <w:t>满足</w:t>
            </w:r>
            <w:bookmarkEnd w:id="5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55" w:name="平均热岛强度结论"/>
            <w:r>
              <w:t>满足</w:t>
            </w:r>
            <w:bookmarkEnd w:id="5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56" w:name="湿球黑球温度结论"/>
            <w:r>
              <w:t>满足</w:t>
            </w:r>
            <w:bookmarkEnd w:id="5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57" w:name="总结论"/>
            <w:r>
              <w:rPr>
                <w:rFonts w:hint="eastAsia"/>
                <w:b/>
              </w:rPr>
              <w:t>满足</w:t>
            </w:r>
            <w:bookmarkEnd w:id="5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ZTU2NjNmY2UwNzI4ODI4ZmJmMjlhZDdjYzQ0ZDkifQ=="/>
  </w:docVars>
  <w:rsids>
    <w:rsidRoot w:val="00217F62"/>
    <w:rsid w:val="001915A3"/>
    <w:rsid w:val="00217F62"/>
    <w:rsid w:val="00A906D8"/>
    <w:rsid w:val="00AB5A74"/>
    <w:rsid w:val="00F071AE"/>
    <w:rsid w:val="6CDB2D10"/>
    <w:rsid w:val="6DF83F2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autoRedefine/>
    <w:semiHidden/>
    <w:unhideWhenUsed/>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autoRedefine/>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autoRedefine/>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autoRedefine/>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page number"/>
    <w:basedOn w:val="22"/>
    <w:autoRedefine/>
    <w:uiPriority w:val="0"/>
  </w:style>
  <w:style w:type="character" w:styleId="25">
    <w:name w:val="Hyperlink"/>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503</Words>
  <Characters>2872</Characters>
  <Lines>23</Lines>
  <Paragraphs>6</Paragraphs>
  <TotalTime>3</TotalTime>
  <ScaleCrop>false</ScaleCrop>
  <LinksUpToDate>false</LinksUpToDate>
  <CharactersWithSpaces>3369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Fleetingtime1384147671</cp:lastModifiedBy>
  <cp:lastPrinted>2411-12-31T16:00:00Z</cp:lastPrinted>
  <dcterms:modified xsi:type="dcterms:W3CDTF">2024-03-13T10:56:34Z</dcterms:modified>
  <dc:title>住区热环境评价性设计计算书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203B8B80DBA74C30AE872715533BCA4E_13</vt:lpwstr>
  </property>
</Properties>
</file>