
<file path=[Content_Types].xml><?xml version="1.0" encoding="utf-8"?>
<Types xmlns="http://schemas.openxmlformats.org/package/2006/content-types">
  <Default Extension="png" ContentType="image/png"/>
  <Default Extension="wmf" ContentType="image/x-wmf"/>
  <Default Extension="wdp" ContentType="image/vnd.ms-photo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>
      <w:pPr>
        <w:spacing w:before="312" w:beforeLines="100" w:line="180" w:lineRule="atLeast"/>
        <w:jc w:val="center"/>
        <w:rPr>
          <w:rFonts w:ascii="微软雅黑" w:hAnsi="微软雅黑" w:eastAsia="微软雅黑"/>
          <w:bCs/>
          <w:spacing w:val="20"/>
          <w:sz w:val="66"/>
          <w:szCs w:val="66"/>
        </w:rPr>
      </w:pPr>
      <w:bookmarkStart w:id="0" w:name="项目名称＃1"/>
      <w:r>
        <w:rPr>
          <w:rFonts w:hint="eastAsia" w:ascii="微软雅黑" w:hAnsi="微软雅黑" w:eastAsia="微软雅黑"/>
          <w:bCs/>
          <w:spacing w:val="20"/>
          <w:sz w:val="66"/>
          <w:szCs w:val="66"/>
        </w:rPr>
        <w:t>新建项目</w:t>
      </w:r>
      <w:bookmarkEnd w:id="0"/>
    </w:p>
    <w:p>
      <w:pPr>
        <w:spacing w:before="312" w:beforeLines="100" w:line="180" w:lineRule="atLeast"/>
        <w:jc w:val="center"/>
        <w:rPr>
          <w:rFonts w:ascii="微软雅黑" w:hAnsi="微软雅黑" w:eastAsia="微软雅黑"/>
          <w:bCs/>
          <w:spacing w:val="20"/>
          <w:sz w:val="66"/>
          <w:szCs w:val="66"/>
          <w:lang w:val="en-US"/>
        </w:rPr>
      </w:pPr>
      <w:r>
        <w:rPr>
          <w:rFonts w:hint="eastAsia" w:ascii="微软雅黑" w:hAnsi="微软雅黑" w:eastAsia="微软雅黑"/>
          <w:bCs/>
          <w:spacing w:val="20"/>
          <w:sz w:val="66"/>
          <w:szCs w:val="66"/>
          <w:lang w:val="en-US"/>
        </w:rPr>
        <w:t>冷负荷计算书</w:t>
      </w: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37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shd w:val="clear" w:color="auto" w:fill="auto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工程名称：</w:t>
            </w:r>
          </w:p>
        </w:tc>
        <w:tc>
          <w:tcPr>
            <w:tcW w:w="3780" w:type="dxa"/>
          </w:tcPr>
          <w:p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新建项目xxxx项目</w:t>
            </w:r>
            <w:bookmarkEnd w:id="1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shd w:val="clear" w:color="auto" w:fill="auto"/>
          </w:tcPr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建设单位：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2" w:name="建设单位"/>
            <w:r>
              <w:rPr>
                <w:rFonts w:hint="eastAsia" w:ascii="宋体" w:hAnsi="宋体"/>
                <w:szCs w:val="21"/>
              </w:rPr>
              <w:t>xxxx有限公司</w:t>
            </w:r>
            <w:bookmarkEnd w:id="2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shd w:val="clear" w:color="auto" w:fill="auto"/>
          </w:tcPr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设计单位：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3" w:name="设计单位"/>
            <w:r>
              <w:rPr>
                <w:rFonts w:hint="eastAsia" w:ascii="宋体" w:hAnsi="宋体"/>
                <w:szCs w:val="21"/>
              </w:rPr>
              <w:t>xxxx建筑设计有限公司</w:t>
            </w:r>
            <w:bookmarkEnd w:id="3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shd w:val="clear" w:color="auto" w:fill="auto"/>
          </w:tcPr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人：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shd w:val="clear" w:color="auto" w:fill="auto"/>
          </w:tcPr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人：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shd w:val="clear" w:color="auto" w:fill="auto"/>
          </w:tcPr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人：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9" w:type="dxa"/>
            <w:shd w:val="clear" w:color="auto" w:fill="auto"/>
          </w:tcPr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计算日期：</w:t>
            </w:r>
          </w:p>
        </w:tc>
        <w:tc>
          <w:tcPr>
            <w:tcW w:w="3780" w:type="dxa"/>
          </w:tcPr>
          <w:p>
            <w:pPr>
              <w:rPr>
                <w:rFonts w:ascii="宋体" w:hAnsi="宋体"/>
                <w:szCs w:val="21"/>
              </w:rPr>
            </w:pPr>
            <w:bookmarkStart w:id="4" w:name="报告日期"/>
            <w:r>
              <w:rPr>
                <w:rFonts w:hint="eastAsia" w:ascii="宋体" w:hAnsi="宋体"/>
                <w:szCs w:val="21"/>
              </w:rPr>
              <w:t>2024年3月8日</w:t>
            </w:r>
            <w:bookmarkEnd w:id="4"/>
          </w:p>
        </w:tc>
      </w:tr>
    </w:tbl>
    <w:p>
      <w:pPr>
        <w:jc w:val="center"/>
        <w:rPr>
          <w:rFonts w:ascii="宋体" w:hAnsi="宋体"/>
          <w:lang w:val="en-US"/>
        </w:rPr>
      </w:pPr>
    </w:p>
    <w:p>
      <w:pPr>
        <w:jc w:val="center"/>
        <w:rPr>
          <w:rFonts w:ascii="宋体" w:hAnsi="宋体"/>
          <w:lang w:val="en-US"/>
        </w:rPr>
      </w:pPr>
      <w:bookmarkStart w:id="5" w:name="二维码"/>
      <w:r>
        <w:drawing>
          <wp:inline distT="0" distB="0" distL="0" distR="0">
            <wp:extent cx="1514475" cy="1514475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5"/>
    <w:p>
      <w:pPr>
        <w:jc w:val="center"/>
        <w:rPr>
          <w:rFonts w:ascii="宋体" w:hAnsi="宋体"/>
          <w:b/>
          <w:bCs/>
          <w:sz w:val="30"/>
          <w:szCs w:val="32"/>
        </w:rPr>
      </w:pPr>
    </w:p>
    <w:p>
      <w:pPr>
        <w:jc w:val="center"/>
        <w:rPr>
          <w:rFonts w:hint="eastAsia"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7F7F7F" w:themeColor="background1" w:themeShade="80" w:sz="4" w:space="0"/>
          <w:left w:val="single" w:color="7F7F7F" w:themeColor="background1" w:themeShade="80" w:sz="4" w:space="0"/>
          <w:bottom w:val="single" w:color="7F7F7F" w:themeColor="background1" w:themeShade="80" w:sz="4" w:space="0"/>
          <w:right w:val="single" w:color="7F7F7F" w:themeColor="background1" w:themeShade="80" w:sz="4" w:space="0"/>
          <w:insideH w:val="single" w:color="7F7F7F" w:themeColor="background1" w:themeShade="80" w:sz="4" w:space="0"/>
          <w:insideV w:val="single" w:color="7F7F7F" w:themeColor="background1" w:themeShade="8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3780"/>
      </w:tblGrid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389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计算软件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left"/>
              <w:rPr>
                <w:rFonts w:ascii="宋体" w:hAnsi="宋体"/>
              </w:rPr>
            </w:pPr>
            <w:bookmarkStart w:id="6" w:name="软件全称"/>
            <w:r>
              <w:rPr>
                <w:rFonts w:hint="eastAsia" w:ascii="宋体" w:hAnsi="宋体"/>
              </w:rPr>
              <w:t>暖通负荷BECH2023</w:t>
            </w:r>
            <w:bookmarkEnd w:id="6"/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38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rPr>
                <w:rFonts w:ascii="宋体" w:hAnsi="宋体"/>
                <w:szCs w:val="18"/>
              </w:rPr>
            </w:pPr>
            <w:bookmarkStart w:id="7" w:name="软件版本"/>
            <w:r>
              <w:rPr>
                <w:rFonts w:hint="eastAsia" w:ascii="宋体" w:hAnsi="宋体"/>
                <w:szCs w:val="18"/>
              </w:rPr>
              <w:t>20220808</w:t>
            </w:r>
            <w:bookmarkEnd w:id="7"/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38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>
        <w:tblPrEx>
          <w:tblBorders>
            <w:top w:val="single" w:color="7F7F7F" w:themeColor="background1" w:themeShade="80" w:sz="4" w:space="0"/>
            <w:left w:val="single" w:color="7F7F7F" w:themeColor="background1" w:themeShade="80" w:sz="4" w:space="0"/>
            <w:bottom w:val="single" w:color="7F7F7F" w:themeColor="background1" w:themeShade="80" w:sz="4" w:space="0"/>
            <w:right w:val="single" w:color="7F7F7F" w:themeColor="background1" w:themeShade="80" w:sz="4" w:space="0"/>
            <w:insideH w:val="single" w:color="7F7F7F" w:themeColor="background1" w:themeShade="80" w:sz="4" w:space="0"/>
            <w:insideV w:val="single" w:color="7F7F7F" w:themeColor="background1" w:themeShade="8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38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授权编码</w:t>
            </w:r>
          </w:p>
        </w:tc>
        <w:tc>
          <w:tcPr>
            <w:tcW w:w="3780" w:type="dxa"/>
            <w:vAlign w:val="center"/>
          </w:tcPr>
          <w:p>
            <w:pPr>
              <w:rPr>
                <w:rFonts w:ascii="宋体" w:hAnsi="宋体"/>
                <w:szCs w:val="18"/>
              </w:rPr>
            </w:pPr>
            <w:bookmarkStart w:id="8" w:name="加密锁号"/>
            <w:bookmarkEnd w:id="8"/>
          </w:p>
        </w:tc>
      </w:tr>
    </w:tbl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37" w:name="_GoBack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_Toc7114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_Toc7114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_Toc24125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1.1 </w:t>
      </w:r>
      <w:r>
        <w:rPr>
          <w:szCs w:val="24"/>
          <w:lang w:val="en-US"/>
        </w:rPr>
        <w:t>概况</w:t>
      </w:r>
      <w:r>
        <w:tab/>
      </w:r>
      <w:r>
        <w:fldChar w:fldCharType="begin"/>
      </w:r>
      <w:r>
        <w:instrText xml:space="preserve"> PAGEREF _Toc24125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_Toc10274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1.2 </w:t>
      </w:r>
      <w:r>
        <w:rPr>
          <w:szCs w:val="24"/>
          <w:lang w:val="en-US"/>
        </w:rPr>
        <w:t>室外温湿度</w:t>
      </w:r>
      <w:r>
        <w:tab/>
      </w:r>
      <w:r>
        <w:fldChar w:fldCharType="begin"/>
      </w:r>
      <w:r>
        <w:instrText xml:space="preserve"> PAGEREF _Toc10274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_Toc7784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1.3 </w:t>
      </w:r>
      <w:r>
        <w:rPr>
          <w:szCs w:val="24"/>
          <w:lang w:val="en-US"/>
        </w:rPr>
        <w:t>太阳辐射照度</w:t>
      </w:r>
      <w:r>
        <w:tab/>
      </w:r>
      <w:r>
        <w:fldChar w:fldCharType="begin"/>
      </w:r>
      <w:r>
        <w:instrText xml:space="preserve"> PAGEREF _Toc7784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_Toc26789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1.4 </w:t>
      </w:r>
      <w:r>
        <w:rPr>
          <w:szCs w:val="24"/>
          <w:lang w:val="en-US"/>
        </w:rPr>
        <w:t>其他气象参数</w:t>
      </w:r>
      <w:r>
        <w:tab/>
      </w:r>
      <w:r>
        <w:fldChar w:fldCharType="begin"/>
      </w:r>
      <w:r>
        <w:instrText xml:space="preserve"> PAGEREF _Toc26789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_Toc18414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2 </w:t>
      </w:r>
      <w:r>
        <w:rPr>
          <w:szCs w:val="24"/>
          <w:lang w:val="en-US"/>
        </w:rPr>
        <w:t>计算依据</w:t>
      </w:r>
      <w:r>
        <w:tab/>
      </w:r>
      <w:r>
        <w:fldChar w:fldCharType="begin"/>
      </w:r>
      <w:r>
        <w:instrText xml:space="preserve"> PAGEREF _Toc18414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_Toc24704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3 </w:t>
      </w:r>
      <w:r>
        <w:rPr>
          <w:szCs w:val="24"/>
          <w:lang w:val="en-US"/>
        </w:rPr>
        <w:t>计算原理</w:t>
      </w:r>
      <w:r>
        <w:tab/>
      </w:r>
      <w:r>
        <w:fldChar w:fldCharType="begin"/>
      </w:r>
      <w:r>
        <w:instrText xml:space="preserve"> PAGEREF _Toc24704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_Toc25144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外窗的日射得热冷负荷</w:t>
      </w:r>
      <w:r>
        <w:tab/>
      </w:r>
      <w:r>
        <w:fldChar w:fldCharType="begin"/>
      </w:r>
      <w:r>
        <w:instrText xml:space="preserve"> PAGEREF _Toc25144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_Toc28345 </w:instrText>
      </w:r>
      <w:r>
        <w:fldChar w:fldCharType="separate"/>
      </w:r>
      <w:r>
        <w:rPr>
          <w:rFonts w:hint="eastAsia"/>
          <w:lang w:val="en-GB"/>
        </w:rPr>
        <w:t xml:space="preserve">3.2 </w:t>
      </w:r>
      <w:r>
        <w:rPr>
          <w:rFonts w:hint="eastAsia"/>
        </w:rPr>
        <w:t>外窗传热的冷负荷</w:t>
      </w:r>
      <w:r>
        <w:tab/>
      </w:r>
      <w:r>
        <w:fldChar w:fldCharType="begin"/>
      </w:r>
      <w:r>
        <w:instrText xml:space="preserve"> PAGEREF _Toc28345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_Toc30822 </w:instrText>
      </w:r>
      <w:r>
        <w:fldChar w:fldCharType="separate"/>
      </w:r>
      <w:r>
        <w:rPr>
          <w:rFonts w:hint="eastAsia"/>
          <w:lang w:val="en-GB"/>
        </w:rPr>
        <w:t xml:space="preserve">3.3 </w:t>
      </w:r>
      <w:r>
        <w:rPr>
          <w:rFonts w:hint="eastAsia"/>
        </w:rPr>
        <w:t>外墙和屋盖的冷负荷</w:t>
      </w:r>
      <w:r>
        <w:tab/>
      </w:r>
      <w:r>
        <w:fldChar w:fldCharType="begin"/>
      </w:r>
      <w:r>
        <w:instrText xml:space="preserve"> PAGEREF _Toc30822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_Toc24900 </w:instrText>
      </w:r>
      <w:r>
        <w:fldChar w:fldCharType="separate"/>
      </w:r>
      <w:r>
        <w:rPr>
          <w:rFonts w:hint="eastAsia"/>
          <w:lang w:val="en-GB"/>
        </w:rPr>
        <w:t xml:space="preserve">3.4 </w:t>
      </w:r>
      <w:r>
        <w:rPr>
          <w:rFonts w:hint="eastAsia"/>
        </w:rPr>
        <w:t>新风冷负荷</w:t>
      </w:r>
      <w:r>
        <w:tab/>
      </w:r>
      <w:r>
        <w:fldChar w:fldCharType="begin"/>
      </w:r>
      <w:r>
        <w:instrText xml:space="preserve"> PAGEREF _Toc24900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_Toc6824 </w:instrText>
      </w:r>
      <w:r>
        <w:fldChar w:fldCharType="separate"/>
      </w:r>
      <w:r>
        <w:rPr>
          <w:rFonts w:hint="eastAsia"/>
          <w:lang w:val="en-GB"/>
        </w:rPr>
        <w:t xml:space="preserve">3.5 </w:t>
      </w:r>
      <w:r>
        <w:rPr>
          <w:rFonts w:hint="eastAsia"/>
        </w:rPr>
        <w:t>内墙、内窗、楼板、地面的冷负荷</w:t>
      </w:r>
      <w:r>
        <w:tab/>
      </w:r>
      <w:r>
        <w:fldChar w:fldCharType="begin"/>
      </w:r>
      <w:r>
        <w:instrText xml:space="preserve"> PAGEREF _Toc6824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_Toc16753 </w:instrText>
      </w:r>
      <w:r>
        <w:fldChar w:fldCharType="separate"/>
      </w:r>
      <w:r>
        <w:rPr>
          <w:rFonts w:hint="eastAsia"/>
          <w:lang w:val="en-GB"/>
        </w:rPr>
        <w:t xml:space="preserve">3.6 </w:t>
      </w:r>
      <w:r>
        <w:rPr>
          <w:rFonts w:hint="eastAsia"/>
        </w:rPr>
        <w:t>渗透空气冷负荷</w:t>
      </w:r>
      <w:r>
        <w:tab/>
      </w:r>
      <w:r>
        <w:fldChar w:fldCharType="begin"/>
      </w:r>
      <w:r>
        <w:instrText xml:space="preserve"> PAGEREF _Toc16753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_Toc1899 </w:instrText>
      </w:r>
      <w:r>
        <w:fldChar w:fldCharType="separate"/>
      </w:r>
      <w:r>
        <w:rPr>
          <w:rFonts w:hint="eastAsia"/>
          <w:lang w:val="en-GB"/>
        </w:rPr>
        <w:t xml:space="preserve">3.7 </w:t>
      </w:r>
      <w:r>
        <w:rPr>
          <w:rFonts w:hint="eastAsia"/>
        </w:rPr>
        <w:t>设备冷负荷</w:t>
      </w:r>
      <w:r>
        <w:tab/>
      </w:r>
      <w:r>
        <w:fldChar w:fldCharType="begin"/>
      </w:r>
      <w:r>
        <w:instrText xml:space="preserve"> PAGEREF _Toc1899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_Toc11496 </w:instrText>
      </w:r>
      <w:r>
        <w:fldChar w:fldCharType="separate"/>
      </w:r>
      <w:r>
        <w:rPr>
          <w:rFonts w:hint="eastAsia"/>
          <w:lang w:val="en-GB"/>
        </w:rPr>
        <w:t xml:space="preserve">3.8 </w:t>
      </w:r>
      <w:r>
        <w:rPr>
          <w:rFonts w:hint="eastAsia"/>
        </w:rPr>
        <w:t>照明冷负荷</w:t>
      </w:r>
      <w:r>
        <w:tab/>
      </w:r>
      <w:r>
        <w:fldChar w:fldCharType="begin"/>
      </w:r>
      <w:r>
        <w:instrText xml:space="preserve"> PAGEREF _Toc11496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_Toc8927 </w:instrText>
      </w:r>
      <w:r>
        <w:fldChar w:fldCharType="separate"/>
      </w:r>
      <w:r>
        <w:rPr>
          <w:rFonts w:hint="eastAsia"/>
          <w:lang w:val="en-GB"/>
        </w:rPr>
        <w:t xml:space="preserve">3.9 </w:t>
      </w:r>
      <w:r>
        <w:rPr>
          <w:rFonts w:hint="eastAsia"/>
        </w:rPr>
        <w:t>人体冷负荷</w:t>
      </w:r>
      <w:r>
        <w:tab/>
      </w:r>
      <w:r>
        <w:fldChar w:fldCharType="begin"/>
      </w:r>
      <w:r>
        <w:instrText xml:space="preserve"> PAGEREF _Toc8927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_Toc26529 </w:instrText>
      </w:r>
      <w:r>
        <w:fldChar w:fldCharType="separate"/>
      </w:r>
      <w:r>
        <w:rPr>
          <w:rFonts w:hint="eastAsia"/>
          <w:lang w:val="en-GB"/>
        </w:rPr>
        <w:t xml:space="preserve">3.10 </w:t>
      </w:r>
      <w:r>
        <w:rPr>
          <w:rFonts w:hint="eastAsia"/>
        </w:rPr>
        <w:t>冷负荷的修正</w:t>
      </w:r>
      <w:r>
        <w:tab/>
      </w:r>
      <w:r>
        <w:fldChar w:fldCharType="begin"/>
      </w:r>
      <w:r>
        <w:instrText xml:space="preserve"> PAGEREF _Toc26529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_Toc22423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4 </w:t>
      </w:r>
      <w:r>
        <w:rPr>
          <w:szCs w:val="24"/>
          <w:lang w:val="en-US"/>
        </w:rPr>
        <w:t>外围护构造</w:t>
      </w:r>
      <w:r>
        <w:tab/>
      </w:r>
      <w:r>
        <w:fldChar w:fldCharType="begin"/>
      </w:r>
      <w:r>
        <w:instrText xml:space="preserve"> PAGEREF _Toc22423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_Toc30322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4.1 </w:t>
      </w:r>
      <w:r>
        <w:rPr>
          <w:szCs w:val="24"/>
          <w:lang w:val="en-US"/>
        </w:rPr>
        <w:t>屋顶</w:t>
      </w:r>
      <w:r>
        <w:tab/>
      </w:r>
      <w:r>
        <w:fldChar w:fldCharType="begin"/>
      </w:r>
      <w:r>
        <w:instrText xml:space="preserve"> PAGEREF _Toc30322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_Toc4444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4.1.1 </w:t>
      </w:r>
      <w:r>
        <w:rPr>
          <w:szCs w:val="24"/>
          <w:lang w:val="en-US"/>
        </w:rPr>
        <w:t>屋顶构造一</w:t>
      </w:r>
      <w:r>
        <w:tab/>
      </w:r>
      <w:r>
        <w:fldChar w:fldCharType="begin"/>
      </w:r>
      <w:r>
        <w:instrText xml:space="preserve"> PAGEREF _Toc4444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_Toc20260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4.2 </w:t>
      </w:r>
      <w:r>
        <w:rPr>
          <w:szCs w:val="24"/>
          <w:lang w:val="en-US"/>
        </w:rPr>
        <w:t>外墙</w:t>
      </w:r>
      <w:r>
        <w:tab/>
      </w:r>
      <w:r>
        <w:fldChar w:fldCharType="begin"/>
      </w:r>
      <w:r>
        <w:instrText xml:space="preserve"> PAGEREF _Toc20260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_Toc19303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4.2.1 </w:t>
      </w:r>
      <w:r>
        <w:rPr>
          <w:szCs w:val="24"/>
          <w:lang w:val="en-US"/>
        </w:rPr>
        <w:t>外墙构造一</w:t>
      </w:r>
      <w:r>
        <w:tab/>
      </w:r>
      <w:r>
        <w:fldChar w:fldCharType="begin"/>
      </w:r>
      <w:r>
        <w:instrText xml:space="preserve"> PAGEREF _Toc19303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_Toc21050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4.3 </w:t>
      </w:r>
      <w:r>
        <w:rPr>
          <w:szCs w:val="24"/>
          <w:lang w:val="en-US"/>
        </w:rPr>
        <w:t>梁柱</w:t>
      </w:r>
      <w:r>
        <w:tab/>
      </w:r>
      <w:r>
        <w:fldChar w:fldCharType="begin"/>
      </w:r>
      <w:r>
        <w:instrText xml:space="preserve"> PAGEREF _Toc21050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_Toc13727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4.3.1 </w:t>
      </w:r>
      <w:r>
        <w:rPr>
          <w:szCs w:val="24"/>
          <w:lang w:val="en-US"/>
        </w:rPr>
        <w:t>热桥柱构造一</w:t>
      </w:r>
      <w:r>
        <w:tab/>
      </w:r>
      <w:r>
        <w:fldChar w:fldCharType="begin"/>
      </w:r>
      <w:r>
        <w:instrText xml:space="preserve"> PAGEREF _Toc13727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_Toc9156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4.4 </w:t>
      </w:r>
      <w:r>
        <w:rPr>
          <w:szCs w:val="24"/>
          <w:lang w:val="en-US"/>
        </w:rPr>
        <w:t>挑空楼板</w:t>
      </w:r>
      <w:r>
        <w:tab/>
      </w:r>
      <w:r>
        <w:fldChar w:fldCharType="begin"/>
      </w:r>
      <w:r>
        <w:instrText xml:space="preserve"> PAGEREF _Toc9156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_Toc20622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4.4.1 </w:t>
      </w:r>
      <w:r>
        <w:rPr>
          <w:szCs w:val="24"/>
          <w:lang w:val="en-US"/>
        </w:rPr>
        <w:t>挑空楼板构造一</w:t>
      </w:r>
      <w:r>
        <w:tab/>
      </w:r>
      <w:r>
        <w:fldChar w:fldCharType="begin"/>
      </w:r>
      <w:r>
        <w:instrText xml:space="preserve"> PAGEREF _Toc20622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_Toc25587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5 </w:t>
      </w:r>
      <w:r>
        <w:rPr>
          <w:szCs w:val="24"/>
          <w:lang w:val="en-US"/>
        </w:rPr>
        <w:t>内围护构造</w:t>
      </w:r>
      <w:r>
        <w:tab/>
      </w:r>
      <w:r>
        <w:fldChar w:fldCharType="begin"/>
      </w:r>
      <w:r>
        <w:instrText xml:space="preserve"> PAGEREF _Toc25587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_Toc7717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5.1 </w:t>
      </w:r>
      <w:r>
        <w:rPr>
          <w:szCs w:val="24"/>
          <w:lang w:val="en-US"/>
        </w:rPr>
        <w:t>内墙</w:t>
      </w:r>
      <w:r>
        <w:tab/>
      </w:r>
      <w:r>
        <w:fldChar w:fldCharType="begin"/>
      </w:r>
      <w:r>
        <w:instrText xml:space="preserve"> PAGEREF _Toc7717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_Toc3417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5.1.1 </w:t>
      </w:r>
      <w:r>
        <w:rPr>
          <w:szCs w:val="24"/>
          <w:lang w:val="en-US"/>
        </w:rPr>
        <w:t>控温房间隔墙构造一</w:t>
      </w:r>
      <w:r>
        <w:tab/>
      </w:r>
      <w:r>
        <w:fldChar w:fldCharType="begin"/>
      </w:r>
      <w:r>
        <w:instrText xml:space="preserve"> PAGEREF _Toc3417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_Toc13711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5.2 </w:t>
      </w:r>
      <w:r>
        <w:rPr>
          <w:szCs w:val="24"/>
          <w:lang w:val="en-US"/>
        </w:rPr>
        <w:t>楼板</w:t>
      </w:r>
      <w:r>
        <w:tab/>
      </w:r>
      <w:r>
        <w:fldChar w:fldCharType="begin"/>
      </w:r>
      <w:r>
        <w:instrText xml:space="preserve"> PAGEREF _Toc13711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_Toc11753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5.2.1 </w:t>
      </w:r>
      <w:r>
        <w:rPr>
          <w:szCs w:val="24"/>
          <w:lang w:val="en-US"/>
        </w:rPr>
        <w:t>控温房间楼板构造一</w:t>
      </w:r>
      <w:r>
        <w:tab/>
      </w:r>
      <w:r>
        <w:fldChar w:fldCharType="begin"/>
      </w:r>
      <w:r>
        <w:instrText xml:space="preserve"> PAGEREF _Toc11753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_Toc15002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6 </w:t>
      </w:r>
      <w:r>
        <w:rPr>
          <w:szCs w:val="24"/>
          <w:lang w:val="en-US"/>
        </w:rPr>
        <w:t>封闭阳台构造</w:t>
      </w:r>
      <w:r>
        <w:tab/>
      </w:r>
      <w:r>
        <w:fldChar w:fldCharType="begin"/>
      </w:r>
      <w:r>
        <w:instrText xml:space="preserve"> PAGEREF _Toc15002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_Toc6453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7 </w:t>
      </w:r>
      <w:r>
        <w:rPr>
          <w:szCs w:val="24"/>
          <w:lang w:val="en-US"/>
        </w:rPr>
        <w:t>地下围护构造</w:t>
      </w:r>
      <w:r>
        <w:tab/>
      </w:r>
      <w:r>
        <w:fldChar w:fldCharType="begin"/>
      </w:r>
      <w:r>
        <w:instrText xml:space="preserve"> PAGEREF _Toc6453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_Toc32138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7.1 </w:t>
      </w:r>
      <w:r>
        <w:rPr>
          <w:szCs w:val="24"/>
          <w:lang w:val="en-US"/>
        </w:rPr>
        <w:t>周边地面</w:t>
      </w:r>
      <w:r>
        <w:tab/>
      </w:r>
      <w:r>
        <w:fldChar w:fldCharType="begin"/>
      </w:r>
      <w:r>
        <w:instrText xml:space="preserve"> PAGEREF _Toc32138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_Toc25992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7.1.1 </w:t>
      </w:r>
      <w:r>
        <w:rPr>
          <w:szCs w:val="24"/>
          <w:lang w:val="en-US"/>
        </w:rPr>
        <w:t>周边地面构造一</w:t>
      </w:r>
      <w:r>
        <w:tab/>
      </w:r>
      <w:r>
        <w:fldChar w:fldCharType="begin"/>
      </w:r>
      <w:r>
        <w:instrText xml:space="preserve"> PAGEREF _Toc25992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_Toc28235 </w:instrText>
      </w:r>
      <w:r>
        <w:fldChar w:fldCharType="separate"/>
      </w:r>
      <w:r>
        <w:rPr>
          <w:rFonts w:hint="eastAsia"/>
          <w:szCs w:val="24"/>
          <w:lang w:val="en-GB"/>
        </w:rPr>
        <w:t xml:space="preserve">7.2 </w:t>
      </w:r>
      <w:r>
        <w:rPr>
          <w:szCs w:val="24"/>
          <w:lang w:val="en-US"/>
        </w:rPr>
        <w:t>非周边地面</w:t>
      </w:r>
      <w:r>
        <w:tab/>
      </w:r>
      <w:r>
        <w:fldChar w:fldCharType="begin"/>
      </w:r>
      <w:r>
        <w:instrText xml:space="preserve"> PAGEREF _Toc28235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_Toc21184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7.2.1 </w:t>
      </w:r>
      <w:r>
        <w:rPr>
          <w:szCs w:val="24"/>
          <w:lang w:val="en-US"/>
        </w:rPr>
        <w:t>非周边地面构造一</w:t>
      </w:r>
      <w:r>
        <w:tab/>
      </w:r>
      <w:r>
        <w:fldChar w:fldCharType="begin"/>
      </w:r>
      <w:r>
        <w:instrText xml:space="preserve"> PAGEREF _Toc21184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_Toc9814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8 </w:t>
      </w:r>
      <w:r>
        <w:rPr>
          <w:szCs w:val="24"/>
          <w:lang w:val="en-US"/>
        </w:rPr>
        <w:t>窗构造</w:t>
      </w:r>
      <w:r>
        <w:tab/>
      </w:r>
      <w:r>
        <w:fldChar w:fldCharType="begin"/>
      </w:r>
      <w:r>
        <w:instrText xml:space="preserve"> PAGEREF _Toc9814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_Toc28958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9 </w:t>
      </w:r>
      <w:r>
        <w:rPr>
          <w:szCs w:val="24"/>
          <w:lang w:val="en-US"/>
        </w:rPr>
        <w:t>门构造</w:t>
      </w:r>
      <w:r>
        <w:tab/>
      </w:r>
      <w:r>
        <w:fldChar w:fldCharType="begin"/>
      </w:r>
      <w:r>
        <w:instrText xml:space="preserve"> PAGEREF _Toc28958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_Toc9946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10 </w:t>
      </w:r>
      <w:r>
        <w:rPr>
          <w:szCs w:val="24"/>
          <w:lang w:val="en-US"/>
        </w:rPr>
        <w:t>负荷指标</w:t>
      </w:r>
      <w:r>
        <w:tab/>
      </w:r>
      <w:r>
        <w:fldChar w:fldCharType="begin"/>
      </w:r>
      <w:r>
        <w:instrText xml:space="preserve"> PAGEREF _Toc9946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_Toc20320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11 </w:t>
      </w:r>
      <w:r>
        <w:rPr>
          <w:szCs w:val="24"/>
          <w:lang w:val="en-US"/>
        </w:rPr>
        <w:t>建筑按系统汇总表</w:t>
      </w:r>
      <w:r>
        <w:tab/>
      </w:r>
      <w:r>
        <w:fldChar w:fldCharType="begin"/>
      </w:r>
      <w:r>
        <w:instrText xml:space="preserve"> PAGEREF _Toc20320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_Toc5329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12 </w:t>
      </w:r>
      <w:r>
        <w:rPr>
          <w:szCs w:val="24"/>
          <w:lang w:val="en-US"/>
        </w:rPr>
        <w:t>建筑按楼层汇总表</w:t>
      </w:r>
      <w:r>
        <w:tab/>
      </w:r>
      <w:r>
        <w:fldChar w:fldCharType="begin"/>
      </w:r>
      <w:r>
        <w:instrText xml:space="preserve"> PAGEREF _Toc5329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_Toc29410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13 </w:t>
      </w:r>
      <w:r>
        <w:rPr>
          <w:szCs w:val="24"/>
          <w:lang w:val="en-US"/>
        </w:rPr>
        <w:t>新风负荷表</w:t>
      </w:r>
      <w:r>
        <w:tab/>
      </w:r>
      <w:r>
        <w:fldChar w:fldCharType="begin"/>
      </w:r>
      <w:r>
        <w:instrText xml:space="preserve"> PAGEREF _Toc29410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_Toc19253 </w:instrText>
      </w:r>
      <w:r>
        <w:fldChar w:fldCharType="separate"/>
      </w:r>
      <w:r>
        <w:rPr>
          <w:rFonts w:hint="eastAsia"/>
          <w:szCs w:val="24"/>
          <w:lang w:val="en-US"/>
        </w:rPr>
        <w:t xml:space="preserve">14 </w:t>
      </w:r>
      <w:r>
        <w:rPr>
          <w:szCs w:val="24"/>
          <w:lang w:val="en-US"/>
        </w:rPr>
        <w:t>房间冷负荷详细表</w:t>
      </w:r>
      <w:r>
        <w:tab/>
      </w:r>
      <w:r>
        <w:fldChar w:fldCharType="begin"/>
      </w:r>
      <w:r>
        <w:instrText xml:space="preserve"> PAGEREF _Toc19253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>
      <w:pPr>
        <w:pStyle w:val="16"/>
      </w:pPr>
      <w:r>
        <w:fldChar w:fldCharType="end"/>
      </w:r>
      <w:bookmarkEnd w:id="137"/>
    </w:p>
    <w:p>
      <w:pPr>
        <w:rPr>
          <w:lang w:val="en-US"/>
        </w:rPr>
      </w:pPr>
    </w:p>
    <w:p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titlePg/>
          <w:docGrid w:type="lines" w:linePitch="312" w:charSpace="0"/>
        </w:sectPr>
      </w:pPr>
    </w:p>
    <w:p>
      <w:pPr>
        <w:pStyle w:val="2"/>
        <w:rPr>
          <w:szCs w:val="24"/>
          <w:lang w:val="en-US"/>
        </w:rPr>
      </w:pPr>
      <w:bookmarkStart w:id="9" w:name="_Toc7114"/>
      <w:r>
        <w:rPr>
          <w:szCs w:val="24"/>
          <w:lang w:val="en-US"/>
        </w:rPr>
        <w:t>建筑概况</w:t>
      </w:r>
      <w:bookmarkEnd w:id="9"/>
    </w:p>
    <w:p>
      <w:pPr>
        <w:pStyle w:val="4"/>
        <w:rPr>
          <w:szCs w:val="24"/>
          <w:lang w:val="en-US"/>
        </w:rPr>
      </w:pPr>
      <w:bookmarkStart w:id="10" w:name="_Toc24125"/>
      <w:r>
        <w:rPr>
          <w:szCs w:val="24"/>
          <w:lang w:val="en-US"/>
        </w:rPr>
        <w:t>概况</w:t>
      </w:r>
      <w:bookmarkEnd w:id="1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地理位置</w:t>
            </w:r>
          </w:p>
        </w:tc>
        <w:tc>
          <w:tcPr>
            <w:gridSpan w:val="2"/>
            <w:vAlign w:val="center"/>
          </w:tcPr>
          <w:p>
            <w:r>
              <w:t>广西-南宁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北纬</w:t>
            </w:r>
          </w:p>
        </w:tc>
        <w:tc>
          <w:tcPr>
            <w:gridSpan w:val="2"/>
            <w:vAlign w:val="center"/>
          </w:tcPr>
          <w:p>
            <w:r>
              <w:t>22.82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东经</w:t>
            </w:r>
          </w:p>
        </w:tc>
        <w:tc>
          <w:tcPr>
            <w:gridSpan w:val="2"/>
            <w:vAlign w:val="center"/>
          </w:tcPr>
          <w:p>
            <w:r>
              <w:t>108.35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建筑名称</w:t>
            </w:r>
          </w:p>
        </w:tc>
        <w:tc>
          <w:tcPr>
            <w:gridSpan w:val="2"/>
            <w:vAlign w:val="center"/>
          </w:tcPr>
          <w:p>
            <w:r>
              <w:t>新建项目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建筑面积</w:t>
            </w:r>
          </w:p>
        </w:tc>
        <w:tc>
          <w:tcPr>
            <w:vAlign w:val="center"/>
          </w:tcPr>
          <w:p>
            <w:r>
              <w:t>地上 507.01 ㎡</w:t>
            </w:r>
          </w:p>
        </w:tc>
        <w:tc>
          <w:tcPr>
            <w:vAlign w:val="center"/>
          </w:tcPr>
          <w:p>
            <w:r>
              <w:t>地下 0.00 ㎡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建筑高度</w:t>
            </w:r>
          </w:p>
        </w:tc>
        <w:tc>
          <w:tcPr>
            <w:vAlign w:val="center"/>
          </w:tcPr>
          <w:p>
            <w:r>
              <w:t>地上 26.50 m</w:t>
            </w:r>
          </w:p>
        </w:tc>
        <w:tc>
          <w:tcPr>
            <w:vAlign w:val="center"/>
          </w:tcPr>
          <w:p>
            <w:r>
              <w:t>地下 0.00 m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建筑层数</w:t>
            </w:r>
          </w:p>
        </w:tc>
        <w:tc>
          <w:tcPr>
            <w:vAlign w:val="center"/>
          </w:tcPr>
          <w:p>
            <w:r>
              <w:t>地上 6</w:t>
            </w:r>
          </w:p>
        </w:tc>
        <w:tc>
          <w:tcPr>
            <w:vAlign w:val="center"/>
          </w:tcPr>
          <w:p>
            <w:r>
              <w:t>地下 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北向角度</w:t>
            </w:r>
          </w:p>
        </w:tc>
        <w:tc>
          <w:tcPr>
            <w:gridSpan w:val="2"/>
            <w:vAlign w:val="center"/>
          </w:tcPr>
          <w:p>
            <w:r>
              <w:t>90°</w:t>
            </w:r>
          </w:p>
        </w:tc>
      </w:tr>
    </w:tbl>
    <w:p>
      <w:pPr>
        <w:pStyle w:val="4"/>
        <w:rPr>
          <w:szCs w:val="24"/>
          <w:lang w:val="en-US"/>
        </w:rPr>
      </w:pPr>
      <w:bookmarkStart w:id="11" w:name="_Toc10274"/>
      <w:r>
        <w:rPr>
          <w:szCs w:val="24"/>
          <w:lang w:val="en-US"/>
        </w:rPr>
        <w:t>室外温湿度</w:t>
      </w:r>
      <w:bookmarkEnd w:id="1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6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  <w:gridCol w:w="622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01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02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04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05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06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07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08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09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温度(℃)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湿度(%)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19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21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22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温度(℃)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湿度(%)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61</w:t>
            </w:r>
          </w:p>
        </w:tc>
      </w:tr>
    </w:tbl>
    <w:p>
      <w:pPr>
        <w:pStyle w:val="4"/>
        <w:rPr>
          <w:szCs w:val="24"/>
          <w:lang w:val="en-US"/>
        </w:rPr>
      </w:pPr>
      <w:bookmarkStart w:id="12" w:name="_Toc7784"/>
      <w:r>
        <w:rPr>
          <w:szCs w:val="24"/>
          <w:lang w:val="en-US"/>
        </w:rPr>
        <w:t>太阳辐射照度</w:t>
      </w:r>
      <w:bookmarkEnd w:id="1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565"/>
        <w:gridCol w:w="701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>
            <w:pPr>
              <w:jc w:val="center"/>
            </w:pPr>
            <w:r>
              <w:t>朝向/时刻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06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07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08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09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16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17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18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>
            <w:r>
              <w:t>朝向</w:t>
            </w:r>
          </w:p>
        </w:tc>
        <w:tc>
          <w:tcPr>
            <w:vMerge w:val="restart"/>
            <w:vAlign w:val="center"/>
          </w:tcPr>
          <w:p>
            <w:r>
              <w:t>S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SE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E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NE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N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restart"/>
            <w:vAlign w:val="center"/>
          </w:tcPr>
          <w:p>
            <w:r>
              <w:t>H</w:t>
            </w:r>
          </w:p>
        </w:tc>
        <w:tc>
          <w:tcPr>
            <w:vAlign w:val="center"/>
          </w:tcPr>
          <w:p>
            <w:r>
              <w:t>直射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散射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35</w:t>
            </w:r>
          </w:p>
        </w:tc>
      </w:tr>
    </w:tbl>
    <w:p>
      <w:pPr>
        <w:pStyle w:val="4"/>
        <w:rPr>
          <w:szCs w:val="24"/>
          <w:lang w:val="en-US"/>
        </w:rPr>
      </w:pPr>
      <w:bookmarkStart w:id="13" w:name="_Toc26789"/>
      <w:r>
        <w:rPr>
          <w:szCs w:val="24"/>
          <w:lang w:val="en-US"/>
        </w:rPr>
        <w:t>其他气象参数</w:t>
      </w:r>
      <w:bookmarkEnd w:id="1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大气透明度等级</w:t>
            </w:r>
          </w:p>
        </w:tc>
        <w:tc>
          <w:tcPr>
            <w:vAlign w:val="center"/>
          </w:tcPr>
          <w:p>
            <w:r>
              <w:t>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夏季室外计算日平均温度twp（℃）</w:t>
            </w:r>
          </w:p>
        </w:tc>
        <w:tc>
          <w:tcPr>
            <w:vAlign w:val="center"/>
          </w:tcPr>
          <w:p>
            <w:r>
              <w:t>30.7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夏季室外计算干球温度twg（℃）</w:t>
            </w:r>
          </w:p>
        </w:tc>
        <w:tc>
          <w:tcPr>
            <w:vAlign w:val="center"/>
          </w:tcPr>
          <w:p>
            <w:r>
              <w:t>34.5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室外计算日较差⊿tr（℃）</w:t>
            </w:r>
          </w:p>
        </w:tc>
        <w:tc>
          <w:tcPr>
            <w:vAlign w:val="center"/>
          </w:tcPr>
          <w:p>
            <w:r>
              <w:t>7.3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夏季围护结构外表面换热系数αw(W/㎡· K)</w:t>
            </w:r>
          </w:p>
        </w:tc>
        <w:tc>
          <w:tcPr>
            <w:vAlign w:val="center"/>
          </w:tcPr>
          <w:p>
            <w:r>
              <w:t>18.6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围护结构内表面换热系数αn(W/㎡· K)</w:t>
            </w:r>
          </w:p>
        </w:tc>
        <w:tc>
          <w:tcPr>
            <w:vAlign w:val="center"/>
          </w:tcPr>
          <w:p>
            <w:r>
              <w:t>8.7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外墙太阳辐射吸收系数ρ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屋顶太阳辐射吸收系数ρ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夏季空气调节室外计算湿球温度（℃）</w:t>
            </w:r>
          </w:p>
        </w:tc>
        <w:tc>
          <w:tcPr>
            <w:vAlign w:val="center"/>
          </w:tcPr>
          <w:p>
            <w:r>
              <w:t>27.9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r>
              <w:t>夏季大气压力(Pa)</w:t>
            </w:r>
          </w:p>
        </w:tc>
        <w:tc>
          <w:tcPr>
            <w:vAlign w:val="center"/>
          </w:tcPr>
          <w:p>
            <w:r>
              <w:t>99550</w:t>
            </w:r>
          </w:p>
        </w:tc>
      </w:tr>
    </w:tbl>
    <w:p>
      <w:pPr>
        <w:pStyle w:val="2"/>
        <w:rPr>
          <w:szCs w:val="24"/>
          <w:lang w:val="en-US"/>
        </w:rPr>
      </w:pPr>
      <w:bookmarkStart w:id="14" w:name="_Toc18414"/>
      <w:r>
        <w:rPr>
          <w:szCs w:val="24"/>
          <w:lang w:val="en-US"/>
        </w:rPr>
        <w:t>计算依据</w:t>
      </w:r>
      <w:bookmarkEnd w:id="14"/>
    </w:p>
    <w:p>
      <w:pPr>
        <w:rPr>
          <w:szCs w:val="24"/>
          <w:lang w:val="en-US"/>
        </w:rPr>
      </w:pPr>
      <w:r>
        <w:rPr>
          <w:szCs w:val="24"/>
          <w:lang w:val="en-US"/>
        </w:rPr>
        <w:t xml:space="preserve">1.《民用建筑供暖通风与空气调节设计规范》GB50736-2012.中国建筑工业出版社，2012 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2.《空气调节设计手册》.中国建筑工业出版社，2005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3.《实用供热空调设计手册》.中国建筑工业出版社，2008</w:t>
      </w:r>
    </w:p>
    <w:p>
      <w:pPr>
        <w:rPr>
          <w:szCs w:val="24"/>
          <w:lang w:val="en-US"/>
        </w:rPr>
      </w:pPr>
      <w:r>
        <w:rPr>
          <w:szCs w:val="24"/>
          <w:lang w:val="en-US"/>
        </w:rPr>
        <w:t>4.《公共建筑节能设计标准》GB50189-2015.中国建筑工业出版社，2015</w:t>
      </w:r>
    </w:p>
    <w:p>
      <w:pPr>
        <w:pStyle w:val="2"/>
        <w:rPr>
          <w:szCs w:val="24"/>
          <w:lang w:val="en-US"/>
        </w:rPr>
      </w:pPr>
      <w:bookmarkStart w:id="15" w:name="_Toc24704"/>
      <w:r>
        <w:rPr>
          <w:szCs w:val="24"/>
          <w:lang w:val="en-US"/>
        </w:rPr>
        <w:t>计算原理</w:t>
      </w:r>
      <w:bookmarkEnd w:id="15"/>
    </w:p>
    <w:p>
      <w:pPr>
        <w:pStyle w:val="4"/>
        <w:spacing w:line="240" w:lineRule="atLeast"/>
      </w:pPr>
      <w:bookmarkStart w:id="16" w:name="_Toc240280508"/>
      <w:bookmarkStart w:id="17" w:name="_Toc495932542"/>
      <w:bookmarkStart w:id="18" w:name="_Toc239133098"/>
      <w:bookmarkStart w:id="19" w:name="_Toc179707474"/>
      <w:bookmarkStart w:id="20" w:name="_Toc179712227"/>
      <w:bookmarkStart w:id="21" w:name="_Toc178151562"/>
      <w:bookmarkStart w:id="22" w:name="_Toc178152068"/>
      <w:bookmarkStart w:id="23" w:name="_Toc25144"/>
      <w:bookmarkStart w:id="24" w:name="_Toc453593136"/>
      <w:r>
        <w:rPr>
          <w:rFonts w:hint="eastAsia"/>
        </w:rPr>
        <w:t>外窗的日射得热冷负荷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</w:t>
      </w:r>
      <w:r>
        <w:rPr>
          <w:color w:val="000000"/>
          <w:position w:val="-12"/>
          <w:lang w:val="en-US"/>
        </w:rPr>
        <w:object>
          <v:shape id="_x0000_i1025" o:spt="75" type="#_x0000_t75" style="height:18pt;width:300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color w:val="000000"/>
        </w:rPr>
        <w:t xml:space="preserve">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公式中：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——各小时的日射冷负荷（W）；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——该时刻玻璃窗被遮挡部分的面积（㎡）；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bookmarkStart w:id="25" w:name="OLE_LINK5"/>
      <w:r>
        <w:rPr>
          <w:kern w:val="2"/>
          <w:szCs w:val="24"/>
          <w:vertAlign w:val="subscript"/>
          <w:lang w:val="en-US"/>
        </w:rPr>
        <w:t>Xsc</w:t>
      </w:r>
      <w:r>
        <w:rPr>
          <w:rFonts w:hint="eastAsia"/>
          <w:kern w:val="2"/>
          <w:szCs w:val="24"/>
          <w:lang w:val="en-US"/>
        </w:rPr>
        <w:t>——窗的自遮阳系数；</w:t>
      </w:r>
      <w:bookmarkEnd w:id="25"/>
      <w:bookmarkStart w:id="26" w:name="OLE_LINK4"/>
      <w:bookmarkStart w:id="27" w:name="OLE_LINK1"/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m</w:t>
      </w:r>
      <w:r>
        <w:rPr>
          <w:rFonts w:hint="eastAsia"/>
          <w:kern w:val="2"/>
          <w:szCs w:val="24"/>
          <w:lang w:val="en-US"/>
        </w:rPr>
        <w:t>——窗的有效面积系数:</w:t>
      </w:r>
    </w:p>
    <w:bookmarkEnd w:id="26"/>
    <w:bookmarkEnd w:id="27"/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b</w:t>
      </w:r>
      <w:r>
        <w:rPr>
          <w:rFonts w:hint="eastAsia"/>
          <w:kern w:val="2"/>
          <w:szCs w:val="24"/>
          <w:lang w:val="en-US"/>
        </w:rPr>
        <w:t>——窗玻璃修正系数，即不是3mm厚的单层普通玻璃时的修正系数：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>——窗的内遮阳的遮阳系数，无内遮阳时</w:t>
      </w: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z</w:t>
      </w:r>
      <w:r>
        <w:rPr>
          <w:rFonts w:hint="eastAsia"/>
          <w:kern w:val="2"/>
          <w:szCs w:val="24"/>
          <w:lang w:val="en-US"/>
        </w:rPr>
        <w:t xml:space="preserve"> =1：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rFonts w:hint="eastAsia"/>
          <w:kern w:val="2"/>
          <w:szCs w:val="24"/>
          <w:lang w:val="en-US"/>
        </w:rPr>
        <w:t>——窗日射得热量最大值(W/㎡)，如果选择了“精确计算坡屋顶等的太阳辐射得热”，将按坡屋顶的太阳辐射总照度计算方法计算精确值。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C</w:t>
      </w:r>
      <w:r>
        <w:rPr>
          <w:kern w:val="2"/>
          <w:szCs w:val="24"/>
          <w:vertAlign w:val="subscript"/>
          <w:lang w:val="en-US"/>
        </w:rPr>
        <w:t>CL</w:t>
      </w:r>
      <w:r>
        <w:rPr>
          <w:rFonts w:hint="eastAsia"/>
          <w:kern w:val="2"/>
          <w:szCs w:val="24"/>
          <w:lang w:val="en-US"/>
        </w:rPr>
        <w:t>——冷负荷系数，分无内遮阳和有内遮阳；</w:t>
      </w:r>
    </w:p>
    <w:p>
      <w:pPr>
        <w:widowControl w:val="0"/>
        <w:ind w:firstLine="210" w:firstLineChars="1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c`max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——北向（北纬20°、25°地区为南向）日射得热量的最大值；</w:t>
      </w:r>
    </w:p>
    <w:p>
      <w:pPr>
        <w:widowControl w:val="0"/>
        <w:ind w:firstLine="210" w:firstLineChars="1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（J</w:t>
      </w:r>
      <w:r>
        <w:rPr>
          <w:kern w:val="2"/>
          <w:szCs w:val="24"/>
          <w:vertAlign w:val="subscript"/>
          <w:lang w:val="en-US"/>
        </w:rPr>
        <w:t>CL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——该时刻北向（北纬20°、25°地区为南向）的冷负荷系数。</w:t>
      </w:r>
    </w:p>
    <w:p>
      <w:pPr>
        <w:pStyle w:val="4"/>
        <w:spacing w:line="240" w:lineRule="atLeast"/>
        <w:rPr>
          <w:rFonts w:hint="eastAsia"/>
        </w:rPr>
      </w:pPr>
      <w:bookmarkStart w:id="28" w:name="_Toc239133099"/>
      <w:bookmarkStart w:id="29" w:name="_Toc453593137"/>
      <w:bookmarkStart w:id="30" w:name="_Toc179712228"/>
      <w:bookmarkStart w:id="31" w:name="_Toc240280509"/>
      <w:bookmarkStart w:id="32" w:name="_Toc179707475"/>
      <w:bookmarkStart w:id="33" w:name="_Toc178152069"/>
      <w:bookmarkStart w:id="34" w:name="_Toc178151563"/>
      <w:bookmarkStart w:id="35" w:name="_Toc495932543"/>
      <w:bookmarkStart w:id="36" w:name="_Toc28345"/>
      <w:r>
        <w:rPr>
          <w:rFonts w:hint="eastAsia"/>
        </w:rPr>
        <w:t>外窗传热的冷负荷</w:t>
      </w:r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>
      <w:r>
        <w:t xml:space="preserve">      </w:t>
      </w:r>
      <w:r>
        <w:rPr>
          <w:rFonts w:hint="eastAsia" w:ascii="宋体" w:hAnsi="宋体" w:cs="宋体"/>
          <w:color w:val="000000"/>
          <w:szCs w:val="18"/>
        </w:rPr>
        <w:t>外窗传到室内的热量，按照对流和辐射两种方式传入室内，由于玻璃窗传热温差的波动幅度比太阳辐射热的波动幅度小很多，因此室内蓄热的温度波衰减对冷负荷影响很小，可认为外窗传热的得热即为冷负荷。</w:t>
      </w:r>
    </w:p>
    <w:p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   </w:t>
      </w:r>
      <w:r>
        <w:rPr>
          <w:color w:val="000000"/>
          <w:position w:val="-14"/>
          <w:lang w:val="en-US"/>
        </w:rPr>
        <w:object>
          <v:shape id="_x0000_i1026" o:spt="75" type="#_x0000_t75" style="height:18.75pt;width:132.7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2</w:t>
      </w:r>
      <w:r>
        <w:rPr>
          <w:rFonts w:hint="eastAsia"/>
          <w:kern w:val="2"/>
          <w:szCs w:val="24"/>
          <w:lang w:val="en-US"/>
        </w:rPr>
        <w:t>——玻璃窗传热冷负荷（W）；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——玻璃窗传热系数的修正系数；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——窗玻璃的传热系数[ W/（㎡·℃） ]；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C</w:t>
      </w:r>
      <w:r>
        <w:rPr>
          <w:rFonts w:hint="eastAsia"/>
          <w:kern w:val="2"/>
          <w:szCs w:val="24"/>
          <w:lang w:val="en-US"/>
        </w:rPr>
        <w:t>——包括窗框的窗的面积（㎡）；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——室内计算温度（℃）；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——夏季室外逐时温差，</w:t>
      </w:r>
    </w:p>
    <w:p>
      <w:pPr>
        <w:ind w:firstLine="0" w:firstLineChars="0"/>
        <w:jc w:val="center"/>
        <w:rPr>
          <w:rFonts w:hint="eastAsia"/>
          <w:color w:val="000000"/>
          <w:sz w:val="24"/>
          <w:szCs w:val="24"/>
        </w:rPr>
      </w:pPr>
      <w:r>
        <w:rPr>
          <w:color w:val="000000"/>
          <w:position w:val="-12"/>
          <w:sz w:val="24"/>
          <w:szCs w:val="24"/>
        </w:rPr>
        <w:object>
          <v:shape id="_x0000_i1027" o:spt="75" type="#_x0000_t75" style="height:18.75pt;width:54.7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β——室外温度逐时变化系数；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kern w:val="2"/>
          <w:szCs w:val="24"/>
          <w:vertAlign w:val="subscript"/>
          <w:lang w:val="en-US"/>
        </w:rPr>
        <w:t>r</w:t>
      </w:r>
      <w:r>
        <w:rPr>
          <w:rFonts w:hint="eastAsia"/>
          <w:kern w:val="2"/>
          <w:szCs w:val="24"/>
          <w:lang w:val="en-US"/>
        </w:rPr>
        <w:t>——夏季室外计算平均日较差（℃）。</w:t>
      </w:r>
    </w:p>
    <w:p>
      <w:pPr>
        <w:pStyle w:val="4"/>
        <w:spacing w:line="240" w:lineRule="atLeast"/>
        <w:rPr>
          <w:rFonts w:hint="eastAsia"/>
        </w:rPr>
      </w:pPr>
      <w:bookmarkStart w:id="37" w:name="_Toc178152070"/>
      <w:bookmarkStart w:id="38" w:name="_Toc178151564"/>
      <w:bookmarkStart w:id="39" w:name="_Toc240280510"/>
      <w:bookmarkStart w:id="40" w:name="_Toc453593138"/>
      <w:bookmarkStart w:id="41" w:name="_Toc495932544"/>
      <w:bookmarkStart w:id="42" w:name="_Toc179707476"/>
      <w:bookmarkStart w:id="43" w:name="_Toc239133100"/>
      <w:bookmarkStart w:id="44" w:name="_Toc179712229"/>
      <w:bookmarkStart w:id="45" w:name="_Toc30822"/>
      <w:r>
        <w:rPr>
          <w:rFonts w:hint="eastAsia"/>
        </w:rPr>
        <w:t>外墙和屋盖的冷负荷</w:t>
      </w:r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</w:p>
    <w:p>
      <w:pPr>
        <w:adjustRightInd w:val="0"/>
        <w:spacing w:line="360" w:lineRule="auto"/>
        <w:jc w:val="distribute"/>
        <w:rPr>
          <w:color w:val="000000"/>
        </w:rPr>
      </w:pPr>
      <w:r>
        <w:rPr>
          <w:color w:val="000000"/>
        </w:rPr>
        <w:t xml:space="preserve">               </w:t>
      </w:r>
      <w:r>
        <w:rPr>
          <w:color w:val="000000"/>
          <w:position w:val="-14"/>
          <w:lang w:val="en-US"/>
        </w:rPr>
        <w:object>
          <v:shape id="_x0000_i1028" o:spt="75" type="#_x0000_t75" style="height:18.75pt;width:164.2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color w:val="000000"/>
        </w:rPr>
        <w:t xml:space="preserve">                         </w:t>
      </w:r>
      <w:r>
        <w:rPr>
          <w:rFonts w:ascii="宋体" w:hAnsi="宋体" w:cs="宋体"/>
          <w:color w:val="000000"/>
          <w:szCs w:val="18"/>
        </w:rPr>
        <w:t xml:space="preserve"> </w:t>
      </w:r>
    </w:p>
    <w:p>
      <w:pPr>
        <w:adjustRightInd w:val="0"/>
        <w:spacing w:line="360" w:lineRule="auto"/>
        <w:rPr>
          <w:color w:val="000000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——屋盖（或外墙）“计算时间”的冷负荷（W）；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——屋盖（或外墙）的传热系数[ W/（㎡·℃） ]；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——屋盖（或外墙）的面积(㎡)；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wp</w:t>
      </w:r>
      <w:r>
        <w:rPr>
          <w:rFonts w:hint="eastAsia"/>
          <w:kern w:val="2"/>
          <w:szCs w:val="24"/>
          <w:lang w:val="en-US"/>
        </w:rPr>
        <w:t>——夏季空气调节室外计算日平均温度（℃）；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fp</w:t>
      </w:r>
      <w:r>
        <w:rPr>
          <w:rFonts w:hint="eastAsia"/>
          <w:kern w:val="2"/>
          <w:szCs w:val="24"/>
          <w:lang w:val="en-US"/>
        </w:rPr>
        <w:t>——屋盖（或外墙）外表面辐射平均温升（℃），</w:t>
      </w:r>
    </w:p>
    <w:p>
      <w:pPr>
        <w:widowControl w:val="0"/>
        <w:ind w:firstLine="420" w:firstLineChars="20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29" o:spt="75" type="#_x0000_t75" style="height:36pt;width:60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J</w:t>
      </w:r>
      <w:r>
        <w:rPr>
          <w:kern w:val="2"/>
          <w:szCs w:val="24"/>
          <w:vertAlign w:val="subscript"/>
          <w:lang w:val="en-US"/>
        </w:rPr>
        <w:t>p</w:t>
      </w:r>
      <w:r>
        <w:rPr>
          <w:rFonts w:hint="eastAsia"/>
          <w:kern w:val="2"/>
          <w:szCs w:val="24"/>
          <w:lang w:val="en-US"/>
        </w:rPr>
        <w:t>——太阳辐射日平均照度(W/㎡)；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α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——围护结构外表面换热系数， 一般可取18.6W/（㎡·℃）；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ρ——围护结构外表面太阳辐射吸收系数 。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t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——室内计算温度。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——屋盖（或外墙）“作用时间”室外温度波动部分的综合负荷温差（℃）；</w:t>
      </w:r>
    </w:p>
    <w:p>
      <w:pPr>
        <w:pStyle w:val="4"/>
        <w:spacing w:line="240" w:lineRule="atLeast"/>
      </w:pPr>
      <w:bookmarkStart w:id="46" w:name="_Toc179712230"/>
      <w:bookmarkStart w:id="47" w:name="_Toc178152071"/>
      <w:bookmarkStart w:id="48" w:name="_Toc179707477"/>
      <w:bookmarkStart w:id="49" w:name="_Toc178151565"/>
      <w:bookmarkStart w:id="50" w:name="_Toc453593139"/>
      <w:bookmarkStart w:id="51" w:name="_Toc240280511"/>
      <w:bookmarkStart w:id="52" w:name="_Toc239133101"/>
      <w:r>
        <w:rPr>
          <w:rFonts w:hint="eastAsia"/>
        </w:rPr>
        <w:t xml:space="preserve"> </w:t>
      </w:r>
      <w:bookmarkStart w:id="53" w:name="_Toc495932545"/>
      <w:bookmarkStart w:id="54" w:name="_Toc24900"/>
      <w:r>
        <w:rPr>
          <w:rFonts w:hint="eastAsia"/>
        </w:rPr>
        <w:t>新风冷负荷</w:t>
      </w:r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>
      <w:pPr>
        <w:adjustRightInd w:val="0"/>
        <w:spacing w:line="360" w:lineRule="auto"/>
        <w:jc w:val="center"/>
        <w:rPr>
          <w:color w:val="000000"/>
          <w:lang w:val="en-US"/>
        </w:rPr>
      </w:pPr>
      <w:r>
        <w:rPr>
          <w:rFonts w:hint="eastAsia"/>
          <w:color w:val="000000"/>
        </w:rPr>
        <w:t>新风全热冷负荷＝（室外焓－室内焓）×新风量</w:t>
      </w:r>
      <w:r>
        <w:rPr>
          <w:color w:val="000000"/>
          <w:position w:val="-10"/>
          <w:lang w:val="en-US"/>
        </w:rPr>
        <w:object>
          <v:shape id="_x0000_i1030" o:spt="75" type="#_x0000_t75" style="height:15.75pt;width:8.2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</w:rPr>
        <w:t>１－</w:t>
      </w:r>
      <w:r>
        <w:rPr>
          <w:rFonts w:hint="eastAsia" w:ascii="MS PGothic" w:hAnsi="MS PGothic" w:eastAsia="MS PGothic"/>
          <w:color w:val="000000"/>
        </w:rPr>
        <w:t>ηζ</w:t>
      </w:r>
      <w:r>
        <w:rPr>
          <w:color w:val="000000"/>
          <w:position w:val="-10"/>
          <w:lang w:val="en-US"/>
        </w:rPr>
        <w:object>
          <v:shape id="_x0000_i1031" o:spt="75" type="#_x0000_t75" style="height:15.75pt;width:8.25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</w:p>
    <w:p>
      <w:pPr>
        <w:adjustRightInd w:val="0"/>
        <w:spacing w:line="360" w:lineRule="auto"/>
        <w:rPr>
          <w:rFonts w:ascii="宋体" w:hAnsi="宋体" w:cs="宋体"/>
          <w:color w:val="000000"/>
          <w:szCs w:val="18"/>
        </w:rPr>
      </w:pPr>
      <w:r>
        <w:rPr>
          <w:color w:val="000000"/>
          <w:lang w:val="en-US"/>
        </w:rPr>
        <w:t>式中：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η——全热回收效率（0～１），没有热回收时为０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ζ——排风比例（０～１），即热回收装置的排风量/新风量。</w:t>
      </w:r>
    </w:p>
    <w:p>
      <w:pPr>
        <w:pStyle w:val="4"/>
        <w:spacing w:line="240" w:lineRule="atLeast"/>
        <w:rPr>
          <w:rFonts w:hint="eastAsia"/>
        </w:rPr>
      </w:pPr>
      <w:bookmarkStart w:id="55" w:name="_Toc453593140"/>
      <w:bookmarkStart w:id="56" w:name="_Toc239133102"/>
      <w:bookmarkStart w:id="57" w:name="_Toc178151566"/>
      <w:bookmarkStart w:id="58" w:name="_Toc240280512"/>
      <w:bookmarkStart w:id="59" w:name="_Toc179712231"/>
      <w:bookmarkStart w:id="60" w:name="_Toc179707478"/>
      <w:bookmarkStart w:id="61" w:name="_Toc178152072"/>
      <w:r>
        <w:t xml:space="preserve"> </w:t>
      </w:r>
      <w:bookmarkStart w:id="62" w:name="_Toc495932546"/>
      <w:bookmarkStart w:id="63" w:name="_Toc6824"/>
      <w:r>
        <w:rPr>
          <w:rFonts w:hint="eastAsia"/>
        </w:rPr>
        <w:t>内墙、内窗、楼板、地面的冷负荷</w:t>
      </w:r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</w:p>
    <w:p>
      <w:pPr>
        <w:widowControl w:val="0"/>
        <w:ind w:firstLine="420" w:firstLineChars="200"/>
        <w:jc w:val="both"/>
        <w:textAlignment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内墙、内窗、楼板等围护结构，当邻室为非空气调节房间时，可用“设计温度法”或“按发热情况计算法”，其中，按发热情况计算法是邻室温度采用邻室平均温度，其冷负荷按下式计算：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object>
          <v:shape id="_x0000_i1032" o:spt="75" type="#_x0000_t75" style="height:18.75pt;width:119.2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——通过内墙或楼板传热的冷负荷（W）；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rFonts w:hint="eastAsia"/>
          <w:kern w:val="2"/>
          <w:szCs w:val="24"/>
          <w:lang w:val="en-US"/>
        </w:rPr>
        <w:t>——内墙或楼板的传热系数[ W/（㎡·℃） ]；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rFonts w:hint="eastAsia"/>
          <w:kern w:val="2"/>
          <w:szCs w:val="24"/>
          <w:lang w:val="en-US"/>
        </w:rPr>
        <w:t>——内墙或楼板的面积(㎡)；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△t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——邻室平均温度与夏季空气调节室外计算日平均温度的差值（℃）；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“设计温度法”则采用温差传热计算，冷负荷按下式：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position w:val="-10"/>
          <w:szCs w:val="24"/>
          <w:lang w:val="en-US"/>
        </w:rPr>
        <w:object>
          <v:shape id="_x0000_i1033" o:spt="75" type="#_x0000_t75" style="height:18pt;width:96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</w:p>
    <w:p>
      <w:pPr>
        <w:widowControl w:val="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</w:t>
      </w:r>
      <w:r>
        <w:rPr>
          <w:rFonts w:hint="eastAsia"/>
          <w:kern w:val="2"/>
          <w:szCs w:val="24"/>
          <w:vertAlign w:val="subscript"/>
          <w:lang w:val="en-US"/>
        </w:rPr>
        <w:t>ls</w:t>
      </w:r>
      <w:r>
        <w:rPr>
          <w:rFonts w:hint="eastAsia"/>
          <w:kern w:val="2"/>
          <w:szCs w:val="24"/>
          <w:lang w:val="en-US"/>
        </w:rPr>
        <w:t>——邻室设计温度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内墙、内窗、楼板等围护结构的邻室为空气调节房间时，其室温与本房间温差小于3℃时，不计算冷负荷，反之亦按上式计算。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地面的冷负荷，舒适性空调房间夏季地面冷负荷可不必计算，对于工艺性空调房间，有外墙时，仅计算距外墙2M以内的地面传热作为冷负荷。即：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4" o:spt="75" type="#_x0000_t75" style="height:18.75pt;width:10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——地面冷负荷（W）；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K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——地面传热系数，无保温地面取K=0.52 W/（㎡·℃）；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F</w:t>
      </w:r>
      <w:r>
        <w:rPr>
          <w:kern w:val="2"/>
          <w:szCs w:val="24"/>
          <w:vertAlign w:val="subscript"/>
          <w:lang w:val="en-US"/>
        </w:rPr>
        <w:t>D</w:t>
      </w:r>
      <w:r>
        <w:rPr>
          <w:rFonts w:hint="eastAsia"/>
          <w:kern w:val="2"/>
          <w:szCs w:val="24"/>
          <w:lang w:val="en-US"/>
        </w:rPr>
        <w:t>——距外墙2米以内的地面面积(㎡)；</w:t>
      </w:r>
    </w:p>
    <w:p>
      <w:pPr>
        <w:pStyle w:val="4"/>
        <w:spacing w:line="240" w:lineRule="atLeast"/>
        <w:rPr>
          <w:rFonts w:hint="eastAsia"/>
        </w:rPr>
      </w:pPr>
      <w:bookmarkStart w:id="64" w:name="_Toc179707479"/>
      <w:bookmarkStart w:id="65" w:name="_Toc178152073"/>
      <w:bookmarkStart w:id="66" w:name="_Toc178151567"/>
      <w:bookmarkStart w:id="67" w:name="_Toc453593141"/>
      <w:bookmarkStart w:id="68" w:name="_Toc239133103"/>
      <w:bookmarkStart w:id="69" w:name="_Toc240280513"/>
      <w:bookmarkStart w:id="70" w:name="_Toc179712232"/>
      <w:r>
        <w:t xml:space="preserve"> </w:t>
      </w:r>
      <w:bookmarkStart w:id="71" w:name="_Toc495932547"/>
      <w:bookmarkStart w:id="72" w:name="_Toc16753"/>
      <w:r>
        <w:rPr>
          <w:rFonts w:hint="eastAsia"/>
        </w:rPr>
        <w:t>渗透空气冷负荷</w:t>
      </w:r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空调房间在室内维持不了正压的情况下，可以按以下方法计算：  </w:t>
      </w:r>
    </w:p>
    <w:p>
      <w:pPr>
        <w:widowControl w:val="0"/>
        <w:ind w:firstLine="420" w:firstLine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通过空调房间外门渗入室内空气量按下式估算：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5" o:spt="75" type="#_x0000_t75" style="height:17.25pt;width:41.2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>
      <w:pPr>
        <w:widowControl w:val="0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——门渗透空气量（m³/h）；</w:t>
      </w:r>
    </w:p>
    <w:p>
      <w:pPr>
        <w:widowControl w:val="0"/>
        <w:ind w:left="420" w:leftChars="200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——每小时通过的人数（</w:t>
      </w: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perscript"/>
          <w:lang w:val="en-US"/>
        </w:rPr>
        <w:t>-1</w:t>
      </w:r>
      <w:r>
        <w:rPr>
          <w:rFonts w:hint="eastAsia"/>
          <w:kern w:val="2"/>
          <w:szCs w:val="24"/>
          <w:lang w:val="en-US"/>
        </w:rPr>
        <w:t>）；</w:t>
      </w:r>
      <w:r>
        <w:rPr>
          <w:rFonts w:hint="eastAsia"/>
          <w:kern w:val="2"/>
          <w:szCs w:val="24"/>
          <w:lang w:val="en-US"/>
        </w:rPr>
        <w:br w:type="textWrapping"/>
      </w:r>
      <w:r>
        <w:rPr>
          <w:kern w:val="2"/>
          <w:szCs w:val="24"/>
          <w:lang w:val="en-US"/>
        </w:rPr>
        <w:t>V</w:t>
      </w:r>
      <w:r>
        <w:rPr>
          <w:kern w:val="2"/>
          <w:szCs w:val="24"/>
          <w:vertAlign w:val="subscript"/>
          <w:lang w:val="en-US"/>
        </w:rPr>
        <w:t>1</w:t>
      </w:r>
      <w:r>
        <w:rPr>
          <w:rFonts w:hint="eastAsia"/>
          <w:kern w:val="2"/>
          <w:szCs w:val="24"/>
          <w:lang w:val="en-US"/>
        </w:rPr>
        <w:t>——每进入一人渗入的空气量（m³）。</w:t>
      </w:r>
    </w:p>
    <w:p>
      <w:pPr>
        <w:widowControl w:val="0"/>
        <w:ind w:left="420" w:left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（2）渗透空气量的全热冷负荷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W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按下式计算：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6" o:spt="75" type="#_x0000_t75" style="height:30.75pt;width:99.75pt;" o:ole="t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L</w:t>
      </w:r>
      <w:r>
        <w:rPr>
          <w:rFonts w:hint="eastAsia"/>
          <w:kern w:val="2"/>
          <w:szCs w:val="24"/>
          <w:lang w:val="en-US"/>
        </w:rPr>
        <w:t>——渗入室内的总空气量（</w:t>
      </w:r>
      <w:r>
        <w:rPr>
          <w:rFonts w:hint="eastAsia"/>
          <w:kern w:val="2"/>
          <w:szCs w:val="24"/>
          <w:lang w:val="en-US"/>
        </w:rPr>
        <w:object>
          <v:shape id="_x0000_i1037" o:spt="75" type="#_x0000_t75" style="height:15pt;width:25.5pt;" o:ole="t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>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——夏季空调室外计算干球温度下的空气密度，一般可取ρ</w:t>
      </w:r>
      <w:r>
        <w:rPr>
          <w:rFonts w:hint="eastAsia"/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 xml:space="preserve"> ＝1.13kg/m³；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——在夏季室外计算参数时的焓值；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——室内空气的焓值。</w:t>
      </w:r>
    </w:p>
    <w:p>
      <w:pPr>
        <w:widowControl w:val="0"/>
        <w:ind w:left="420" w:leftChars="200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</w:t>
      </w:r>
      <w:r>
        <w:rPr>
          <w:kern w:val="2"/>
          <w:szCs w:val="24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）渗透空气量的湿负荷</w:t>
      </w:r>
      <w:r>
        <w:rPr>
          <w:kern w:val="2"/>
          <w:szCs w:val="24"/>
          <w:lang w:val="en-US"/>
        </w:rPr>
        <w:t>W（kg）</w:t>
      </w:r>
      <w:r>
        <w:rPr>
          <w:rFonts w:hint="eastAsia"/>
          <w:kern w:val="2"/>
          <w:szCs w:val="24"/>
          <w:lang w:val="en-US"/>
        </w:rPr>
        <w:t>按下式计算：</w:t>
      </w:r>
    </w:p>
    <w:p>
      <w:pPr>
        <w:widowControl w:val="0"/>
        <w:jc w:val="center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38" o:spt="75" type="#_x0000_t75" style="height:30.75pt;width:106.5pt;" o:ole="t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w</w:t>
      </w:r>
      <w:r>
        <w:rPr>
          <w:rFonts w:hint="eastAsia"/>
          <w:kern w:val="2"/>
          <w:szCs w:val="24"/>
          <w:lang w:val="en-US"/>
        </w:rPr>
        <w:t>——在夏季室外计算参数时的含湿量（g/kg）；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h</w:t>
      </w:r>
      <w:r>
        <w:rPr>
          <w:kern w:val="2"/>
          <w:szCs w:val="24"/>
          <w:vertAlign w:val="subscript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——室内空气的含湿量（g/kg）。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其他符号与上同。</w:t>
      </w:r>
    </w:p>
    <w:p>
      <w:pPr>
        <w:pStyle w:val="4"/>
        <w:spacing w:line="240" w:lineRule="atLeast"/>
        <w:rPr>
          <w:rFonts w:hint="eastAsia"/>
        </w:rPr>
      </w:pPr>
      <w:bookmarkStart w:id="73" w:name="_Toc179712233"/>
      <w:bookmarkStart w:id="74" w:name="_Toc239133104"/>
      <w:bookmarkStart w:id="75" w:name="_Toc240280514"/>
      <w:bookmarkStart w:id="76" w:name="_Toc178152074"/>
      <w:bookmarkStart w:id="77" w:name="_Toc178151568"/>
      <w:bookmarkStart w:id="78" w:name="_Toc179707480"/>
      <w:bookmarkStart w:id="79" w:name="_Toc453593142"/>
      <w:r>
        <w:t xml:space="preserve"> </w:t>
      </w:r>
      <w:bookmarkStart w:id="80" w:name="_Toc495932548"/>
      <w:bookmarkStart w:id="81" w:name="_Toc1899"/>
      <w:r>
        <w:rPr>
          <w:rFonts w:hint="eastAsia"/>
        </w:rPr>
        <w:t>设备冷负荷</w:t>
      </w:r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（1）热设备及热表面散热形成的计算时刻冷负荷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39" o:spt="75" type="#_x0000_t75" style="height:18pt;width:62.25pt;" o:ole="t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T——热源投入使用的时刻（点钟）；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τ-T——从热源投入使用的时刻算起到计算时刻的时间（h）；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——τ-T时间设备、器具散热的冷负荷系数；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（2）热设备及热表面散热形成的冷负荷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（W），当不能确定连续使用的小时数时，按照下式估算：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0" o:spt="75" type="#_x0000_t75" style="height:18.75pt;width:51pt;" o:ole="t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——蓄热系数、热源的冷负荷与计算散热量之比；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——热源的计算散热量（W）。</w:t>
      </w:r>
    </w:p>
    <w:p>
      <w:pPr>
        <w:pStyle w:val="4"/>
        <w:spacing w:line="240" w:lineRule="atLeast"/>
        <w:rPr>
          <w:rFonts w:hint="eastAsia"/>
        </w:rPr>
      </w:pPr>
      <w:bookmarkStart w:id="82" w:name="_Toc239133105"/>
      <w:bookmarkStart w:id="83" w:name="_Toc179712234"/>
      <w:bookmarkStart w:id="84" w:name="_Toc179707481"/>
      <w:bookmarkStart w:id="85" w:name="_Toc178152075"/>
      <w:bookmarkStart w:id="86" w:name="_Toc453593143"/>
      <w:bookmarkStart w:id="87" w:name="_Toc240280515"/>
      <w:bookmarkStart w:id="88" w:name="_Toc178151569"/>
      <w:r>
        <w:t xml:space="preserve"> </w:t>
      </w:r>
      <w:bookmarkStart w:id="89" w:name="_Toc495932549"/>
      <w:bookmarkStart w:id="90" w:name="_Toc11496"/>
      <w:r>
        <w:rPr>
          <w:rFonts w:hint="eastAsia"/>
        </w:rPr>
        <w:t>照明冷负荷</w:t>
      </w:r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照明设备散热形成的计算时刻的冷负荷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1" o:spt="75" type="#_x0000_t75" style="height:18pt;width:62.25pt;" o:ole="t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  <o:OLEObject Type="Embed" ProgID="Equation.3" ShapeID="_x0000_i1041" DrawAspect="Content" ObjectID="_1468075741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T——开灯时刻（点钟）；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τ-T——从开灯时刻算起到计算时刻的时间（h）；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——τ-T时间照明散热的冷负荷系数；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</w:t>
      </w:r>
      <w:r>
        <w:rPr>
          <w:rFonts w:hint="eastAsia"/>
          <w:kern w:val="2"/>
          <w:szCs w:val="24"/>
          <w:lang w:val="en-US"/>
        </w:rPr>
        <w:t>——照明设备的散热量（W）；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当不能确定照明灯开关的确切时间时，照明的冷负荷可按照下式估算：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2" o:spt="75" type="#_x0000_t75" style="height:18.75pt;width:57.75pt;" o:ole="t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  <o:OLEObject Type="Embed" ProgID="Equation.3" ShapeID="_x0000_i1042" DrawAspect="Content" ObjectID="_1468075742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4</w:t>
      </w:r>
      <w:r>
        <w:rPr>
          <w:rFonts w:hint="eastAsia"/>
          <w:kern w:val="2"/>
          <w:szCs w:val="24"/>
          <w:lang w:val="en-US"/>
        </w:rPr>
        <w:t>——蓄热系数，明装荧光灯可取0.9，暗装的荧光灯或明装的白炽灯可取0.85。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ascii="宋体" w:hAnsi="宋体"/>
          <w:kern w:val="2"/>
          <w:szCs w:val="21"/>
          <w:lang w:val="en-US"/>
        </w:rPr>
        <w:t>Qs（</w:t>
      </w:r>
      <w:r>
        <w:rPr>
          <w:rFonts w:hint="eastAsia" w:ascii="宋体" w:hAnsi="宋体"/>
          <w:kern w:val="2"/>
          <w:szCs w:val="21"/>
          <w:lang w:val="en-US"/>
        </w:rPr>
        <w:t>W</w:t>
      </w:r>
      <w:r>
        <w:rPr>
          <w:rFonts w:ascii="宋体" w:hAnsi="宋体"/>
          <w:kern w:val="2"/>
          <w:szCs w:val="21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的值需要自行计算，计算过程如下：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对于明装的白炽灯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3" o:spt="75" type="#_x0000_t75" style="height:18pt;width:77.25pt;" o:ole="t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  <o:OLEObject Type="Embed" ProgID="Equation.3" ShapeID="_x0000_i1043" DrawAspect="Content" ObjectID="_1468075743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对于荧光灯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4" o:spt="75" type="#_x0000_t75" style="height:18pt;width:92.25pt;" o:ole="t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  <o:OLEObject Type="Embed" ProgID="Equation.3" ShapeID="_x0000_i1044" DrawAspect="Content" ObjectID="_1468075744">
            <o:LockedField>false</o:LockedField>
          </o:OLEObject>
        </w:object>
      </w:r>
      <w:r>
        <w:rPr>
          <w:rFonts w:hint="eastAsia"/>
          <w:kern w:val="2"/>
          <w:szCs w:val="24"/>
          <w:lang w:val="en-US"/>
        </w:rPr>
        <w:t xml:space="preserve">                          </w:t>
      </w:r>
      <w:r>
        <w:rPr>
          <w:kern w:val="2"/>
          <w:szCs w:val="24"/>
          <w:lang w:val="en-US"/>
        </w:rPr>
        <w:t xml:space="preserve"> </w: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——照明设备的安装功率(kW)；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3</w:t>
      </w:r>
      <w:r>
        <w:rPr>
          <w:rFonts w:hint="eastAsia"/>
          <w:kern w:val="2"/>
          <w:szCs w:val="24"/>
          <w:lang w:val="en-US"/>
        </w:rPr>
        <w:t>——同时使用系数，一般为0.5~0.8；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6</w:t>
      </w:r>
      <w:r>
        <w:rPr>
          <w:rFonts w:hint="eastAsia"/>
          <w:kern w:val="2"/>
          <w:szCs w:val="24"/>
          <w:lang w:val="en-US"/>
        </w:rPr>
        <w:t>——整流器消耗功率的系数，当整流器在空调房间内时取1.2；当整流器在吊顶内时取1.0；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n</w:t>
      </w:r>
      <w:r>
        <w:rPr>
          <w:kern w:val="2"/>
          <w:szCs w:val="24"/>
          <w:vertAlign w:val="subscript"/>
          <w:lang w:val="en-US"/>
        </w:rPr>
        <w:t>7</w:t>
      </w:r>
      <w:r>
        <w:rPr>
          <w:rFonts w:hint="eastAsia"/>
          <w:kern w:val="2"/>
          <w:szCs w:val="24"/>
          <w:lang w:val="en-US"/>
        </w:rPr>
        <w:t>——安装系数，明装时取1.0；暗装且灯罩上部穿有小孔时取0.5~0.6；暗装灯罩上无孔时，视吊顶内的通风情况取0.6~0.8；灯具回风时可取0.35.</w:t>
      </w:r>
    </w:p>
    <w:p>
      <w:pPr>
        <w:pStyle w:val="4"/>
        <w:spacing w:line="240" w:lineRule="atLeast"/>
        <w:rPr>
          <w:rFonts w:hint="eastAsia"/>
        </w:rPr>
      </w:pPr>
      <w:bookmarkStart w:id="91" w:name="_Toc239133106"/>
      <w:bookmarkStart w:id="92" w:name="_Toc178152076"/>
      <w:bookmarkStart w:id="93" w:name="_Toc178151570"/>
      <w:bookmarkStart w:id="94" w:name="_Toc179707482"/>
      <w:bookmarkStart w:id="95" w:name="_Toc453593144"/>
      <w:bookmarkStart w:id="96" w:name="_Toc179712235"/>
      <w:bookmarkStart w:id="97" w:name="_Toc240280516"/>
      <w:r>
        <w:t xml:space="preserve"> </w:t>
      </w:r>
      <w:bookmarkStart w:id="98" w:name="_Toc495932550"/>
      <w:bookmarkStart w:id="99" w:name="_Toc8927"/>
      <w:r>
        <w:rPr>
          <w:rFonts w:hint="eastAsia"/>
        </w:rPr>
        <w:t>人体冷负荷</w:t>
      </w:r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（1）显热冷负荷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人体的显热散热量中辐射部分约占2/3，存在蓄热滞后的问题。显热散热形成的计算时刻冷负荷</w:t>
      </w:r>
      <w:r>
        <w:rPr>
          <w:rFonts w:ascii="宋体" w:hAnsi="宋体"/>
          <w:kern w:val="2"/>
          <w:szCs w:val="21"/>
          <w:lang w:val="en-US"/>
        </w:rPr>
        <w:t>Q</w:t>
      </w:r>
      <w:r>
        <w:rPr>
          <w:rFonts w:hint="eastAsia"/>
          <w:kern w:val="2"/>
          <w:szCs w:val="24"/>
          <w:vertAlign w:val="subscript"/>
          <w:lang w:val="en-US"/>
        </w:rPr>
        <w:t>τ</w:t>
      </w:r>
      <w:r>
        <w:rPr>
          <w:rFonts w:hint="eastAsia"/>
          <w:kern w:val="2"/>
          <w:szCs w:val="24"/>
          <w:lang w:val="en-US"/>
        </w:rPr>
        <w:t>（W），可按照下式计算：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5" o:spt="75" type="#_x0000_t75" style="height:18pt;width:62.25pt;" o:ole="t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  <o:OLEObject Type="Embed" ProgID="Equation.3" ShapeID="_x0000_i1045" DrawAspect="Content" ObjectID="_1468075745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T——人员进入房间的时刻（点钟）；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τ-T——从人员进入房间时算起到计算时刻的时间（h）；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X</w:t>
      </w:r>
      <w:r>
        <w:rPr>
          <w:rFonts w:hint="eastAsia"/>
          <w:kern w:val="2"/>
          <w:szCs w:val="24"/>
          <w:vertAlign w:val="subscript"/>
          <w:lang w:val="en-US"/>
        </w:rPr>
        <w:t>τ-T</w:t>
      </w:r>
      <w:r>
        <w:rPr>
          <w:rFonts w:hint="eastAsia"/>
          <w:kern w:val="2"/>
          <w:szCs w:val="24"/>
          <w:lang w:val="en-US"/>
        </w:rPr>
        <w:t>——τ-T时间人体显热散热的冷负荷系数；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——人体显热的散热量（W）；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人体显热的散热量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s</w:t>
      </w:r>
      <w:r>
        <w:rPr>
          <w:rFonts w:hint="eastAsia"/>
          <w:kern w:val="2"/>
          <w:szCs w:val="24"/>
          <w:lang w:val="en-US"/>
        </w:rPr>
        <w:t>（W）可按下式计算：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6" o:spt="75" type="#_x0000_t75" style="height:18pt;width:51pt;" o:ole="t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  <o:OLEObject Type="Embed" ProgID="Equation.3" ShapeID="_x0000_i1046" DrawAspect="Content" ObjectID="_1468075746">
            <o:LockedField>false</o:LockedField>
          </o:OLEObject>
        </w:object>
      </w:r>
    </w:p>
    <w:p>
      <w:pPr>
        <w:widowControl w:val="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n</w:t>
      </w:r>
      <w:r>
        <w:rPr>
          <w:rFonts w:hint="eastAsia"/>
          <w:kern w:val="2"/>
          <w:szCs w:val="24"/>
          <w:lang w:val="en-US"/>
        </w:rPr>
        <w:t>——空调房间内的人员总数；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φ——群集系数，男子、女子、儿童折合成成年男子的散热比例；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x</w:t>
      </w:r>
      <w:r>
        <w:rPr>
          <w:rFonts w:hint="eastAsia"/>
          <w:kern w:val="2"/>
          <w:szCs w:val="24"/>
          <w:lang w:val="en-US"/>
        </w:rPr>
        <w:t>——每名成年男子的显热散热量（W）。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（2）潜热冷负荷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潜热冷负荷按即时负荷考虑，即与潜热散热量相等。潜热冷负荷</w:t>
      </w:r>
      <w:r>
        <w:rPr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按下式计算：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object>
          <v:shape id="_x0000_i1047" o:spt="75" type="#_x0000_t75" style="height:18.75pt;width:51pt;" o:ole="t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  <o:OLEObject Type="Embed" ProgID="Equation.3" ShapeID="_x0000_i1047" DrawAspect="Content" ObjectID="_1468075747">
            <o:LockedField>false</o:LockedField>
          </o:OLEObject>
        </w:objec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式中：.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q</w:t>
      </w:r>
      <w:r>
        <w:rPr>
          <w:kern w:val="2"/>
          <w:szCs w:val="24"/>
          <w:vertAlign w:val="subscript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——每名男子的潜热散热量（W） 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其余符号与（1）中所述一致。</w:t>
      </w:r>
    </w:p>
    <w:p>
      <w:pPr>
        <w:widowControl w:val="0"/>
        <w:ind w:firstLine="420" w:firstLineChars="20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（</w:t>
      </w:r>
      <w:r>
        <w:rPr>
          <w:rFonts w:hint="eastAsia"/>
          <w:kern w:val="2"/>
          <w:szCs w:val="24"/>
          <w:lang w:val="en-US"/>
        </w:rPr>
        <w:t>3</w:t>
      </w:r>
      <w:r>
        <w:rPr>
          <w:kern w:val="2"/>
          <w:szCs w:val="24"/>
          <w:lang w:val="en-US"/>
        </w:rPr>
        <w:t>）</w:t>
      </w:r>
      <w:r>
        <w:rPr>
          <w:rFonts w:hint="eastAsia"/>
          <w:kern w:val="2"/>
          <w:szCs w:val="24"/>
          <w:lang w:val="en-US"/>
        </w:rPr>
        <w:t>人体全热冷负荷</w:t>
      </w:r>
      <w:r>
        <w:rPr>
          <w:kern w:val="2"/>
          <w:szCs w:val="24"/>
          <w:lang w:val="en-US"/>
        </w:rPr>
        <w:t>Q</w:t>
      </w:r>
      <w:r>
        <w:rPr>
          <w:rFonts w:hint="eastAsia"/>
          <w:kern w:val="2"/>
          <w:szCs w:val="24"/>
          <w:lang w:val="en-US"/>
        </w:rPr>
        <w:t>（W）</w:t>
      </w:r>
    </w:p>
    <w:p>
      <w:pPr>
        <w:widowControl w:val="0"/>
        <w:ind w:firstLine="420" w:firstLineChars="200"/>
        <w:jc w:val="both"/>
        <w:rPr>
          <w:rFonts w:hint="eastAsia"/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该负荷</w:t>
      </w:r>
      <w:r>
        <w:rPr>
          <w:rFonts w:hint="eastAsia"/>
          <w:kern w:val="2"/>
          <w:szCs w:val="24"/>
          <w:lang w:val="en-US"/>
        </w:rPr>
        <w:t>为显热冷负荷与潜热冷负荷之和，计算公式如下：</w:t>
      </w:r>
    </w:p>
    <w:p>
      <w:pPr>
        <w:widowControl w:val="0"/>
        <w:jc w:val="both"/>
        <w:rPr>
          <w:rFonts w:hint="eastAsia"/>
          <w:color w:val="000000"/>
        </w:rPr>
      </w:pP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tab/>
      </w:r>
      <w:r>
        <w:rPr>
          <w:rFonts w:hint="eastAsia"/>
          <w:kern w:val="2"/>
          <w:szCs w:val="24"/>
          <w:lang w:val="en-US"/>
        </w:rPr>
        <w:object>
          <v:shape id="_x0000_i1048" o:spt="75" type="#_x0000_t75" style="height:18.75pt;width:60pt;" o:ole="t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  <o:OLEObject Type="Embed" ProgID="Equation.3" ShapeID="_x0000_i1048" DrawAspect="Content" ObjectID="_1468075748">
            <o:LockedField>false</o:LockedField>
          </o:OLEObject>
        </w:object>
      </w:r>
      <w:r>
        <w:rPr>
          <w:rFonts w:hint="eastAsia"/>
          <w:color w:val="000000"/>
        </w:rPr>
        <w:t xml:space="preserve">                                      </w:t>
      </w:r>
      <w:r>
        <w:rPr>
          <w:color w:val="000000"/>
        </w:rPr>
        <w:t xml:space="preserve"> </w:t>
      </w:r>
    </w:p>
    <w:p>
      <w:pPr>
        <w:pStyle w:val="4"/>
        <w:spacing w:line="240" w:lineRule="atLeast"/>
        <w:rPr>
          <w:rFonts w:hint="eastAsia"/>
        </w:rPr>
      </w:pPr>
      <w:bookmarkStart w:id="100" w:name="_Toc239133107"/>
      <w:bookmarkStart w:id="101" w:name="_Toc240280517"/>
      <w:bookmarkStart w:id="102" w:name="_Toc453593145"/>
      <w:r>
        <w:rPr>
          <w:rFonts w:hint="eastAsia"/>
        </w:rPr>
        <w:t xml:space="preserve"> </w:t>
      </w:r>
      <w:bookmarkStart w:id="103" w:name="_Toc495932551"/>
      <w:bookmarkStart w:id="104" w:name="_Toc26529"/>
      <w:r>
        <w:rPr>
          <w:rFonts w:hint="eastAsia"/>
        </w:rPr>
        <w:t>冷负荷的修正</w:t>
      </w:r>
      <w:bookmarkEnd w:id="100"/>
      <w:bookmarkEnd w:id="101"/>
      <w:bookmarkEnd w:id="102"/>
      <w:bookmarkEnd w:id="103"/>
      <w:bookmarkEnd w:id="104"/>
    </w:p>
    <w:p>
      <w:pPr>
        <w:spacing w:line="240" w:lineRule="auto"/>
        <w:rPr>
          <w:color w:val="000000"/>
        </w:rPr>
      </w:pPr>
      <w:r>
        <w:rPr>
          <w:rFonts w:hint="eastAsia"/>
          <w:color w:val="000000"/>
        </w:rPr>
        <w:t>（1）间歇附加系数</w:t>
      </w:r>
    </w:p>
    <w:p>
      <w:pPr>
        <w:spacing w:line="240" w:lineRule="auto"/>
        <w:rPr>
          <w:rFonts w:hint="eastAsia"/>
          <w:color w:val="000000"/>
        </w:rPr>
      </w:pPr>
      <w:r>
        <w:rPr>
          <w:rFonts w:hint="eastAsia"/>
          <w:color w:val="000000"/>
        </w:rPr>
        <w:t>对于设备、人员发热较大的房间，其设备和人员的发热如按稳定传热计算时，如预冷(工作前开机)0.5~1小时或更多时间，则不需附加。对于以围护结构负荷为主的房间(如办公楼)，则需要将计算出的冷负荷乘以间歇负荷系数。</w:t>
      </w:r>
    </w:p>
    <w:p>
      <w:pPr>
        <w:spacing w:line="240" w:lineRule="auto"/>
        <w:rPr>
          <w:rFonts w:hint="eastAsia"/>
          <w:color w:val="000000"/>
        </w:rPr>
      </w:pPr>
      <w:r>
        <w:rPr>
          <w:rFonts w:hint="eastAsia"/>
          <w:color w:val="000000"/>
        </w:rPr>
        <w:t>（2）轻型附加系数</w:t>
      </w:r>
    </w:p>
    <w:p>
      <w:pPr>
        <w:spacing w:line="240" w:lineRule="auto"/>
        <w:rPr>
          <w:rFonts w:hint="eastAsia"/>
          <w:color w:val="000000"/>
        </w:rPr>
      </w:pPr>
      <w:r>
        <w:rPr>
          <w:rFonts w:hint="eastAsia"/>
          <w:color w:val="000000"/>
        </w:rPr>
        <w:t>每平方空调面积的围护结构的材料重量小于150kg的称为轻型结构。由于轻型结构的蓄热能力小，对波动负荷衰减少，故需增加一个附加系数。</w:t>
      </w:r>
    </w:p>
    <w:p>
      <w:pPr>
        <w:spacing w:line="240" w:lineRule="auto"/>
        <w:rPr>
          <w:rFonts w:hint="eastAsia"/>
          <w:color w:val="000000"/>
        </w:rPr>
      </w:pPr>
      <w:bookmarkStart w:id="105" w:name="_Toc178152077"/>
      <w:bookmarkStart w:id="106" w:name="_Toc178151571"/>
      <w:bookmarkStart w:id="107" w:name="_Toc179707483"/>
      <w:bookmarkStart w:id="108" w:name="_Toc179712236"/>
      <w:r>
        <w:rPr>
          <w:rFonts w:hint="eastAsia"/>
          <w:color w:val="000000"/>
        </w:rPr>
        <w:t>（3）其它附加系数</w:t>
      </w:r>
    </w:p>
    <w:p>
      <w:r>
        <w:rPr>
          <w:rFonts w:hint="eastAsia"/>
          <w:color w:val="000000"/>
        </w:rPr>
        <w:t>对于跃层的房间或厂房，当房间高度比较高时，因为人都是在下边活动，所以房间上边的温度高一点是无所谓的。这时可以把“其它附加系数”设成小于1的适当的值；对于其它情况若考虑的不足或过多时也可以设置“其它附加系数”来修正。</w:t>
      </w:r>
      <w:bookmarkEnd w:id="105"/>
      <w:bookmarkEnd w:id="106"/>
      <w:bookmarkEnd w:id="107"/>
      <w:bookmarkEnd w:id="108"/>
    </w:p>
    <w:p>
      <w:pPr>
        <w:pStyle w:val="2"/>
        <w:rPr>
          <w:szCs w:val="24"/>
          <w:lang w:val="en-US"/>
        </w:rPr>
      </w:pPr>
      <w:bookmarkStart w:id="109" w:name="_Toc22423"/>
      <w:r>
        <w:rPr>
          <w:szCs w:val="24"/>
          <w:lang w:val="en-US"/>
        </w:rPr>
        <w:t>外围护构造</w:t>
      </w:r>
      <w:bookmarkEnd w:id="109"/>
    </w:p>
    <w:p>
      <w:pPr>
        <w:pStyle w:val="4"/>
        <w:rPr>
          <w:szCs w:val="24"/>
          <w:lang w:val="en-US"/>
        </w:rPr>
      </w:pPr>
      <w:bookmarkStart w:id="110" w:name="_Toc30322"/>
      <w:r>
        <w:rPr>
          <w:szCs w:val="24"/>
          <w:lang w:val="en-US"/>
        </w:rPr>
        <w:t>屋顶</w:t>
      </w:r>
      <w:bookmarkEnd w:id="110"/>
    </w:p>
    <w:p>
      <w:pPr>
        <w:pStyle w:val="5"/>
        <w:rPr>
          <w:szCs w:val="24"/>
          <w:lang w:val="en-US"/>
        </w:rPr>
      </w:pPr>
      <w:bookmarkStart w:id="111" w:name="_Toc4444"/>
      <w:r>
        <w:rPr>
          <w:szCs w:val="24"/>
          <w:lang w:val="en-US"/>
        </w:rPr>
        <w:t>屋顶构造一</w:t>
      </w:r>
      <w:bookmarkEnd w:id="111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0.407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加气混凝土、泡沫混凝土(ρ=700)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0.444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1.378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0.768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87.51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9.57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0.10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bookmarkStart w:id="112" w:name="_Toc20260"/>
      <w:r>
        <w:rPr>
          <w:szCs w:val="24"/>
          <w:lang w:val="en-US"/>
        </w:rPr>
        <w:t>外墙</w:t>
      </w:r>
      <w:bookmarkEnd w:id="112"/>
    </w:p>
    <w:p>
      <w:pPr>
        <w:pStyle w:val="5"/>
        <w:rPr>
          <w:szCs w:val="24"/>
          <w:lang w:val="en-US"/>
        </w:rPr>
      </w:pPr>
      <w:bookmarkStart w:id="113" w:name="_Toc19303"/>
      <w:r>
        <w:rPr>
          <w:szCs w:val="24"/>
          <w:lang w:val="en-US"/>
        </w:rPr>
        <w:t>外墙构造一</w:t>
      </w:r>
      <w:bookmarkEnd w:id="113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1.113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45.28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7.26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0.13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bookmarkStart w:id="114" w:name="_Toc21050"/>
      <w:r>
        <w:rPr>
          <w:szCs w:val="24"/>
          <w:lang w:val="en-US"/>
        </w:rPr>
        <w:t>梁柱</w:t>
      </w:r>
      <w:bookmarkEnd w:id="114"/>
    </w:p>
    <w:p>
      <w:pPr>
        <w:pStyle w:val="5"/>
        <w:rPr>
          <w:szCs w:val="24"/>
          <w:lang w:val="en-US"/>
        </w:rPr>
      </w:pPr>
      <w:bookmarkStart w:id="115" w:name="_Toc13727"/>
      <w:r>
        <w:rPr>
          <w:szCs w:val="24"/>
          <w:lang w:val="en-US"/>
        </w:rPr>
        <w:t>热桥柱构造一</w:t>
      </w:r>
      <w:bookmarkEnd w:id="115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1.977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2.941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1.113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45.28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7.26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0.13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bookmarkStart w:id="116" w:name="_Toc9156"/>
      <w:r>
        <w:rPr>
          <w:szCs w:val="24"/>
          <w:lang w:val="en-US"/>
        </w:rPr>
        <w:t>挑空楼板</w:t>
      </w:r>
      <w:bookmarkEnd w:id="116"/>
    </w:p>
    <w:p>
      <w:pPr>
        <w:pStyle w:val="5"/>
        <w:rPr>
          <w:szCs w:val="24"/>
          <w:lang w:val="en-US"/>
        </w:rPr>
      </w:pPr>
      <w:bookmarkStart w:id="117" w:name="_Toc20622"/>
      <w:r>
        <w:rPr>
          <w:szCs w:val="24"/>
          <w:lang w:val="en-US"/>
        </w:rPr>
        <w:t>挑空楼板构造一</w:t>
      </w:r>
      <w:bookmarkEnd w:id="117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0.689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2.146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夏季传热系数K=1/(0.11+∑R+0.05)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1.178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20.66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4.98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0.27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2"/>
        <w:rPr>
          <w:szCs w:val="24"/>
          <w:lang w:val="en-US"/>
        </w:rPr>
      </w:pPr>
      <w:bookmarkStart w:id="118" w:name="_Toc25587"/>
      <w:r>
        <w:rPr>
          <w:szCs w:val="24"/>
          <w:lang w:val="en-US"/>
        </w:rPr>
        <w:t>内围护构造</w:t>
      </w:r>
      <w:bookmarkEnd w:id="118"/>
    </w:p>
    <w:p>
      <w:pPr>
        <w:pStyle w:val="4"/>
        <w:rPr>
          <w:szCs w:val="24"/>
          <w:lang w:val="en-US"/>
        </w:rPr>
      </w:pPr>
      <w:bookmarkStart w:id="119" w:name="_Toc7717"/>
      <w:r>
        <w:rPr>
          <w:szCs w:val="24"/>
          <w:lang w:val="en-US"/>
        </w:rPr>
        <w:t>内墙</w:t>
      </w:r>
      <w:bookmarkEnd w:id="119"/>
    </w:p>
    <w:p>
      <w:pPr>
        <w:pStyle w:val="5"/>
        <w:rPr>
          <w:szCs w:val="24"/>
          <w:lang w:val="en-US"/>
        </w:rPr>
      </w:pPr>
      <w:bookmarkStart w:id="120" w:name="_Toc3417"/>
      <w:r>
        <w:rPr>
          <w:szCs w:val="24"/>
          <w:lang w:val="en-US"/>
        </w:rPr>
        <w:t>控温房间隔墙构造一</w:t>
      </w:r>
      <w:bookmarkEnd w:id="120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2.391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传热系数K=1/(0.11+∑R+0.11)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1.925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9.97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6.37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0.34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bookmarkStart w:id="121" w:name="_Toc13711"/>
      <w:r>
        <w:rPr>
          <w:szCs w:val="24"/>
          <w:lang w:val="en-US"/>
        </w:rPr>
        <w:t>楼板</w:t>
      </w:r>
      <w:bookmarkEnd w:id="121"/>
    </w:p>
    <w:p>
      <w:pPr>
        <w:pStyle w:val="5"/>
        <w:rPr>
          <w:szCs w:val="24"/>
          <w:lang w:val="en-US"/>
        </w:rPr>
      </w:pPr>
      <w:bookmarkStart w:id="122" w:name="_Toc11753"/>
      <w:r>
        <w:rPr>
          <w:szCs w:val="24"/>
          <w:lang w:val="en-US"/>
        </w:rPr>
        <w:t>控温房间楼板构造一</w:t>
      </w:r>
      <w:bookmarkEnd w:id="122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1.679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传热系数K=1/(0.11+∑R+0.11)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2.984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6.43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5.23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0.34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2"/>
        <w:rPr>
          <w:szCs w:val="24"/>
          <w:lang w:val="en-US"/>
        </w:rPr>
      </w:pPr>
      <w:bookmarkStart w:id="123" w:name="_Toc15002"/>
      <w:r>
        <w:rPr>
          <w:szCs w:val="24"/>
          <w:lang w:val="en-US"/>
        </w:rPr>
        <w:t>封闭阳台构造</w:t>
      </w:r>
      <w:bookmarkEnd w:id="123"/>
    </w:p>
    <w:p>
      <w:pPr>
        <w:rPr>
          <w:szCs w:val="24"/>
          <w:lang w:val="en-US"/>
        </w:rPr>
      </w:pPr>
      <w:r>
        <w:rPr>
          <w:szCs w:val="24"/>
          <w:lang w:val="en-US"/>
        </w:rPr>
        <w:t>本工程无此项内容</w:t>
      </w:r>
    </w:p>
    <w:p>
      <w:pPr>
        <w:pStyle w:val="2"/>
        <w:rPr>
          <w:szCs w:val="24"/>
          <w:lang w:val="en-US"/>
        </w:rPr>
      </w:pPr>
      <w:bookmarkStart w:id="124" w:name="_Toc6453"/>
      <w:r>
        <w:rPr>
          <w:szCs w:val="24"/>
          <w:lang w:val="en-US"/>
        </w:rPr>
        <w:t>地下围护构造</w:t>
      </w:r>
      <w:bookmarkEnd w:id="124"/>
    </w:p>
    <w:p>
      <w:pPr>
        <w:pStyle w:val="4"/>
        <w:rPr>
          <w:szCs w:val="24"/>
          <w:lang w:val="en-US"/>
        </w:rPr>
      </w:pPr>
      <w:bookmarkStart w:id="125" w:name="_Toc32138"/>
      <w:r>
        <w:rPr>
          <w:szCs w:val="24"/>
          <w:lang w:val="en-US"/>
        </w:rPr>
        <w:t>周边地面</w:t>
      </w:r>
      <w:bookmarkEnd w:id="125"/>
    </w:p>
    <w:p>
      <w:pPr>
        <w:pStyle w:val="5"/>
        <w:rPr>
          <w:szCs w:val="24"/>
          <w:lang w:val="en-US"/>
        </w:rPr>
      </w:pPr>
      <w:bookmarkStart w:id="126" w:name="_Toc25992"/>
      <w:r>
        <w:rPr>
          <w:szCs w:val="24"/>
          <w:lang w:val="en-US"/>
        </w:rPr>
        <w:t>周边地面构造一</w:t>
      </w:r>
      <w:bookmarkEnd w:id="126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0.520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32.45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5.67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0.39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4"/>
        <w:rPr>
          <w:szCs w:val="24"/>
          <w:lang w:val="en-US"/>
        </w:rPr>
      </w:pPr>
      <w:bookmarkStart w:id="127" w:name="_Toc28235"/>
      <w:r>
        <w:rPr>
          <w:szCs w:val="24"/>
          <w:lang w:val="en-US"/>
        </w:rPr>
        <w:t>非周边地面</w:t>
      </w:r>
      <w:bookmarkEnd w:id="127"/>
    </w:p>
    <w:p>
      <w:pPr>
        <w:pStyle w:val="5"/>
        <w:rPr>
          <w:szCs w:val="24"/>
          <w:lang w:val="en-US"/>
        </w:rPr>
      </w:pPr>
      <w:bookmarkStart w:id="128" w:name="_Toc21184"/>
      <w:r>
        <w:rPr>
          <w:szCs w:val="24"/>
          <w:lang w:val="en-US"/>
        </w:rPr>
        <w:t>非周边地面构造一</w:t>
      </w:r>
      <w:bookmarkEnd w:id="128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45"/>
        <w:gridCol w:w="848"/>
        <w:gridCol w:w="1075"/>
        <w:gridCol w:w="1075"/>
        <w:gridCol w:w="848"/>
        <w:gridCol w:w="1075"/>
        <w:gridCol w:w="106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  <w:r>
              <w:br w:type="textWrapping"/>
            </w:r>
            <w:r>
              <w:t>（由外到内）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厚度δ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修正系数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热阻R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热惰性指标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(mm)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α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(㎡K)/W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D=R*S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rPr>
                <w:color w:val="999999"/>
              </w:rP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17.2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0.069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color w:val="999999"/>
              </w:rPr>
              <w:t>1.186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各层之和∑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－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1.431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夏季传热系数K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0.300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衰减度ν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32.45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延迟时间ξ(h)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5.67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shd w:val="clear" w:color="auto" w:fill="E6E6E6"/>
            <w:vAlign w:val="center"/>
          </w:tcPr>
          <w:p>
            <w:r>
              <w:t>衰减倍数β</w:t>
            </w:r>
          </w:p>
        </w:tc>
        <w:tc>
          <w:tcPr>
            <w:gridSpan w:val="5"/>
            <w:vAlign w:val="center"/>
          </w:tcPr>
          <w:p>
            <w:pPr>
              <w:jc w:val="center"/>
            </w:pPr>
            <w:r>
              <w:t>0.67</w:t>
            </w:r>
          </w:p>
        </w:tc>
      </w:tr>
    </w:tbl>
    <w:p>
      <w:pPr>
        <w:rPr>
          <w:szCs w:val="24"/>
          <w:lang w:val="en-US"/>
        </w:rPr>
      </w:pPr>
      <w:r>
        <w:rPr>
          <w:szCs w:val="24"/>
          <w:lang w:val="en-US"/>
        </w:rPr>
        <w:t>备注：</w:t>
      </w:r>
    </w:p>
    <w:p>
      <w:pPr>
        <w:pStyle w:val="2"/>
        <w:rPr>
          <w:szCs w:val="24"/>
          <w:lang w:val="en-US"/>
        </w:rPr>
      </w:pPr>
      <w:bookmarkStart w:id="129" w:name="_Toc9814"/>
      <w:r>
        <w:rPr>
          <w:szCs w:val="24"/>
          <w:lang w:val="en-US"/>
        </w:rPr>
        <w:t>窗构造</w:t>
      </w:r>
      <w:bookmarkEnd w:id="129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遮阳系数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12A钢铝单框双玻窗（平均）</w:t>
            </w:r>
          </w:p>
        </w:tc>
        <w:tc>
          <w:tcPr>
            <w:vAlign w:val="center"/>
          </w:tcPr>
          <w:p>
            <w:r>
              <w:t>0.75</w:t>
            </w:r>
          </w:p>
        </w:tc>
        <w:tc>
          <w:tcPr>
            <w:vAlign w:val="center"/>
          </w:tcPr>
          <w:p>
            <w:r>
              <w:t>0.75</w:t>
            </w:r>
          </w:p>
        </w:tc>
      </w:tr>
    </w:tbl>
    <w:p>
      <w:pPr>
        <w:pStyle w:val="2"/>
        <w:rPr>
          <w:szCs w:val="24"/>
          <w:lang w:val="en-US"/>
        </w:rPr>
      </w:pPr>
      <w:bookmarkStart w:id="130" w:name="_Toc28958"/>
      <w:r>
        <w:rPr>
          <w:szCs w:val="24"/>
          <w:lang w:val="en-US"/>
        </w:rPr>
        <w:t>门构造</w:t>
      </w:r>
      <w:bookmarkEnd w:id="13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传热系数W/㎡.K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保温门（多功能门）</w:t>
            </w:r>
          </w:p>
        </w:tc>
        <w:tc>
          <w:tcPr>
            <w:vAlign w:val="center"/>
          </w:tcPr>
          <w:p>
            <w:r>
              <w:t>1.97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>
            <w:r>
              <w:t>内门</w:t>
            </w:r>
          </w:p>
        </w:tc>
        <w:tc>
          <w:tcPr>
            <w:vAlign w:val="center"/>
          </w:tcPr>
          <w:p>
            <w:r>
              <w:t>3.00</w:t>
            </w:r>
          </w:p>
        </w:tc>
      </w:tr>
    </w:tbl>
    <w:p>
      <w:pPr>
        <w:pStyle w:val="2"/>
        <w:rPr>
          <w:szCs w:val="24"/>
          <w:lang w:val="en-US"/>
        </w:rPr>
      </w:pPr>
      <w:bookmarkStart w:id="131" w:name="_Toc9946"/>
      <w:r>
        <w:rPr>
          <w:szCs w:val="24"/>
          <w:lang w:val="en-US"/>
        </w:rPr>
        <w:t>负荷指标</w:t>
      </w:r>
      <w:bookmarkEnd w:id="13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整楼负荷(W)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pPr>
              <w:jc w:val="center"/>
            </w:pPr>
            <w:r>
              <w:t>37656</w:t>
            </w:r>
          </w:p>
        </w:tc>
        <w:tc>
          <w:tcPr>
            <w:vAlign w:val="center"/>
          </w:tcPr>
          <w:p>
            <w:r>
              <w:t>507.01</w:t>
            </w:r>
          </w:p>
        </w:tc>
        <w:tc>
          <w:tcPr>
            <w:vAlign w:val="center"/>
          </w:tcPr>
          <w:p>
            <w:r>
              <w:t>74.27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空调面积(㎡)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负荷指标(W/㎡)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jc w:val="center"/>
            </w:pPr>
          </w:p>
        </w:tc>
        <w:tc>
          <w:tcPr>
            <w:vAlign w:val="center"/>
          </w:tcPr>
          <w:p>
            <w:r>
              <w:t>442.48</w:t>
            </w:r>
          </w:p>
        </w:tc>
        <w:tc>
          <w:tcPr>
            <w:vAlign w:val="center"/>
          </w:tcPr>
          <w:p>
            <w:r>
              <w:t>85.10</w:t>
            </w:r>
          </w:p>
        </w:tc>
      </w:tr>
    </w:tbl>
    <w:p>
      <w:pPr>
        <w:pStyle w:val="2"/>
        <w:rPr>
          <w:szCs w:val="24"/>
          <w:lang w:val="en-US"/>
        </w:rPr>
      </w:pPr>
      <w:bookmarkStart w:id="132" w:name="_Toc20320"/>
      <w:r>
        <w:rPr>
          <w:szCs w:val="24"/>
          <w:lang w:val="en-US"/>
        </w:rPr>
        <w:t>建筑按系统汇总表</w:t>
      </w:r>
      <w:bookmarkEnd w:id="132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2263"/>
        <w:gridCol w:w="848"/>
        <w:gridCol w:w="764"/>
        <w:gridCol w:w="764"/>
        <w:gridCol w:w="764"/>
        <w:gridCol w:w="764"/>
        <w:gridCol w:w="905"/>
        <w:gridCol w:w="730"/>
        <w:gridCol w:w="9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系统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最大时刻(h)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全热(W)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显热(W)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潜热(W)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湿负荷(kg/h)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新风负荷(W)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未分区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1001[房间]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71.42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1002[卧室]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105.90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1003[卧室]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122.38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1004[厨房]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124.72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1005[楼梯间]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1006[卫生间]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80.89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2002[房间]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34.65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82.42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2003,3004,4005[卧室]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101.84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2004,3005,4006[卧室]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113.16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2005[卧室]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113.19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2006,3007,4008[楼梯间]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2007[卫生间]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79.01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2008,3009,4010[卫生间]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234.93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3003[房间]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34.65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80.69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3006,4007[卧室]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110.09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3008[卫生间]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4004[房间]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34.65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81.86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4009[卫生间]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5005[房间]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34.65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99.49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5006[卧室]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113.02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5007[卧室]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124.32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5008[卧室]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121.16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5009[楼梯间]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5010[卫生间]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90.93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5011[卫生间]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247.19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6007[楼梯间]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11.19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117.71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系统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442.48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37656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31207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6448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8043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85.10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442.48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37656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31207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6448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8043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85.10</w:t>
            </w:r>
          </w:p>
        </w:tc>
      </w:tr>
    </w:tbl>
    <w:p>
      <w:pPr>
        <w:pStyle w:val="2"/>
        <w:rPr>
          <w:szCs w:val="24"/>
          <w:lang w:val="en-US"/>
        </w:rPr>
      </w:pPr>
      <w:bookmarkStart w:id="133" w:name="_Toc5329"/>
      <w:r>
        <w:rPr>
          <w:szCs w:val="24"/>
          <w:lang w:val="en-US"/>
        </w:rPr>
        <w:t>建筑按楼层汇总表</w:t>
      </w:r>
      <w:bookmarkEnd w:id="133"/>
    </w:p>
    <w:tbl>
      <w:tblPr>
        <w:tblStyle w:val="18"/>
        <w:tblW w:w="9333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622"/>
        <w:gridCol w:w="1641"/>
        <w:gridCol w:w="848"/>
        <w:gridCol w:w="764"/>
        <w:gridCol w:w="764"/>
        <w:gridCol w:w="764"/>
        <w:gridCol w:w="764"/>
        <w:gridCol w:w="905"/>
        <w:gridCol w:w="730"/>
        <w:gridCol w:w="9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最大时刻(h)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全热(W)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显热(W)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潜热(W)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湿负荷(kg/h)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新风负荷(W)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1层</w:t>
            </w:r>
          </w:p>
        </w:tc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1-E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1001[房间]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71.42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1002[卧室]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105.90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1003[卧室]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122.38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1004[厨房]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1061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124.72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1005[楼梯间]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79.04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1006[卫生间]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80.89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整户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84.31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6904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5581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1323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1.85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1663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81.89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84.31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6904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5581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1323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1.85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1663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81.89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2层</w:t>
            </w:r>
          </w:p>
        </w:tc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1-B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2002[房间]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34.65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82.42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2003[卧室]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101.84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2004[卧室]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113.16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2005[卧室]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113.19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2006[楼梯间]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2007[卫生间]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79.01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2008[卫生间]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234.93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整户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86.75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7142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5906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1236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1.73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82.33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86.75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7142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5906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1236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1.73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82.33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3层</w:t>
            </w:r>
          </w:p>
        </w:tc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1-D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3003[房间]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34.65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2796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80.69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3004[卧室]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101.84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3005[卧室]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113.16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3006[卧室]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110.09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3007[楼梯间]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3008[卫生间]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79.43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3009[卫生间]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234.93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整户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86.75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7051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5816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1236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1.73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81.28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86.75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7051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5816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1236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1.73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81.28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4层</w:t>
            </w:r>
          </w:p>
        </w:tc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1-A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4004[房间]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34.65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81.86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4005[卧室]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101.84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4006[卧室]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113.16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4007[卧室]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110.09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4008[楼梯间]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60.60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4009[卫生间]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79.72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4010[卫生间]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234.93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整户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86.75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7181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5945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1236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1.73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82.78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86.75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7181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5945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1236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1.73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82.78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5层</w:t>
            </w:r>
          </w:p>
        </w:tc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1-C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5005[房间]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34.65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99.49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5006[卧室]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113.02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5007[卧室]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124.32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5008[卧室]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121.16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5009[楼梯间]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60.72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5010[卫生间]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90.93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5011[卫生间]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635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247.19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整户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86.75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8264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7028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1236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1.73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95.26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86.75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8264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7028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1236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1.73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95.26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6层</w:t>
            </w:r>
          </w:p>
        </w:tc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1-F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6007[楼梯间]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11.19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1317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117.71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整户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11.19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1317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0.26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117.71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整层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11.19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1317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183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0.26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117.71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建筑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442.48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37656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31207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6448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9.04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8043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85.10</w:t>
            </w:r>
          </w:p>
        </w:tc>
      </w:tr>
    </w:tbl>
    <w:p>
      <w:pPr>
        <w:pStyle w:val="2"/>
        <w:rPr>
          <w:szCs w:val="24"/>
          <w:lang w:val="en-US"/>
        </w:rPr>
      </w:pPr>
      <w:bookmarkStart w:id="134" w:name="_Toc29410"/>
      <w:r>
        <w:rPr>
          <w:szCs w:val="24"/>
          <w:lang w:val="en-US"/>
        </w:rPr>
        <w:t>新风负荷表</w:t>
      </w:r>
      <w:bookmarkEnd w:id="134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679"/>
        <w:gridCol w:w="1630"/>
        <w:gridCol w:w="848"/>
        <w:gridCol w:w="962"/>
        <w:gridCol w:w="905"/>
        <w:gridCol w:w="905"/>
        <w:gridCol w:w="905"/>
        <w:gridCol w:w="905"/>
        <w:gridCol w:w="905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面积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新风量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全热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显热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潜热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湿负荷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(kg/h)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总冷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1层</w:t>
            </w:r>
          </w:p>
        </w:tc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1-E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1001[房间]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34.14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64.62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657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19.24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1002[卧室]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15.90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31.13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19.91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1003[卧室]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28.51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20.03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1004[厨房]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8.51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16.80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20.06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1005[楼梯间]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14.70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19.91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1006[卫生间]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7.87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21.17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163.62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1663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1204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1.67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19.73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163.62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1663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1204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1.67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19.73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2层</w:t>
            </w:r>
          </w:p>
        </w:tc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1-B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2002[房间]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34.65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2003[卧室]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2004[卧室]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15.94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2005[卧室]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2006[楼梯间]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19.58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2007[卫生间]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18.63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2008[卫生间]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151.21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1.55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151.21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1.55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3层</w:t>
            </w:r>
          </w:p>
        </w:tc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1-D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3003[房间]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34.65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3004[卧室]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3005[卧室]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15.94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3006[卧室]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3007[楼梯间]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19.58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3008[卫生间]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18.63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3009[卫生间]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151.21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1.55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151.21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1.55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4层</w:t>
            </w:r>
          </w:p>
        </w:tc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1-A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4004[房间]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34.65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4005[卧室]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4006[卧室]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15.94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4007[卧室]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4008[楼梯间]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19.58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4009[卫生间]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18.63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4010[卫生间]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151.21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1.55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151.21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1.55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5层</w:t>
            </w:r>
          </w:p>
        </w:tc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1-C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5005[房间]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34.65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17.29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5006[卧室]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20.77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17.96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5007[卧室]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9.04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15.94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0.16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17.92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5008[卧室]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12.42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18.13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5009[楼梯间]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19.58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17.34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5010[卫生间]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4.66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8.53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18.63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5011[卫生间]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2.74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5.31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19.70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151.21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1.55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151.21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1537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425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1.55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17.72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6层</w:t>
            </w:r>
          </w:p>
        </w:tc>
        <w:tc>
          <w:tcPr>
            <w:vMerge w:val="restart"/>
            <w:vAlign w:val="center"/>
          </w:tcPr>
          <w:p>
            <w:r>
              <w:rPr>
                <w:sz w:val="18"/>
                <w:szCs w:val="18"/>
              </w:rPr>
              <w:t>1-F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6007[楼梯间]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11.19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22.68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167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sz w:val="18"/>
                <w:szCs w:val="18"/>
              </w:rPr>
              <w:t>20.61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22.68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0.23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20.61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gridSpan w:val="2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22.68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0.23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20.61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vAlign w:val="center"/>
          </w:tcPr>
          <w:p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442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791.15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8043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2222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5821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rPr>
                <w:b/>
                <w:sz w:val="18"/>
                <w:szCs w:val="18"/>
              </w:rPr>
              <w:t>18.18</w:t>
            </w:r>
          </w:p>
        </w:tc>
      </w:tr>
    </w:tbl>
    <w:p>
      <w:pPr>
        <w:sectPr>
          <w:footerReference r:id="rId5" w:type="default"/>
          <w:pgSz w:w="11906" w:h="16838"/>
          <w:pgMar w:top="1440" w:right="1418" w:bottom="1440" w:left="1418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pStyle w:val="2"/>
        <w:rPr>
          <w:szCs w:val="24"/>
          <w:lang w:val="en-US"/>
        </w:rPr>
      </w:pPr>
      <w:bookmarkStart w:id="135" w:name="_Toc19253"/>
      <w:r>
        <w:rPr>
          <w:szCs w:val="24"/>
          <w:lang w:val="en-US"/>
        </w:rPr>
        <w:t>房间冷负荷详细表</w:t>
      </w:r>
      <w:bookmarkEnd w:id="135"/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36" w:name="DataTab"/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1001[房间]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F=9.75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774.5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816.6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692.3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714.5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F=2.42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202.4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656.9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656.9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656.9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656.9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  <w:bookmarkEnd w:id="136"/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1002[卧室]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F=10.70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F=3.78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390.1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382.8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1003[卧室]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F=5.04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684.5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510.4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655.7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1004[厨房]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1005[楼梯间]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F=3.60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1006[卫生间]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F=1.80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周边地面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K=0.52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2002[房间]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F=8.46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708.6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1033.7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753.5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979.8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2386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1903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2003[卧室]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F=2.25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2004[卧室]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F=3.24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2005[卧室]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挑空楼板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K=1.18 D=2.15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2006[楼梯间]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F=3.78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2007[卫生间]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F=2.16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2008[卫生间]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F=2.16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3003[房间]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F=8.46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708.6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1047.1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753.5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3004[卧室]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F=2.25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3005[卧室]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F=3.24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3006[卧室]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3007[楼梯间]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F=3.78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3008[卫生间]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F=2.16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3009[卫生间]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F=2.16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4004[房间]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2353.6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F=8.46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708.6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805.6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1047.1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753.5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2139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1431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1540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1751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4005[卧室]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F=2.25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4006[卧室]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F=3.24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4007[卧室]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4008[楼梯间]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F=3.78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4009[卫生间]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F=2.16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4010[卫生间]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F=2.16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5005[房间]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F=36.60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360.5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F=19.84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208.9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F=8.46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708.6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936.2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1363.0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660.2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297.9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2395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1912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2476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1984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0.07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5006[卧室]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F=12.90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273.4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256.2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F=2.25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188.4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5007[卧室]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F=9.90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F=3.24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440.0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421.5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314.4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758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5008[卧室]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1324.2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F=13.76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91.4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F=7.60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102.7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224.5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214.0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F=2.70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226.2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435.2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282.3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225.2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1205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1119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790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0.03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5009[楼梯间]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F=8.46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80.1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88.4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F=3.78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319.7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295.6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199.0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5010[卫生间]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59.9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F=6.37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F=2.16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178.1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171.2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164.5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86.7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5011[卫生间]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3.22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634.7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F=3.30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F=4.28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57.3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F=5.31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47.1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44.2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F=2.16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293.4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222.9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218.7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207.7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186.7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438.4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93.1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357.4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209.6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205.0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118.2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95.0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432.2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465.2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427.9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346.3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62.3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5.4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54.0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495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678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452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349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362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251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437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307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0.01</w:t>
            </w:r>
          </w:p>
        </w:tc>
      </w:tr>
    </w:tbl>
    <w:p>
      <w:pPr>
        <w:rPr>
          <w:szCs w:val="24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05"/>
        <w:gridCol w:w="1134"/>
        <w:gridCol w:w="992"/>
        <w:gridCol w:w="993"/>
        <w:gridCol w:w="948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2126" w:type="dxa"/>
            <w:gridSpan w:val="2"/>
            <w:vMerge w:val="restart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高度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面积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室内温度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相对湿度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显热负荷</w:t>
            </w:r>
          </w:p>
        </w:tc>
        <w:tc>
          <w:tcPr>
            <w:tcW w:w="2154" w:type="dxa"/>
            <w:gridSpan w:val="2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全热冷负荷</w:t>
            </w:r>
          </w:p>
        </w:tc>
        <w:tc>
          <w:tcPr>
            <w:tcW w:w="2154" w:type="dxa"/>
            <w:gridSpan w:val="2"/>
            <w:shd w:val="clear" w:color="auto" w:fill="E0E0E0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湿负荷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vMerge w:val="continue"/>
            <w:tcBorders>
              <w:bottom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 w:val="continue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㎡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℃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%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W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g/h</w:t>
            </w:r>
          </w:p>
        </w:tc>
        <w:tc>
          <w:tcPr>
            <w:tcW w:w="1077" w:type="dxa"/>
            <w:shd w:val="clear" w:color="auto" w:fill="E0E0E0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发生时刻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房间名称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6007[楼梯间]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11.19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1134.1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1316.9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pct10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相同房间</w:t>
            </w:r>
          </w:p>
        </w:tc>
        <w:tc>
          <w:tcPr>
            <w:tcW w:w="12683" w:type="dxa"/>
            <w:gridSpan w:val="12"/>
            <w:shd w:val="clear" w:color="auto" w:fill="auto"/>
            <w:vAlign w:val="center"/>
          </w:tcPr>
          <w:p>
            <w:pPr>
              <w:jc w:val="left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95" w:type="dxa"/>
            <w:gridSpan w:val="2"/>
            <w:tcBorders>
              <w:top w:val="single" w:color="auto" w:sz="6" w:space="0"/>
            </w:tcBorders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房间参数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人体</w:t>
            </w:r>
          </w:p>
        </w:tc>
        <w:tc>
          <w:tcPr>
            <w:tcW w:w="19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32.0(㎡/人)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设备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照明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6.0(W/㎡)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新风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0.50(次/h)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项目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时刻</w:t>
            </w:r>
          </w:p>
        </w:tc>
        <w:tc>
          <w:tcPr>
            <w:tcW w:w="1134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12：00</w:t>
            </w:r>
          </w:p>
        </w:tc>
        <w:tc>
          <w:tcPr>
            <w:tcW w:w="992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13：00</w:t>
            </w:r>
          </w:p>
        </w:tc>
        <w:tc>
          <w:tcPr>
            <w:tcW w:w="993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14：00</w:t>
            </w:r>
          </w:p>
        </w:tc>
        <w:tc>
          <w:tcPr>
            <w:tcW w:w="948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15：00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16：00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5：00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17：00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6：00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18：00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7：00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19：00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8：00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20：00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9：00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21：00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10：00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22：00</w:t>
            </w:r>
          </w:p>
        </w:tc>
        <w:tc>
          <w:tcPr>
            <w:tcW w:w="1077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11：00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23：00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屋顶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F=14.04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K=0.77 D=3.69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173.3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147.1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142.7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151.0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165.7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132.6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F=15.16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108.2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116.0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126.1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114.7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135.5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109.8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108.9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东外墙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132.4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150.7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172.6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182.1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185.8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139.7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137.3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156.7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F=6.88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71.7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56.4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61.0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65.2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62.2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60.4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68.6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59.1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57.2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71.8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72.0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西外墙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F=11.94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K=1.11 D=2.94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180.2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129.7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133.6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141.1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137.4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136.8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144.4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135.1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147.1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133.8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149.1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131.9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184.9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北外窗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总负荷(W)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F=3.78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322.3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311.7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56.9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290.2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51.2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275.1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175.5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152.8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194.9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262.8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291.8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传热负荷(W)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24.1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16.2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日射得热(W)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SC=0.75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289.9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72.5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299.5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65.3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298.2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58.8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287.9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268.0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47.6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253.7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210.7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168.0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136.6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184.1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216.0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246.1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99.6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272.4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89.6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南阳台外门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F=2.52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K=1.97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40.8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9.6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42.2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41.9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39.0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33.5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13.2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28.4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23.4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24.4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19.7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29.2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17.2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33.9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15.0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设备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55.9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55.9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55.9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55.9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55.9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照明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32.9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19.5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24.8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38.9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5.4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44.3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48.3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4.0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51.7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3.4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53.7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人体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22.0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22.0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22.0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22.0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37.8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37.8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37.8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37.8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restart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新风</w:t>
            </w: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显热(W)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63.7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63.7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63.7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全热(W)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230.5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230.5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230.5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230.5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230.5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0" w:type="dxa"/>
            <w:vMerge w:val="continue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05" w:type="dxa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1233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1274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1317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1305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1288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1225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1152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1231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1185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1229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1213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1214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1091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848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1134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1127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1122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1106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918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969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1031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1031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0.26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0.26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不含新风全热冷负荷(W)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940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1043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828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1078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1086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774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870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887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1000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999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983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不含新风显热冷负荷(W)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924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987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862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1027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812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784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1070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758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1063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738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1059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801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1042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854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978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871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905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984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938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983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967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967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95" w:type="dxa"/>
            <w:gridSpan w:val="2"/>
            <w:shd w:val="pct10" w:color="auto" w:fill="FFFFFF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不含新风湿负荷(kg/h)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93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948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0.02</w:t>
            </w:r>
            <w:r>
              <w:rPr>
                <w:rFonts w:ascii="宋体" w:hAnsi="宋体"/>
                <w:sz w:val="18"/>
                <w:szCs w:val="18"/>
              </w:rPr>
              <w:br w:type="textWrapping"/>
            </w:r>
            <w:r>
              <w:rPr>
                <w:rFonts w:ascii="宋体" w:hAnsi="宋体"/>
                <w:sz w:val="18"/>
                <w:szCs w:val="18"/>
              </w:rPr>
              <w:t>0.02</w:t>
            </w:r>
          </w:p>
        </w:tc>
      </w:tr>
      <w:bookmarkEnd w:id="24"/>
    </w:tbl>
    <w:p>
      <w:pPr>
        <w:rPr>
          <w:szCs w:val="24"/>
          <w:lang w:val="en-US"/>
        </w:rPr>
      </w:pPr>
    </w:p>
    <w:p>
      <w:pPr>
        <w:rPr>
          <w:szCs w:val="24"/>
          <w:lang w:val="en-US"/>
        </w:rPr>
      </w:pPr>
    </w:p>
    <w:sectPr>
      <w:footerReference r:id="rId6" w:type="default"/>
      <w:pgSz w:w="16838" w:h="11906" w:orient="landscape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</w:p>
  <w:p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97539495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97539495"/>
      <w:docPartObj>
        <w:docPartGallery w:val="AutoText"/>
      </w:docPartObj>
    </w:sdtPr>
    <w:sdtContent>
      <w:p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</w:pPr>
    <w:r>
      <w:rPr>
        <w:lang w:val="en-US"/>
      </w:rPr>
      <w:drawing>
        <wp:inline distT="0" distB="0" distL="0" distR="0">
          <wp:extent cx="881380" cy="151130"/>
          <wp:effectExtent l="0" t="0" r="0" b="127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8884" cy="174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冷负荷</w:t>
    </w:r>
    <w:r>
      <w:t>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FB"/>
    <w:rsid w:val="000574B8"/>
    <w:rsid w:val="0006644D"/>
    <w:rsid w:val="00080D89"/>
    <w:rsid w:val="00097E94"/>
    <w:rsid w:val="000A0563"/>
    <w:rsid w:val="000C3F45"/>
    <w:rsid w:val="000D77BD"/>
    <w:rsid w:val="000E46A7"/>
    <w:rsid w:val="000F7EF2"/>
    <w:rsid w:val="0010335A"/>
    <w:rsid w:val="001079CC"/>
    <w:rsid w:val="00137789"/>
    <w:rsid w:val="00145A23"/>
    <w:rsid w:val="00162D80"/>
    <w:rsid w:val="001B79BE"/>
    <w:rsid w:val="001C18CB"/>
    <w:rsid w:val="001E55EA"/>
    <w:rsid w:val="0025338E"/>
    <w:rsid w:val="002555B8"/>
    <w:rsid w:val="002A5FCA"/>
    <w:rsid w:val="002D7648"/>
    <w:rsid w:val="0030490C"/>
    <w:rsid w:val="003121F7"/>
    <w:rsid w:val="003A3E6E"/>
    <w:rsid w:val="003B01F4"/>
    <w:rsid w:val="003B6767"/>
    <w:rsid w:val="00413E13"/>
    <w:rsid w:val="004208E6"/>
    <w:rsid w:val="00467891"/>
    <w:rsid w:val="004D230F"/>
    <w:rsid w:val="004D449D"/>
    <w:rsid w:val="004F64E0"/>
    <w:rsid w:val="005215FB"/>
    <w:rsid w:val="00556F85"/>
    <w:rsid w:val="005923AE"/>
    <w:rsid w:val="005A520A"/>
    <w:rsid w:val="005C45D0"/>
    <w:rsid w:val="005E1286"/>
    <w:rsid w:val="005F0615"/>
    <w:rsid w:val="00647E12"/>
    <w:rsid w:val="00654E3F"/>
    <w:rsid w:val="00676D70"/>
    <w:rsid w:val="00682C57"/>
    <w:rsid w:val="00685ADE"/>
    <w:rsid w:val="006B709E"/>
    <w:rsid w:val="006F0362"/>
    <w:rsid w:val="006F579F"/>
    <w:rsid w:val="00723619"/>
    <w:rsid w:val="00730960"/>
    <w:rsid w:val="007416C9"/>
    <w:rsid w:val="007557BF"/>
    <w:rsid w:val="00790573"/>
    <w:rsid w:val="007B3DC4"/>
    <w:rsid w:val="007B5DEE"/>
    <w:rsid w:val="007D685F"/>
    <w:rsid w:val="007F644A"/>
    <w:rsid w:val="00860D36"/>
    <w:rsid w:val="00893E84"/>
    <w:rsid w:val="008D04AA"/>
    <w:rsid w:val="009000FA"/>
    <w:rsid w:val="00987B7F"/>
    <w:rsid w:val="009C4D39"/>
    <w:rsid w:val="00A55DAB"/>
    <w:rsid w:val="00AA60D8"/>
    <w:rsid w:val="00AC5061"/>
    <w:rsid w:val="00B02C65"/>
    <w:rsid w:val="00B32158"/>
    <w:rsid w:val="00B51927"/>
    <w:rsid w:val="00B55B22"/>
    <w:rsid w:val="00B8010B"/>
    <w:rsid w:val="00BA589F"/>
    <w:rsid w:val="00BB189B"/>
    <w:rsid w:val="00C4725E"/>
    <w:rsid w:val="00C63237"/>
    <w:rsid w:val="00C87D1F"/>
    <w:rsid w:val="00C97E25"/>
    <w:rsid w:val="00CD7550"/>
    <w:rsid w:val="00CF3664"/>
    <w:rsid w:val="00D40158"/>
    <w:rsid w:val="00D62A9A"/>
    <w:rsid w:val="00D92032"/>
    <w:rsid w:val="00D93668"/>
    <w:rsid w:val="00DC73AD"/>
    <w:rsid w:val="00DC756A"/>
    <w:rsid w:val="00DE0092"/>
    <w:rsid w:val="00E30F2C"/>
    <w:rsid w:val="00E3181F"/>
    <w:rsid w:val="00E40844"/>
    <w:rsid w:val="00E547DE"/>
    <w:rsid w:val="00E72668"/>
    <w:rsid w:val="00E81ACD"/>
    <w:rsid w:val="00EC503E"/>
    <w:rsid w:val="00F16C31"/>
    <w:rsid w:val="00F6198E"/>
    <w:rsid w:val="00FB028F"/>
    <w:rsid w:val="00FB2970"/>
    <w:rsid w:val="00FB64AE"/>
    <w:rsid w:val="013B5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qFormat="1"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bmp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4" Type="http://schemas.openxmlformats.org/officeDocument/2006/relationships/fontTable" Target="fontTable.xml"/><Relationship Id="rId33" Type="http://schemas.openxmlformats.org/officeDocument/2006/relationships/numbering" Target="numbering.xml"/><Relationship Id="rId32" Type="http://schemas.openxmlformats.org/officeDocument/2006/relationships/image" Target="media/image27.wmf"/><Relationship Id="rId31" Type="http://schemas.openxmlformats.org/officeDocument/2006/relationships/image" Target="media/image26.wmf"/><Relationship Id="rId30" Type="http://schemas.openxmlformats.org/officeDocument/2006/relationships/image" Target="media/image25.wmf"/><Relationship Id="rId3" Type="http://schemas.openxmlformats.org/officeDocument/2006/relationships/header" Target="header1.xml"/><Relationship Id="rId29" Type="http://schemas.openxmlformats.org/officeDocument/2006/relationships/image" Target="media/image24.wmf"/><Relationship Id="rId28" Type="http://schemas.openxmlformats.org/officeDocument/2006/relationships/image" Target="media/image23.wmf"/><Relationship Id="rId27" Type="http://schemas.openxmlformats.org/officeDocument/2006/relationships/image" Target="media/image22.wmf"/><Relationship Id="rId26" Type="http://schemas.openxmlformats.org/officeDocument/2006/relationships/image" Target="media/image21.wmf"/><Relationship Id="rId25" Type="http://schemas.openxmlformats.org/officeDocument/2006/relationships/image" Target="media/image20.wmf"/><Relationship Id="rId24" Type="http://schemas.openxmlformats.org/officeDocument/2006/relationships/image" Target="media/image19.wmf"/><Relationship Id="rId23" Type="http://schemas.openxmlformats.org/officeDocument/2006/relationships/image" Target="media/image18.wmf"/><Relationship Id="rId22" Type="http://schemas.openxmlformats.org/officeDocument/2006/relationships/image" Target="media/image17.wmf"/><Relationship Id="rId21" Type="http://schemas.openxmlformats.org/officeDocument/2006/relationships/image" Target="media/image16.wmf"/><Relationship Id="rId20" Type="http://schemas.openxmlformats.org/officeDocument/2006/relationships/image" Target="media/image15.wmf"/><Relationship Id="rId2" Type="http://schemas.openxmlformats.org/officeDocument/2006/relationships/settings" Target="settings.xml"/><Relationship Id="rId19" Type="http://schemas.openxmlformats.org/officeDocument/2006/relationships/image" Target="media/image14.wmf"/><Relationship Id="rId18" Type="http://schemas.openxmlformats.org/officeDocument/2006/relationships/image" Target="media/image13.wmf"/><Relationship Id="rId17" Type="http://schemas.openxmlformats.org/officeDocument/2006/relationships/image" Target="media/image12.wmf"/><Relationship Id="rId16" Type="http://schemas.openxmlformats.org/officeDocument/2006/relationships/image" Target="media/image11.wmf"/><Relationship Id="rId15" Type="http://schemas.openxmlformats.org/officeDocument/2006/relationships/image" Target="media/image10.wmf"/><Relationship Id="rId14" Type="http://schemas.openxmlformats.org/officeDocument/2006/relationships/image" Target="media/image9.wmf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image2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ths</Company>
  <Pages>3</Pages>
  <Words>168</Words>
  <Characters>963</Characters>
  <Lines>8</Lines>
  <Paragraphs>2</Paragraphs>
  <TotalTime>0</TotalTime>
  <ScaleCrop>false</ScaleCrop>
  <LinksUpToDate>false</LinksUpToDate>
  <CharactersWithSpaces>1129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2017-05-26T01:34:00Z</dcterms:created>
  <dc:creator>a</dc:creator>
  <cp:lastModifiedBy>Fleetingtime1384147671</cp:lastModifiedBy>
  <cp:lastPrinted>2411-12-31T16:00:00Z</cp:lastPrinted>
  <dcterms:modified xsi:type="dcterms:W3CDTF">2024-03-08T14:16:53Z</dcterms:modified>
  <dc:title>冷负荷计算书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B73E0C2797354576B309BE356FA9F32D_12</vt:lpwstr>
  </property>
</Properties>
</file>