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寻墨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河南-洛阳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2024年1月9日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T13782789271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4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_Toc21796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_Toc21956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_Toc21956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_Toc28712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_Toc28712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_Toc28260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_Toc28260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_Toc25831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_Toc24931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_Toc24931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_Toc28882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_Toc19762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_Toc19762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_Toc16624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_Toc12579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_Toc12579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_Toc11888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_Toc11888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_Toc31817 </w:instrText>
      </w:r>
      <w:r>
        <w:fldChar w:fldCharType="separate"/>
      </w:r>
      <w:r>
        <w:rPr>
          <w:rFonts w:hint="eastAsia"/>
        </w:rPr>
        <w:t xml:space="preserve">7 </w:t>
      </w:r>
      <w:r>
        <w:t>标识建筑</w:t>
      </w:r>
      <w:r>
        <w:tab/>
      </w:r>
      <w:r>
        <w:fldChar w:fldCharType="begin"/>
      </w:r>
      <w:r>
        <w:instrText xml:space="preserve"> PAGEREF _Toc31817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_Toc29484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_Toc29484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房间表</w:t>
      </w:r>
      <w:r>
        <w:tab/>
      </w:r>
      <w:r>
        <w:fldChar w:fldCharType="begin"/>
      </w:r>
      <w:r>
        <w:instrText xml:space="preserve"> PAGEREF _Toc6185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_Toc19314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_Toc19790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_Toc19790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_Toc11590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_Toc29351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_Toc28887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冷水机组</w:t>
      </w:r>
      <w:r>
        <w:tab/>
      </w:r>
      <w:r>
        <w:fldChar w:fldCharType="begin"/>
      </w:r>
      <w:r>
        <w:instrText xml:space="preserve"> PAGEREF _Toc20671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7.3.2 </w:t>
      </w:r>
      <w:r>
        <w:t>水泵系统</w:t>
      </w:r>
      <w:r>
        <w:tab/>
      </w:r>
      <w:r>
        <w:fldChar w:fldCharType="begin"/>
      </w:r>
      <w:r>
        <w:instrText xml:space="preserve"> PAGEREF _Toc4430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7.3.3 </w:t>
      </w:r>
      <w:r>
        <w:t>运行工况</w:t>
      </w:r>
      <w:r>
        <w:tab/>
      </w:r>
      <w:r>
        <w:fldChar w:fldCharType="begin"/>
      </w:r>
      <w:r>
        <w:instrText xml:space="preserve"> PAGEREF _Toc8122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7.3.4 </w:t>
      </w:r>
      <w:r>
        <w:t>制冷能耗</w:t>
      </w:r>
      <w:r>
        <w:tab/>
      </w:r>
      <w:r>
        <w:fldChar w:fldCharType="begin"/>
      </w:r>
      <w:r>
        <w:instrText xml:space="preserve"> PAGEREF _Toc29018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_Toc32320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热泵系统</w:t>
      </w:r>
      <w:r>
        <w:tab/>
      </w:r>
      <w:r>
        <w:fldChar w:fldCharType="begin"/>
      </w:r>
      <w:r>
        <w:instrText xml:space="preserve"> PAGEREF _Toc10476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_Toc28860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_Toc28860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_Toc19965 </w:instrText>
      </w:r>
      <w:r>
        <w:fldChar w:fldCharType="separate"/>
      </w:r>
      <w:r>
        <w:rPr>
          <w:rFonts w:hint="eastAsia"/>
        </w:rPr>
        <w:t xml:space="preserve">8 </w:t>
      </w:r>
      <w:r>
        <w:t>比对建筑</w:t>
      </w:r>
      <w:r>
        <w:tab/>
      </w:r>
      <w:r>
        <w:fldChar w:fldCharType="begin"/>
      </w:r>
      <w:r>
        <w:instrText xml:space="preserve"> PAGEREF _Toc19965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_Toc13211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_Toc13211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_Toc30802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_Toc16489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_Toc9477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_Toc15727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_Toc15727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冷水机组</w:t>
      </w:r>
      <w:r>
        <w:tab/>
      </w:r>
      <w:r>
        <w:fldChar w:fldCharType="begin"/>
      </w:r>
      <w:r>
        <w:instrText xml:space="preserve"> PAGEREF _Toc1344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冷却水泵</w:t>
      </w:r>
      <w:r>
        <w:tab/>
      </w:r>
      <w:r>
        <w:fldChar w:fldCharType="begin"/>
      </w:r>
      <w:r>
        <w:instrText xml:space="preserve"> PAGEREF _Toc21707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8.3.3 </w:t>
      </w:r>
      <w:r>
        <w:t>冷冻水泵</w:t>
      </w:r>
      <w:r>
        <w:tab/>
      </w:r>
      <w:r>
        <w:fldChar w:fldCharType="begin"/>
      </w:r>
      <w:r>
        <w:instrText xml:space="preserve"> PAGEREF _Toc8867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_Toc12134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_Toc12134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热水锅炉能耗</w:t>
      </w:r>
      <w:r>
        <w:tab/>
      </w:r>
      <w:r>
        <w:fldChar w:fldCharType="begin"/>
      </w:r>
      <w:r>
        <w:instrText xml:space="preserve"> PAGEREF _Toc25388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热水循环水泵能耗</w:t>
      </w:r>
      <w:r>
        <w:tab/>
      </w:r>
      <w:r>
        <w:fldChar w:fldCharType="begin"/>
      </w:r>
      <w:r>
        <w:instrText xml:space="preserve"> PAGEREF _Toc17111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_Toc22348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_Toc22348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_Toc21054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_Toc21054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 </w:instrText>
      </w:r>
      <w:r>
        <w:fldChar w:fldCharType="separate"/>
      </w:r>
      <w:r>
        <w:rPr>
          <w:rFonts w:hint="eastAsia"/>
        </w:rPr>
        <w:t xml:space="preserve">10 </w:t>
      </w:r>
      <w:r>
        <w:t>附录</w:t>
      </w:r>
      <w:r>
        <w:tab/>
      </w:r>
      <w:r>
        <w:fldChar w:fldCharType="begin"/>
      </w:r>
      <w:r>
        <w:instrText xml:space="preserve"> PAGEREF _Toc100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_Toc25745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_Toc25745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_Toc13019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_Toc13019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_Toc8592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_Toc8592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42"/>
    </w:p>
    <w:p>
      <w:pPr>
        <w:pStyle w:val="16"/>
      </w:pPr>
    </w:p>
    <w:p>
      <w:pPr>
        <w:pStyle w:val="2"/>
      </w:pPr>
      <w:bookmarkStart w:id="11" w:name="_Toc2179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寻墨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河南-洛阳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4310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14.1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20387.08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7962.89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180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钢结构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21956"/>
      <w:r>
        <w:rPr>
          <w:rFonts w:hint="eastAsia"/>
        </w:rPr>
        <w:t>测评依据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59800596"/>
      <w:bookmarkStart w:id="33" w:name="_Toc59802107"/>
      <w:bookmarkStart w:id="34" w:name="_Toc58336110"/>
      <w:bookmarkStart w:id="35" w:name="_Toc59787735"/>
      <w:bookmarkStart w:id="36" w:name="_Toc2871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28260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25831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河南-郑州, 《中国建筑热环境分析专用气象数据集》</w:t>
      </w:r>
      <w:bookmarkEnd w:id="40"/>
    </w:p>
    <w:p>
      <w:pPr>
        <w:pStyle w:val="4"/>
      </w:pPr>
      <w:bookmarkStart w:id="41" w:name="_Toc24931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28882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1294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05月27日16时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18.3</w:t>
            </w:r>
          </w:p>
        </w:tc>
        <w:tc>
          <w:tcPr>
            <w:vAlign w:val="center"/>
          </w:tcPr>
          <w:p>
            <w:r>
              <w:t>5.5</w:t>
            </w:r>
          </w:p>
        </w:tc>
        <w:tc>
          <w:tcPr>
            <w:vAlign w:val="center"/>
          </w:tcPr>
          <w:p>
            <w:r>
              <w:t>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01月05日07时</w:t>
            </w:r>
          </w:p>
        </w:tc>
        <w:tc>
          <w:tcPr>
            <w:vAlign w:val="center"/>
          </w:tcPr>
          <w:p>
            <w:r>
              <w:t>-8.9</w:t>
            </w:r>
          </w:p>
        </w:tc>
        <w:tc>
          <w:tcPr>
            <w:vAlign w:val="center"/>
          </w:tcPr>
          <w:p>
            <w:r>
              <w:t>-10.0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-6.0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9762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6624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水泥膨胀珍珠岩2%找坡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膨胀聚苯板(ρ=18-20)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19.0</w:t>
            </w:r>
          </w:p>
        </w:tc>
        <w:tc>
          <w:tcPr>
            <w:vAlign w:val="center"/>
          </w:tcPr>
          <w:p>
            <w:r>
              <w:t>2233.0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388.7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CCP复合板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0.968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153.4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粗砂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8.260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YT泡沫砼</w:t>
            </w:r>
          </w:p>
        </w:tc>
        <w:tc>
          <w:tcPr>
            <w:vAlign w:val="center"/>
          </w:tcPr>
          <w:p>
            <w:r>
              <w:t>0.098</w:t>
            </w:r>
          </w:p>
        </w:tc>
        <w:tc>
          <w:tcPr>
            <w:vAlign w:val="center"/>
          </w:tcPr>
          <w:p>
            <w:r>
              <w:t>0.980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449.2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12579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CCP复合板 70mm＋粗砂 10mm＋</w:t>
      </w:r>
      <w:r>
        <w:rPr>
          <w:color w:val="800000"/>
        </w:rPr>
        <w:t>挤塑聚苯板(ρ=25-32) 45mm</w:t>
      </w:r>
      <w:r>
        <w:rPr>
          <w:color w:val="000000"/>
        </w:rPr>
        <w:t>＋水泥砂浆 20mm＋水泥膨胀珍珠岩2%找坡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石灰水泥砂浆（混合砂浆） 20mm＋</w:t>
      </w:r>
      <w:r>
        <w:rPr>
          <w:color w:val="008000"/>
        </w:rPr>
        <w:t>加气砼砌块 200mm</w:t>
      </w:r>
      <w:r>
        <w:rPr>
          <w:color w:val="000000"/>
        </w:rPr>
        <w:t>＋膨胀聚苯板(ρ=18-20) 30mm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YT泡沫砼 150mm</w:t>
      </w:r>
      <w:r>
        <w:rPr>
          <w:color w:val="000000"/>
        </w:rPr>
        <w:t>＋水泥膨胀珍珠岩2%找坡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隔热金属框+中空玻璃（6mm中透光Low-E+12mm空气+6mm透明）：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传热系数2.600W/m^2.K，太阳得热系数0.435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隔热金属框+中空玻璃（6mm低透光Low-E+12mm空气+6mm透明）：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传热系数2.600W/m^2.K，太阳得热系数0.261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0" w:name="_Toc11888"/>
      <w:r>
        <w:rPr>
          <w:color w:val="000000"/>
        </w:rPr>
        <w:t>围护结构概况</w:t>
      </w:r>
      <w:bookmarkEnd w:id="50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  <w:bookmarkEnd w:id="51"/>
          </w:p>
        </w:tc>
        <w:tc>
          <w:tcPr>
            <w:tcW w:w="158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3.52</w:t>
            </w:r>
            <w:bookmarkEnd w:id="5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57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59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2.60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61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3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5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5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6" w:name="_Toc31817"/>
      <w:r>
        <w:rPr>
          <w:color w:val="000000"/>
        </w:rPr>
        <w:t>标识建筑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29484"/>
      <w:r>
        <w:rPr>
          <w:color w:val="000000"/>
        </w:rPr>
        <w:t>房间类型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6185"/>
      <w:r>
        <w:rPr>
          <w:color w:val="000000"/>
        </w:rPr>
        <w:t>房间表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19314"/>
      <w:r>
        <w:rPr>
          <w:color w:val="000000"/>
        </w:rPr>
        <w:t>作息时间表</w:t>
      </w:r>
      <w:bookmarkEnd w:id="6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0" w:name="_Toc19790"/>
      <w:r>
        <w:rPr>
          <w:color w:val="000000"/>
        </w:rPr>
        <w:t>系统类型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11590"/>
      <w:r>
        <w:rPr>
          <w:color w:val="000000"/>
        </w:rPr>
        <w:t>系统分区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4193.02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2" w:name="_Toc29351"/>
      <w:r>
        <w:rPr>
          <w:color w:val="000000"/>
        </w:rPr>
        <w:t>热回收参数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73" w:name="_Toc28887"/>
      <w:r>
        <w:rPr>
          <w:color w:val="000000"/>
        </w:rPr>
        <w:t>制冷系统</w:t>
      </w:r>
      <w:bookmarkEnd w:id="73"/>
    </w:p>
    <w:p>
      <w:pPr>
        <w:pStyle w:val="5"/>
        <w:widowControl w:val="0"/>
        <w:jc w:val="both"/>
        <w:rPr>
          <w:color w:val="000000"/>
        </w:rPr>
      </w:pPr>
      <w:bookmarkStart w:id="74" w:name="_Toc20671"/>
      <w:r>
        <w:rPr>
          <w:color w:val="000000"/>
        </w:rPr>
        <w:t>冷水机组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5" w:name="_Toc4430"/>
      <w:r>
        <w:rPr>
          <w:color w:val="000000"/>
        </w:rPr>
        <w:t>水泵系统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8122"/>
      <w:r>
        <w:rPr>
          <w:color w:val="000000"/>
        </w:rPr>
        <w:t>运行工况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697"/>
        <w:gridCol w:w="1697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29018"/>
      <w:r>
        <w:rPr>
          <w:color w:val="000000"/>
        </w:rPr>
        <w:t>制冷能耗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26164</w:t>
            </w:r>
          </w:p>
        </w:tc>
        <w:tc>
          <w:tcPr>
            <w:vAlign w:val="center"/>
          </w:tcPr>
          <w:p>
            <w:r>
              <w:t>548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6279</w:t>
            </w:r>
          </w:p>
        </w:tc>
        <w:tc>
          <w:tcPr>
            <w:vAlign w:val="center"/>
          </w:tcPr>
          <w:p>
            <w:r>
              <w:t>5480</w:t>
            </w:r>
          </w:p>
        </w:tc>
        <w:tc>
          <w:tcPr>
            <w:vAlign w:val="center"/>
          </w:tcPr>
          <w:p>
            <w:r>
              <w:t>4384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79575</w:t>
            </w:r>
          </w:p>
        </w:tc>
        <w:tc>
          <w:tcPr>
            <w:vAlign w:val="center"/>
          </w:tcPr>
          <w:p>
            <w:r>
              <w:t>415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17507</w:t>
            </w:r>
          </w:p>
        </w:tc>
        <w:tc>
          <w:tcPr>
            <w:vAlign w:val="center"/>
          </w:tcPr>
          <w:p>
            <w:r>
              <w:t>4150</w:t>
            </w:r>
          </w:p>
        </w:tc>
        <w:tc>
          <w:tcPr>
            <w:vAlign w:val="center"/>
          </w:tcPr>
          <w:p>
            <w:r>
              <w:t>3320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133836</w:t>
            </w:r>
          </w:p>
        </w:tc>
        <w:tc>
          <w:tcPr>
            <w:vAlign w:val="center"/>
          </w:tcPr>
          <w:p>
            <w:r>
              <w:t>431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26767</w:t>
            </w:r>
          </w:p>
        </w:tc>
        <w:tc>
          <w:tcPr>
            <w:vAlign w:val="center"/>
          </w:tcPr>
          <w:p>
            <w:r>
              <w:t>4310</w:t>
            </w:r>
          </w:p>
        </w:tc>
        <w:tc>
          <w:tcPr>
            <w:vAlign w:val="center"/>
          </w:tcPr>
          <w:p>
            <w:r>
              <w:t>3448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130870</w:t>
            </w:r>
          </w:p>
        </w:tc>
        <w:tc>
          <w:tcPr>
            <w:vAlign w:val="center"/>
          </w:tcPr>
          <w:p>
            <w:r>
              <w:t>306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26174</w:t>
            </w:r>
          </w:p>
        </w:tc>
        <w:tc>
          <w:tcPr>
            <w:vAlign w:val="center"/>
          </w:tcPr>
          <w:p>
            <w:r>
              <w:t>3060</w:t>
            </w:r>
          </w:p>
        </w:tc>
        <w:tc>
          <w:tcPr>
            <w:vAlign w:val="center"/>
          </w:tcPr>
          <w:p>
            <w:r>
              <w:t>2448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29361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5400</w:t>
            </w:r>
          </w:p>
        </w:tc>
        <w:tc>
          <w:tcPr>
            <w:vAlign w:val="center"/>
          </w:tcPr>
          <w:p>
            <w:r>
              <w:t>540</w:t>
            </w:r>
          </w:p>
        </w:tc>
        <w:tc>
          <w:tcPr>
            <w:vAlign w:val="center"/>
          </w:tcPr>
          <w:p>
            <w:r>
              <w:t>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399805</w:t>
            </w:r>
          </w:p>
        </w:tc>
        <w:tc>
          <w:tcPr>
            <w:vAlign w:val="center"/>
          </w:tcPr>
          <w:p>
            <w:r>
              <w:t>1754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82127</w:t>
            </w:r>
          </w:p>
        </w:tc>
        <w:tc>
          <w:tcPr>
            <w:vAlign w:val="center"/>
          </w:tcPr>
          <w:p>
            <w:r>
              <w:t>17540</w:t>
            </w:r>
          </w:p>
        </w:tc>
        <w:tc>
          <w:tcPr>
            <w:vAlign w:val="center"/>
          </w:tcPr>
          <w:p>
            <w:r>
              <w:t>14032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8" w:name="_Toc32320"/>
      <w:r>
        <w:rPr>
          <w:color w:val="000000"/>
        </w:rPr>
        <w:t>供暖系统</w:t>
      </w:r>
      <w:bookmarkEnd w:id="78"/>
    </w:p>
    <w:p>
      <w:pPr>
        <w:pStyle w:val="5"/>
        <w:widowControl w:val="0"/>
        <w:jc w:val="both"/>
        <w:rPr>
          <w:color w:val="000000"/>
        </w:rPr>
      </w:pPr>
      <w:bookmarkStart w:id="79" w:name="_Toc10476"/>
      <w:r>
        <w:rPr>
          <w:color w:val="000000"/>
        </w:rPr>
        <w:t>热泵系统</w:t>
      </w:r>
      <w:bookmarkEnd w:id="7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风冷-螺杆式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41823</w:t>
            </w:r>
          </w:p>
        </w:tc>
        <w:tc>
          <w:tcPr>
            <w:vAlign w:val="center"/>
          </w:tcPr>
          <w:p>
            <w:r>
              <w:t>664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10456</w:t>
            </w:r>
          </w:p>
        </w:tc>
        <w:tc>
          <w:tcPr>
            <w:vAlign w:val="center"/>
          </w:tcPr>
          <w:p>
            <w:r>
              <w:t>5312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79223</w:t>
            </w:r>
          </w:p>
        </w:tc>
        <w:tc>
          <w:tcPr>
            <w:vAlign w:val="center"/>
          </w:tcPr>
          <w:p>
            <w:r>
              <w:t>452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19806</w:t>
            </w:r>
          </w:p>
        </w:tc>
        <w:tc>
          <w:tcPr>
            <w:vAlign w:val="center"/>
          </w:tcPr>
          <w:p>
            <w:r>
              <w:t>3616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29778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7445</w:t>
            </w:r>
          </w:p>
        </w:tc>
        <w:tc>
          <w:tcPr>
            <w:vAlign w:val="center"/>
          </w:tcPr>
          <w:p>
            <w:r>
              <w:t>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9237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2309</w:t>
            </w:r>
          </w:p>
        </w:tc>
        <w:tc>
          <w:tcPr>
            <w:vAlign w:val="center"/>
          </w:tcPr>
          <w:p>
            <w:r>
              <w:t>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4165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875</w:t>
            </w:r>
          </w:p>
        </w:tc>
        <w:tc>
          <w:tcPr>
            <w:vAlign w:val="center"/>
          </w:tcPr>
          <w:p>
            <w:r>
              <w:t>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164226</w:t>
            </w:r>
          </w:p>
        </w:tc>
        <w:tc>
          <w:tcPr>
            <w:vAlign w:val="center"/>
          </w:tcPr>
          <w:p>
            <w:r>
              <w:t>1245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40890</w:t>
            </w:r>
          </w:p>
        </w:tc>
        <w:tc>
          <w:tcPr>
            <w:vAlign w:val="center"/>
          </w:tcPr>
          <w:p>
            <w:r>
              <w:t>9960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0" w:name="_Toc28860"/>
      <w:r>
        <w:rPr>
          <w:color w:val="000000"/>
        </w:rPr>
        <w:t>照明</w:t>
      </w:r>
      <w:bookmarkEnd w:id="8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13003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2130</w:t>
            </w:r>
          </w:p>
        </w:tc>
        <w:tc>
          <w:tcPr>
            <w:vAlign w:val="center"/>
          </w:tcPr>
          <w:p>
            <w:r>
              <w:t>32205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486</w:t>
            </w:r>
          </w:p>
        </w:tc>
        <w:tc>
          <w:tcPr>
            <w:vAlign w:val="center"/>
          </w:tcPr>
          <w:p>
            <w:r>
              <w:t>5737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5287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宾馆-3星级多功能厅</w:t>
            </w:r>
          </w:p>
        </w:tc>
        <w:tc>
          <w:tcPr>
            <w:vAlign w:val="center"/>
          </w:tcPr>
          <w:p>
            <w:r>
              <w:t>60.44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1145</w:t>
            </w:r>
          </w:p>
        </w:tc>
        <w:tc>
          <w:tcPr>
            <w:vAlign w:val="center"/>
          </w:tcPr>
          <w:p>
            <w:r>
              <w:t>69185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126014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1" w:name="_Toc19965"/>
      <w:r>
        <w:rPr>
          <w:color w:val="000000"/>
        </w:rPr>
        <w:t>比对建筑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13211"/>
      <w:r>
        <w:rPr>
          <w:color w:val="000000"/>
        </w:rPr>
        <w:t>房间类型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30802"/>
      <w:r>
        <w:rPr>
          <w:color w:val="000000"/>
        </w:rPr>
        <w:t>房间表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4" w:name="_Toc16489"/>
      <w:r>
        <w:rPr>
          <w:color w:val="000000"/>
        </w:rPr>
        <w:t>作息时间表</w:t>
      </w:r>
      <w:bookmarkEnd w:id="8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>
      <w:pPr>
        <w:pStyle w:val="4"/>
        <w:widowControl w:val="0"/>
        <w:jc w:val="both"/>
        <w:rPr>
          <w:color w:val="000000"/>
        </w:rPr>
      </w:pPr>
      <w:bookmarkStart w:id="85" w:name="_Toc158"/>
      <w:r>
        <w:rPr>
          <w:color w:val="000000"/>
        </w:rPr>
        <w:t>系统类型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9477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4193.02</w:t>
            </w:r>
          </w:p>
        </w:tc>
        <w:tc>
          <w:tcPr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7" w:name="_Toc15727"/>
      <w:r>
        <w:rPr>
          <w:color w:val="000000"/>
        </w:rPr>
        <w:t>制冷系统</w:t>
      </w:r>
      <w:bookmarkEnd w:id="87"/>
    </w:p>
    <w:p>
      <w:pPr>
        <w:pStyle w:val="5"/>
        <w:widowControl w:val="0"/>
        <w:jc w:val="both"/>
        <w:rPr>
          <w:color w:val="000000"/>
        </w:rPr>
      </w:pPr>
      <w:bookmarkStart w:id="88" w:name="_Toc1344"/>
      <w:r>
        <w:rPr>
          <w:color w:val="000000"/>
        </w:rPr>
        <w:t>冷水机组</w:t>
      </w:r>
      <w:bookmarkEnd w:id="8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164</w:t>
            </w:r>
          </w:p>
        </w:tc>
        <w:tc>
          <w:tcPr>
            <w:vAlign w:val="center"/>
          </w:tcPr>
          <w:p>
            <w:r>
              <w:t>702</w:t>
            </w:r>
          </w:p>
        </w:tc>
        <w:tc>
          <w:tcPr>
            <w:vAlign w:val="center"/>
          </w:tcPr>
          <w:p>
            <w:r>
              <w:t>4.28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2"/>
        <w:gridCol w:w="24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175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45138</w:t>
            </w:r>
          </w:p>
        </w:tc>
        <w:tc>
          <w:tcPr>
            <w:vAlign w:val="center"/>
          </w:tcPr>
          <w:p>
            <w:r>
              <w:t>10671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351</w:t>
            </w:r>
          </w:p>
        </w:tc>
        <w:tc>
          <w:tcPr>
            <w:vAlign w:val="center"/>
          </w:tcPr>
          <w:p>
            <w:r>
              <w:t>5.12</w:t>
            </w:r>
          </w:p>
        </w:tc>
        <w:tc>
          <w:tcPr>
            <w:vAlign w:val="center"/>
          </w:tcPr>
          <w:p>
            <w:r>
              <w:t>151998</w:t>
            </w:r>
          </w:p>
        </w:tc>
        <w:tc>
          <w:tcPr>
            <w:vAlign w:val="center"/>
          </w:tcPr>
          <w:p>
            <w:r>
              <w:t>29687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526</w:t>
            </w:r>
          </w:p>
        </w:tc>
        <w:tc>
          <w:tcPr>
            <w:vAlign w:val="center"/>
          </w:tcPr>
          <w:p>
            <w:r>
              <w:t>4.65</w:t>
            </w:r>
          </w:p>
        </w:tc>
        <w:tc>
          <w:tcPr>
            <w:vAlign w:val="center"/>
          </w:tcPr>
          <w:p>
            <w:r>
              <w:t>179479</w:t>
            </w:r>
          </w:p>
        </w:tc>
        <w:tc>
          <w:tcPr>
            <w:vAlign w:val="center"/>
          </w:tcPr>
          <w:p>
            <w:r>
              <w:t>38598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702</w:t>
            </w:r>
          </w:p>
        </w:tc>
        <w:tc>
          <w:tcPr>
            <w:vAlign w:val="center"/>
          </w:tcPr>
          <w:p>
            <w:r>
              <w:t>4.28</w:t>
            </w:r>
          </w:p>
        </w:tc>
        <w:tc>
          <w:tcPr>
            <w:vAlign w:val="center"/>
          </w:tcPr>
          <w:p>
            <w:r>
              <w:t>21677</w:t>
            </w:r>
          </w:p>
        </w:tc>
        <w:tc>
          <w:tcPr>
            <w:vAlign w:val="center"/>
          </w:tcPr>
          <w:p>
            <w:r>
              <w:t>5065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4.74</w:t>
            </w:r>
          </w:p>
        </w:tc>
        <w:tc>
          <w:tcPr>
            <w:vAlign w:val="center"/>
          </w:tcPr>
          <w:p>
            <w:r>
              <w:t>398292</w:t>
            </w:r>
          </w:p>
        </w:tc>
        <w:tc>
          <w:tcPr>
            <w:vAlign w:val="center"/>
          </w:tcPr>
          <w:p>
            <w:r>
              <w:t>84020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21707"/>
      <w:r>
        <w:rPr>
          <w:color w:val="000000"/>
        </w:rPr>
        <w:t>冷却水泵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702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31866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583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426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8867"/>
      <w:r>
        <w:rPr>
          <w:color w:val="000000"/>
        </w:rPr>
        <w:t>冷冻水泵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0.0241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702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29115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583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426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12134"/>
      <w:r>
        <w:rPr>
          <w:color w:val="000000"/>
        </w:rPr>
        <w:t>供暖系统</w:t>
      </w:r>
      <w:bookmarkEnd w:id="91"/>
    </w:p>
    <w:p>
      <w:pPr>
        <w:pStyle w:val="5"/>
        <w:widowControl w:val="0"/>
        <w:jc w:val="both"/>
        <w:rPr>
          <w:color w:val="000000"/>
        </w:rPr>
      </w:pPr>
      <w:bookmarkStart w:id="92" w:name="_Toc25388"/>
      <w:r>
        <w:rPr>
          <w:color w:val="000000"/>
        </w:rPr>
        <w:t>热水锅炉能耗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196542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99866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3" w:name="_Toc17111"/>
      <w:r>
        <w:rPr>
          <w:color w:val="000000"/>
        </w:rPr>
        <w:t>热水循环水泵能耗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967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0.00433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844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4661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4" w:name="_Toc22348"/>
      <w:r>
        <w:rPr>
          <w:color w:val="000000"/>
        </w:rPr>
        <w:t>照明</w:t>
      </w:r>
      <w:bookmarkEnd w:id="9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13003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2130</w:t>
            </w:r>
          </w:p>
        </w:tc>
        <w:tc>
          <w:tcPr>
            <w:vAlign w:val="center"/>
          </w:tcPr>
          <w:p>
            <w:r>
              <w:t>32205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486</w:t>
            </w:r>
          </w:p>
        </w:tc>
        <w:tc>
          <w:tcPr>
            <w:vAlign w:val="center"/>
          </w:tcPr>
          <w:p>
            <w:r>
              <w:t>5737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132</w:t>
            </w:r>
          </w:p>
        </w:tc>
        <w:tc>
          <w:tcPr>
            <w:vAlign w:val="center"/>
          </w:tcPr>
          <w:p>
            <w:r>
              <w:t>5287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宾馆-3星级多功能厅</w:t>
            </w:r>
          </w:p>
        </w:tc>
        <w:tc>
          <w:tcPr>
            <w:vAlign w:val="center"/>
          </w:tcPr>
          <w:p>
            <w:r>
              <w:t>60.44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1145</w:t>
            </w:r>
          </w:p>
        </w:tc>
        <w:tc>
          <w:tcPr>
            <w:vAlign w:val="center"/>
          </w:tcPr>
          <w:p>
            <w:r>
              <w:t>69185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126014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5" w:name="_Toc21054"/>
      <w:r>
        <w:rPr>
          <w:color w:val="000000"/>
        </w:rPr>
        <w:t>计算结果</w:t>
      </w:r>
      <w:bookmarkEnd w:id="9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节能率别名"/>
            <w:r>
              <w:rPr>
                <w:rFonts w:hint="eastAsia"/>
                <w:lang w:val="en-US"/>
              </w:rPr>
              <w:t>比对节能率</w:t>
            </w:r>
            <w:bookmarkEnd w:id="96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92.77</w:t>
            </w:r>
            <w:bookmarkEnd w:id="9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耗冷量2"/>
            <w:r>
              <w:rPr>
                <w:rFonts w:hint="eastAsia"/>
                <w:lang w:val="en-US"/>
              </w:rPr>
              <w:t>92.42</w:t>
            </w:r>
            <w:bookmarkEnd w:id="98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节能率耗冷量2"/>
            <w:r>
              <w:rPr>
                <w:rFonts w:hint="eastAsia"/>
                <w:lang w:val="en-US"/>
              </w:rPr>
              <w:t>-0.38%</w:t>
            </w:r>
            <w:bookmarkEnd w:id="99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耗热量2"/>
            <w:r>
              <w:rPr>
                <w:rFonts w:hint="eastAsia"/>
                <w:lang w:val="en-US"/>
              </w:rPr>
              <w:t>38.11</w:t>
            </w:r>
            <w:bookmarkEnd w:id="10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参照建筑耗热量2"/>
            <w:r>
              <w:rPr>
                <w:rFonts w:hint="eastAsia"/>
                <w:lang w:val="en-US"/>
              </w:rPr>
              <w:t>45.60</w:t>
            </w:r>
            <w:bookmarkEnd w:id="101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节能率耗热量2"/>
            <w:r>
              <w:rPr>
                <w:rFonts w:hint="eastAsia"/>
                <w:lang w:val="en-US"/>
              </w:rPr>
              <w:t>16.44%</w:t>
            </w:r>
            <w:bookmarkEnd w:id="102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130.87</w:t>
            </w:r>
            <w:bookmarkEnd w:id="10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耗冷耗热量2"/>
            <w:r>
              <w:rPr>
                <w:rFonts w:hint="eastAsia"/>
                <w:lang w:val="en-US"/>
              </w:rPr>
              <w:t>138.02</w:t>
            </w:r>
            <w:bookmarkEnd w:id="104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节能率耗冷耗热量2"/>
            <w:r>
              <w:rPr>
                <w:rFonts w:hint="eastAsia"/>
                <w:lang w:val="en-US"/>
              </w:rPr>
              <w:t>5.18%</w:t>
            </w:r>
            <w:bookmarkEnd w:id="105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冷源能耗"/>
            <w:r>
              <w:rPr>
                <w:lang w:val="en-US"/>
              </w:rPr>
              <w:t>19.06</w:t>
            </w:r>
            <w:bookmarkEnd w:id="106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冷源能耗"/>
            <w:r>
              <w:rPr>
                <w:lang w:val="en-US"/>
              </w:rPr>
              <w:t>19.50</w:t>
            </w:r>
            <w:bookmarkEnd w:id="107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空调能耗"/>
            <w:r>
              <w:rPr>
                <w:lang w:val="en-US"/>
              </w:rPr>
              <w:t>21.59%</w:t>
            </w:r>
            <w:bookmarkEnd w:id="108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4.07</w:t>
            </w:r>
            <w:bookmarkEnd w:id="10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冷却水泵能耗"/>
            <w:r>
              <w:rPr>
                <w:lang w:val="en-US"/>
              </w:rPr>
              <w:t>7.39</w:t>
            </w:r>
            <w:bookmarkEnd w:id="110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冷冻水泵能耗"/>
            <w:r>
              <w:rPr>
                <w:lang w:val="en-US"/>
              </w:rPr>
              <w:t>3.26</w:t>
            </w:r>
            <w:bookmarkEnd w:id="11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冷冻水泵能耗"/>
            <w:r>
              <w:rPr>
                <w:lang w:val="en-US"/>
              </w:rPr>
              <w:t>6.76</w:t>
            </w:r>
            <w:bookmarkEnd w:id="112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单元式空调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单元式空调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"/>
            <w:r>
              <w:rPr>
                <w:lang w:val="en-US"/>
              </w:rPr>
              <w:t>26.38</w:t>
            </w:r>
            <w:bookmarkEnd w:id="11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能耗"/>
            <w:r>
              <w:rPr>
                <w:lang w:val="en-US"/>
              </w:rPr>
              <w:t>33.64</w:t>
            </w:r>
            <w:bookmarkEnd w:id="116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热源能耗"/>
            <w:r>
              <w:rPr>
                <w:lang w:val="en-US"/>
              </w:rPr>
              <w:t>9.49</w:t>
            </w:r>
            <w:bookmarkEnd w:id="11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热源能耗"/>
            <w:r>
              <w:rPr>
                <w:lang w:val="en-US"/>
              </w:rPr>
              <w:t>23.17</w:t>
            </w:r>
            <w:bookmarkEnd w:id="118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供暖能耗"/>
            <w:r>
              <w:rPr>
                <w:rFonts w:hint="eastAsia"/>
                <w:lang w:val="en-US"/>
              </w:rPr>
              <w:t>51.35%</w:t>
            </w:r>
            <w:bookmarkEnd w:id="119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水泵能耗"/>
            <w:r>
              <w:rPr>
                <w:lang w:val="en-US"/>
              </w:rPr>
              <w:t>2.31</w:t>
            </w:r>
            <w:bookmarkEnd w:id="12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水泵能耗"/>
            <w:r>
              <w:rPr>
                <w:lang w:val="en-US"/>
              </w:rPr>
              <w:t>1.08</w:t>
            </w:r>
            <w:bookmarkEnd w:id="121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单元式热泵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单元式热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11.80</w:t>
            </w:r>
            <w:bookmarkEnd w:id="124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供暖能耗"/>
            <w:r>
              <w:rPr>
                <w:lang w:val="en-US"/>
              </w:rPr>
              <w:t>24.25</w:t>
            </w:r>
            <w:bookmarkEnd w:id="125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空调供暖能耗"/>
            <w:r>
              <w:rPr>
                <w:rFonts w:hint="eastAsia"/>
                <w:lang w:val="en-US"/>
              </w:rPr>
              <w:t>38.18</w:t>
            </w:r>
            <w:bookmarkEnd w:id="126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空调供暖能耗"/>
            <w:r>
              <w:rPr>
                <w:rFonts w:hint="eastAsia"/>
                <w:lang w:val="en-US"/>
              </w:rPr>
              <w:t>57.90</w:t>
            </w:r>
            <w:bookmarkEnd w:id="127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空调供暖能耗"/>
            <w:r>
              <w:rPr>
                <w:rFonts w:hint="eastAsia"/>
                <w:lang w:val="en-US"/>
              </w:rPr>
              <w:t>34.06%</w:t>
            </w:r>
            <w:bookmarkEnd w:id="128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"/>
            <w:r>
              <w:rPr>
                <w:lang w:val="en-US"/>
              </w:rPr>
              <w:t>29.24</w:t>
            </w:r>
            <w:bookmarkEnd w:id="12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照明能耗"/>
            <w:r>
              <w:rPr>
                <w:lang w:val="en-US"/>
              </w:rPr>
              <w:t>29.24</w:t>
            </w:r>
            <w:bookmarkEnd w:id="130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照明能耗"/>
            <w:r>
              <w:rPr>
                <w:lang w:val="en-US"/>
              </w:rPr>
              <w:t>0.00%</w:t>
            </w:r>
            <w:bookmarkEnd w:id="131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空调供暖和照明能耗"/>
            <w:r>
              <w:rPr>
                <w:lang w:val="en-US"/>
              </w:rPr>
              <w:t>67.42</w:t>
            </w:r>
            <w:bookmarkEnd w:id="132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空调供暖和照明能耗"/>
            <w:r>
              <w:rPr>
                <w:lang w:val="en-US"/>
              </w:rPr>
              <w:t>87.14</w:t>
            </w:r>
            <w:bookmarkEnd w:id="133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Ref"/>
            <w:r>
              <w:rPr>
                <w:lang w:val="en-US"/>
              </w:rPr>
              <w:t>22.63%</w:t>
            </w:r>
            <w:bookmarkEnd w:id="134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基础建筑空调供暖和照明能耗"/>
            <w:r>
              <w:rPr>
                <w:rFonts w:hint="eastAsia"/>
                <w:lang w:val="en-US"/>
              </w:rPr>
              <w:t>174.27</w:t>
            </w:r>
            <w:bookmarkEnd w:id="135"/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节能率Base"/>
            <w:r>
              <w:rPr>
                <w:rFonts w:hint="eastAsia"/>
                <w:lang w:val="en-US"/>
              </w:rPr>
              <w:t>61.31%</w:t>
            </w:r>
            <w:bookmarkEnd w:id="13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37" w:name="_Toc100"/>
      <w:r>
        <w:t>附录</w:t>
      </w:r>
      <w:bookmarkEnd w:id="137"/>
    </w:p>
    <w:p>
      <w:pPr>
        <w:pStyle w:val="4"/>
        <w:jc w:val="both"/>
      </w:pPr>
      <w:bookmarkStart w:id="138" w:name="_Toc301"/>
      <w:r>
        <w:t>工作日/节假日人员逐时在室率(%)</w:t>
      </w:r>
      <w:bookmarkEnd w:id="13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39" w:name="_Toc25745"/>
      <w:r>
        <w:t>工作日/节假日照明开关时间表(%)</w:t>
      </w:r>
      <w:bookmarkEnd w:id="13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0" w:name="_Toc13019"/>
      <w:r>
        <w:t>工作日/节假日设备逐时使用率(%)</w:t>
      </w:r>
      <w:bookmarkEnd w:id="14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1" w:name="_Toc8592"/>
      <w:r>
        <w:t>工作日/节假日空调系统运行时间表(1:开,0:关)</w:t>
      </w:r>
      <w:bookmarkEnd w:id="14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9BD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建筑能效计算报告书.dotx</Template>
  <Company>ths</Company>
  <Pages>1</Pages>
  <Words>939</Words>
  <Characters>5357</Characters>
  <Lines>44</Lines>
  <Paragraphs>12</Paragraphs>
  <TotalTime>0</TotalTime>
  <ScaleCrop>false</ScaleCrop>
  <LinksUpToDate>false</LinksUpToDate>
  <CharactersWithSpaces>6284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2018-04-25T07:59:00Z</dcterms:created>
  <dc:creator>Jiangx</dc:creator>
  <cp:lastModifiedBy>故</cp:lastModifiedBy>
  <cp:lastPrinted>2411-12-31T16:00:00Z</cp:lastPrinted>
  <dcterms:modified xsi:type="dcterms:W3CDTF">2024-01-08T17:16:19Z</dcterms:modified>
  <dc:title>建筑能效测评报告书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ED69A97146224A029786E90AE8505A98_12</vt:lpwstr>
  </property>
</Properties>
</file>