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0" w:name="_Toc28467"/>
      <w:r>
        <w:rPr>
          <w:color w:val="000000"/>
          <w:kern w:val="2"/>
          <w:szCs w:val="24"/>
          <w:lang w:val="en-US"/>
        </w:rPr>
        <w:t>外窗气密性</w:t>
      </w:r>
      <w:bookmarkEnd w:id="0"/>
    </w:p>
    <w:tbl>
      <w:tblPr>
        <w:tblStyle w:val="4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3534"/>
        <w:gridCol w:w="353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层数</w:t>
            </w:r>
          </w:p>
        </w:tc>
        <w:tc>
          <w:tcPr>
            <w:vAlign w:val="center"/>
          </w:tcPr>
          <w:p>
            <w:r>
              <w:t>1～9层</w:t>
            </w:r>
          </w:p>
        </w:tc>
        <w:tc>
          <w:tcPr>
            <w:vAlign w:val="center"/>
          </w:tcPr>
          <w:p>
            <w:r>
              <w:t>10层以上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7级  C9739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外窗气密性措施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《河南公共建筑节能设计标准》(DBJ41/T 075-2016)第3.3.5条，分级与检测方法《建筑外门窗气密、水密、抗风压性能分级及检测方法》（GB/T 7106-2008）</w:t>
            </w:r>
          </w:p>
        </w:tc>
        <w:tc>
          <w:tcPr>
            <w:vAlign w:val="center"/>
          </w:tcPr>
          <w:p>
            <w:r>
              <w:t>《河南公共建筑节能设计标准》(DBJ41/T 075-2016)第3.3.5条，分级与检测方法《建筑外门窗气密、水密、抗风压性能分级及检测方法》（GB/T 7106-2008）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10层以下外窗气密性不应低于《建筑外门窗气密、水密、抗风压性能分级及检测方法》（GB/T 7106-2008）的6级</w:t>
            </w:r>
          </w:p>
        </w:tc>
        <w:tc>
          <w:tcPr>
            <w:vAlign w:val="center"/>
          </w:tcPr>
          <w:p>
            <w:r>
              <w:t>10层及以上外窗气密性不应低于《建筑外门窗气密、水密、抗风压性能分级及检测方法》（GB/T 7106-2008）的7级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r>
              <w:t>满足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</w:tbl>
    <w:p>
      <w:pPr>
        <w:pStyle w:val="2"/>
        <w:widowControl w:val="0"/>
        <w:jc w:val="both"/>
        <w:rPr>
          <w:color w:val="000000"/>
          <w:kern w:val="2"/>
          <w:szCs w:val="24"/>
          <w:lang w:val="en-US"/>
        </w:rPr>
      </w:pPr>
      <w:bookmarkStart w:id="1" w:name="_Toc18654"/>
      <w:r>
        <w:rPr>
          <w:color w:val="000000"/>
          <w:kern w:val="2"/>
          <w:szCs w:val="24"/>
          <w:lang w:val="en-US"/>
        </w:rPr>
        <w:t>幕墙气密性</w:t>
      </w:r>
      <w:bookmarkEnd w:id="1"/>
    </w:p>
    <w:tbl>
      <w:tblPr>
        <w:tblStyle w:val="4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706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最不利气密性等级</w:t>
            </w:r>
          </w:p>
        </w:tc>
        <w:tc>
          <w:tcPr>
            <w:vAlign w:val="center"/>
          </w:tcPr>
          <w:p>
            <w:r>
              <w:t>－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幕墙气密性措施</w:t>
            </w:r>
          </w:p>
        </w:tc>
        <w:tc>
          <w:tcPr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通风换气装置</w:t>
            </w:r>
          </w:p>
        </w:tc>
        <w:tc>
          <w:tcPr>
            <w:vAlign w:val="center"/>
          </w:tcPr>
          <w:p>
            <w:r>
              <w:t>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标准依据</w:t>
            </w:r>
          </w:p>
        </w:tc>
        <w:tc>
          <w:tcPr>
            <w:vAlign w:val="center"/>
          </w:tcPr>
          <w:p>
            <w:r>
              <w:t>《河南公共建筑节能设计标准》(DBJ41/T 075-2016)第3.3.6条，《建筑幕墙》（GB/T 21086-2007）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标准要求</w:t>
            </w:r>
          </w:p>
        </w:tc>
        <w:tc>
          <w:tcPr>
            <w:vAlign w:val="center"/>
          </w:tcPr>
          <w:p>
            <w:r>
              <w:t>幕墙气密性不应低于《建筑幕墙》（GB/T 21086-2007）的3级，即《建筑幕墙物理性能分级》(GB/T15225-94)的3级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结论</w:t>
            </w:r>
          </w:p>
        </w:tc>
        <w:tc>
          <w:tcPr>
            <w:vAlign w:val="center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满足</w:t>
            </w:r>
          </w:p>
        </w:tc>
      </w:tr>
    </w:tbl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2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3MDlmMThmMTliYzc1MTYyNjM3ZmNiN2E0YTc3MjEifQ=="/>
  </w:docVars>
  <w:rsids>
    <w:rsidRoot w:val="00000000"/>
    <w:rsid w:val="00074A6B"/>
    <w:rsid w:val="7676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2"/>
    <w:next w:val="3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qFormat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2024-03-13T17:41:10Z</dcterms:created>
  <dc:creator>86137</dc:creator>
  <cp:lastModifiedBy>故</cp:lastModifiedBy>
  <dcterms:modified xsi:type="dcterms:W3CDTF">2024-03-13T17:42:42Z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D3F6BB241265456DB2FFCBF9B56372BC_13</vt:lpwstr>
  </property>
</Properties>
</file>