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r>
              <w:rPr>
                <w:rFonts w:hint="eastAsia" w:ascii="宋体" w:hAnsi="宋体"/>
                <w:szCs w:val="21"/>
              </w:rPr>
              <w:t>“古墟.新生”—基于城市更新背景下的工业遗址改造设计</w:t>
            </w:r>
            <w:bookmarkStart w:id="61" w:name="_GoBack"/>
            <w:bookmarkEnd w:id="6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bookmarkStart w:id="0" w:name="设计编号"/>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bookmarkStart w:id="1" w:name="建设单位"/>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bookmarkStart w:id="2" w:name="设计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3"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3"/>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r>
              <w:rPr>
                <w:rFonts w:hint="eastAsia"/>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4" w:name="软件全称"/>
            <w:r>
              <w:rPr>
                <w:rFonts w:hint="eastAsia"/>
              </w:rPr>
              <w:t>建筑声环境SEDU2023</w:t>
            </w:r>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r>
              <w:rPr>
                <w:rFonts w:hint="eastAsia"/>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5" w:name="软件版本"/>
            <w:r>
              <w:rPr>
                <w:rFonts w:hint="eastAsia"/>
              </w:rPr>
              <w:t>20220808（SP1）</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r>
              <w:rPr>
                <w:rFonts w:hint="eastAsia"/>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hAnsi="Times New Roman" w:cs="宋体"/>
                <w:lang w:val="zh-CN"/>
              </w:rPr>
            </w:pPr>
            <w:r>
              <w:rPr>
                <w:rFonts w:hint="eastAsia"/>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r>
              <w:rPr>
                <w:rFonts w:hint="eastAsia"/>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6" w:name="加密锁号"/>
            <w:r>
              <w:t>T15836976851</w:t>
            </w:r>
            <w:bookmarkEnd w:id="6"/>
          </w:p>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7"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_Toc2739 </w:instrText>
      </w:r>
      <w:r>
        <w:rPr>
          <w:rFonts w:ascii="宋体" w:hAnsi="宋体"/>
          <w:caps/>
        </w:rPr>
        <w:fldChar w:fldCharType="separate"/>
      </w:r>
      <w:r>
        <w:rPr>
          <w:rFonts w:hint="eastAsia" w:ascii="Times New Roman" w:hAnsi="Times New Roman"/>
          <w:szCs w:val="28"/>
        </w:rPr>
        <w:t>1</w:t>
      </w:r>
      <w:r>
        <w:rPr>
          <w:rFonts w:ascii="Times New Roman" w:hAnsi="Times New Roman"/>
          <w:szCs w:val="28"/>
        </w:rPr>
        <w:t>.</w:t>
      </w:r>
      <w:r>
        <w:rPr>
          <w:rFonts w:hint="eastAsia" w:ascii="Times New Roman" w:hAnsi="Times New Roman"/>
          <w:szCs w:val="28"/>
        </w:rPr>
        <w:t>项目概况</w:t>
      </w:r>
      <w:r>
        <w:tab/>
      </w:r>
      <w:r>
        <w:fldChar w:fldCharType="begin"/>
      </w:r>
      <w:r>
        <w:instrText xml:space="preserve"> PAGEREF _Toc2739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_Toc16523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_Toc16523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_Toc16540 </w:instrText>
      </w:r>
      <w:r>
        <w:fldChar w:fldCharType="separate"/>
      </w:r>
      <w:r>
        <w:rPr>
          <w:rFonts w:hint="eastAsia"/>
          <w:szCs w:val="24"/>
        </w:rPr>
        <w:t>2.1评价</w:t>
      </w:r>
      <w:r>
        <w:rPr>
          <w:szCs w:val="24"/>
        </w:rPr>
        <w:t>依据</w:t>
      </w:r>
      <w:r>
        <w:tab/>
      </w:r>
      <w:r>
        <w:fldChar w:fldCharType="begin"/>
      </w:r>
      <w:r>
        <w:instrText xml:space="preserve"> PAGEREF _Toc16540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_Toc12621 </w:instrText>
      </w:r>
      <w:r>
        <w:fldChar w:fldCharType="separate"/>
      </w:r>
      <w:r>
        <w:rPr>
          <w:rFonts w:hint="eastAsia"/>
          <w:szCs w:val="24"/>
        </w:rPr>
        <w:t>2.2标准</w:t>
      </w:r>
      <w:r>
        <w:rPr>
          <w:szCs w:val="24"/>
        </w:rPr>
        <w:t>要求</w:t>
      </w:r>
      <w:r>
        <w:tab/>
      </w:r>
      <w:r>
        <w:fldChar w:fldCharType="begin"/>
      </w:r>
      <w:r>
        <w:instrText xml:space="preserve"> PAGEREF _Toc12621 \h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_Toc19328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_Toc19328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_Toc15170 </w:instrText>
      </w:r>
      <w:r>
        <w:fldChar w:fldCharType="separate"/>
      </w:r>
      <w:r>
        <w:rPr>
          <w:rFonts w:hint="eastAsia"/>
          <w:szCs w:val="24"/>
        </w:rPr>
        <w:t>3.1模拟软件</w:t>
      </w:r>
      <w:r>
        <w:tab/>
      </w:r>
      <w:r>
        <w:fldChar w:fldCharType="begin"/>
      </w:r>
      <w:r>
        <w:instrText xml:space="preserve"> PAGEREF _Toc15170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_Toc26458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_Toc26458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_Toc3493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_Toc3493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_Toc1279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_Toc1279 \h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_Toc25200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_Toc25200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_Toc14607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_Toc14607 \h </w:instrText>
      </w:r>
      <w:r>
        <w:fldChar w:fldCharType="separate"/>
      </w:r>
      <w:r>
        <w:t>7</w:t>
      </w:r>
      <w:r>
        <w:fldChar w:fldCharType="end"/>
      </w:r>
      <w:r>
        <w:fldChar w:fldCharType="end"/>
      </w:r>
    </w:p>
    <w:p>
      <w:pPr>
        <w:pStyle w:val="13"/>
        <w:tabs>
          <w:tab w:val="right" w:leader="dot" w:pos="9070"/>
          <w:tab w:val="clear" w:pos="540"/>
          <w:tab w:val="clear" w:pos="9360"/>
        </w:tabs>
      </w:pPr>
      <w:r>
        <w:fldChar w:fldCharType="begin"/>
      </w:r>
      <w:r>
        <w:instrText xml:space="preserve"> HYPERLINK \l _Toc31759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_Toc31759 \h </w:instrText>
      </w:r>
      <w:r>
        <w:fldChar w:fldCharType="separate"/>
      </w:r>
      <w:r>
        <w:t>10</w:t>
      </w:r>
      <w:r>
        <w:fldChar w:fldCharType="end"/>
      </w:r>
      <w:r>
        <w:fldChar w:fldCharType="end"/>
      </w:r>
    </w:p>
    <w:p>
      <w:pPr>
        <w:pStyle w:val="12"/>
        <w:tabs>
          <w:tab w:val="right" w:leader="dot" w:pos="9070"/>
          <w:tab w:val="clear" w:pos="180"/>
          <w:tab w:val="clear" w:pos="9360"/>
        </w:tabs>
      </w:pPr>
      <w:r>
        <w:fldChar w:fldCharType="begin"/>
      </w:r>
      <w:r>
        <w:instrText xml:space="preserve"> HYPERLINK \l _Toc25449 </w:instrText>
      </w:r>
      <w:r>
        <w:fldChar w:fldCharType="separate"/>
      </w:r>
      <w:r>
        <w:rPr>
          <w:rFonts w:hint="eastAsia" w:ascii="Times New Roman" w:hAnsi="Times New Roman"/>
          <w:szCs w:val="28"/>
        </w:rPr>
        <w:t>5.结论</w:t>
      </w:r>
      <w:r>
        <w:tab/>
      </w:r>
      <w:r>
        <w:fldChar w:fldCharType="begin"/>
      </w:r>
      <w:r>
        <w:instrText xml:space="preserve"> PAGEREF _Toc25449 \h </w:instrText>
      </w:r>
      <w:r>
        <w:fldChar w:fldCharType="separate"/>
      </w:r>
      <w:r>
        <w:t>14</w:t>
      </w:r>
      <w:r>
        <w:fldChar w:fldCharType="end"/>
      </w:r>
      <w:r>
        <w:fldChar w:fldCharType="end"/>
      </w:r>
    </w:p>
    <w:p>
      <w:pPr>
        <w:pStyle w:val="12"/>
      </w:pPr>
      <w:r>
        <w:fldChar w:fldCharType="end"/>
      </w:r>
      <w:bookmarkEnd w:id="7"/>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8" w:name="_Toc479326717"/>
      <w:bookmarkStart w:id="9" w:name="_Toc2739"/>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8"/>
      <w:bookmarkEnd w:id="9"/>
    </w:p>
    <w:p>
      <w:r>
        <w:rPr>
          <w:rFonts w:hint="eastAsia"/>
        </w:rPr>
        <w:t>本项目参与计算的噪声敏感参评建筑物如下表所示：</w:t>
      </w:r>
    </w:p>
    <w:p>
      <w:pPr>
        <w:widowControl/>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名称</w:t>
            </w:r>
          </w:p>
        </w:tc>
        <w:tc>
          <w:tcPr>
            <w:shd w:val="clear" w:color="auto" w:fill="E6E6E6"/>
            <w:vAlign w:val="center"/>
          </w:tcPr>
          <w:p>
            <w:pPr>
              <w:jc w:val="center"/>
            </w:pPr>
            <w:r>
              <w:t>建筑高度(米)</w:t>
            </w:r>
          </w:p>
        </w:tc>
        <w:tc>
          <w:tcPr>
            <w:shd w:val="clear" w:color="auto" w:fill="E6E6E6"/>
            <w:vAlign w:val="center"/>
          </w:tcPr>
          <w:p>
            <w:pPr>
              <w:jc w:val="center"/>
            </w:pPr>
            <w: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展厅组团</w:t>
            </w:r>
          </w:p>
        </w:tc>
        <w:tc>
          <w:tcPr>
            <w:vAlign w:val="center"/>
          </w:tcPr>
          <w:p>
            <w:pPr>
              <w:jc w:val="center"/>
            </w:pPr>
            <w:r>
              <w:t>5.4</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社服中心</w:t>
            </w:r>
          </w:p>
        </w:tc>
        <w:tc>
          <w:tcPr>
            <w:vAlign w:val="center"/>
          </w:tcPr>
          <w:p>
            <w:pPr>
              <w:jc w:val="center"/>
            </w:pPr>
            <w:r>
              <w:t>4.5</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综合体</w:t>
            </w:r>
          </w:p>
        </w:tc>
        <w:tc>
          <w:tcPr>
            <w:vAlign w:val="center"/>
          </w:tcPr>
          <w:p>
            <w:pPr>
              <w:jc w:val="center"/>
            </w:pPr>
            <w:r>
              <w:t>3.3</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美术馆</w:t>
            </w:r>
          </w:p>
        </w:tc>
        <w:tc>
          <w:tcPr>
            <w:vAlign w:val="center"/>
          </w:tcPr>
          <w:p>
            <w:pPr>
              <w:jc w:val="center"/>
            </w:pPr>
            <w:r>
              <w:t>4.9</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餐厅组团</w:t>
            </w:r>
          </w:p>
        </w:tc>
        <w:tc>
          <w:tcPr>
            <w:vAlign w:val="center"/>
          </w:tcPr>
          <w:p>
            <w:pPr>
              <w:jc w:val="center"/>
            </w:pPr>
            <w:r>
              <w:t>4.0</w:t>
            </w:r>
          </w:p>
        </w:tc>
        <w:tc>
          <w:tcPr>
            <w:vAlign w:val="center"/>
          </w:tcPr>
          <w:p>
            <w:pPr>
              <w:jc w:val="center"/>
            </w:pPr>
            <w:r>
              <w:t>0.00</w:t>
            </w:r>
          </w:p>
        </w:tc>
      </w:tr>
    </w:tbl>
    <w:p>
      <w:pPr>
        <w:jc w:val="center"/>
      </w:pPr>
      <w:bookmarkStart w:id="10" w:name="参评建筑信息表"/>
      <w:bookmarkEnd w:id="10"/>
    </w:p>
    <w:p>
      <w:pPr>
        <w:pStyle w:val="2"/>
        <w:rPr>
          <w:rFonts w:ascii="Times New Roman" w:hAnsi="Times New Roman"/>
          <w:sz w:val="28"/>
          <w:szCs w:val="28"/>
        </w:rPr>
      </w:pPr>
      <w:bookmarkStart w:id="11" w:name="_Toc479326718"/>
      <w:bookmarkStart w:id="12" w:name="_Toc16523"/>
      <w:r>
        <w:rPr>
          <w:rFonts w:hint="eastAsia" w:ascii="Times New Roman" w:hAnsi="Times New Roman"/>
          <w:sz w:val="28"/>
          <w:szCs w:val="28"/>
        </w:rPr>
        <w:t>2.评价</w:t>
      </w:r>
      <w:r>
        <w:rPr>
          <w:rFonts w:ascii="Times New Roman" w:hAnsi="Times New Roman"/>
          <w:sz w:val="28"/>
          <w:szCs w:val="28"/>
        </w:rPr>
        <w:t>标准</w:t>
      </w:r>
      <w:bookmarkEnd w:id="11"/>
      <w:bookmarkEnd w:id="12"/>
    </w:p>
    <w:p>
      <w:pPr>
        <w:pStyle w:val="3"/>
        <w:rPr>
          <w:sz w:val="24"/>
          <w:szCs w:val="24"/>
        </w:rPr>
      </w:pPr>
      <w:bookmarkStart w:id="13" w:name="_Toc479326719"/>
      <w:bookmarkStart w:id="14" w:name="_Toc16540"/>
      <w:r>
        <w:rPr>
          <w:rFonts w:hint="eastAsia"/>
          <w:sz w:val="24"/>
          <w:szCs w:val="24"/>
        </w:rPr>
        <w:t>2.1评价</w:t>
      </w:r>
      <w:r>
        <w:rPr>
          <w:sz w:val="24"/>
          <w:szCs w:val="24"/>
        </w:rPr>
        <w:t>依据</w:t>
      </w:r>
      <w:bookmarkEnd w:id="13"/>
      <w:bookmarkEnd w:id="14"/>
    </w:p>
    <w:p>
      <w:pPr>
        <w:pStyle w:val="25"/>
        <w:numPr>
          <w:ilvl w:val="0"/>
          <w:numId w:val="1"/>
        </w:numPr>
        <w:ind w:firstLineChars="0"/>
      </w:pPr>
      <w:bookmarkStart w:id="15" w:name="标准名称1"/>
      <w:bookmarkStart w:id="16" w:name="_Hlk13924517"/>
      <w:bookmarkStart w:id="17" w:name="_Toc479326720"/>
      <w:r>
        <w:rPr>
          <w:rFonts w:hint="eastAsia"/>
        </w:rPr>
        <w:t>河南省《绿色建筑评价标准》DBJ41/T 109—2020</w:t>
      </w:r>
      <w:bookmarkEnd w:id="15"/>
    </w:p>
    <w:p>
      <w:pPr>
        <w:pStyle w:val="25"/>
        <w:numPr>
          <w:ilvl w:val="0"/>
          <w:numId w:val="1"/>
        </w:numPr>
        <w:ind w:firstLineChars="0"/>
      </w:pPr>
      <w:r>
        <w:rPr>
          <w:rFonts w:hint="eastAsia"/>
        </w:rPr>
        <w:t>《绿色建筑评价标准》</w:t>
      </w:r>
      <w:r>
        <w:t>GB</w:t>
      </w:r>
      <w:r>
        <w:rPr>
          <w:rFonts w:hint="eastAsia"/>
        </w:rPr>
        <w:t xml:space="preserve"> </w:t>
      </w:r>
      <w:r>
        <w:t>50378-2019</w:t>
      </w:r>
      <w:bookmarkEnd w:id="16"/>
      <w:r>
        <w:t xml:space="preserve"> </w:t>
      </w:r>
    </w:p>
    <w:p>
      <w:pPr>
        <w:pStyle w:val="25"/>
        <w:numPr>
          <w:ilvl w:val="0"/>
          <w:numId w:val="1"/>
        </w:numPr>
        <w:ind w:firstLineChars="0"/>
      </w:pPr>
      <w:r>
        <w:rPr>
          <w:rFonts w:hint="eastAsia"/>
        </w:rPr>
        <w:t>《绿色建筑评价</w:t>
      </w:r>
      <w:r>
        <w:t>技术细则</w:t>
      </w:r>
      <w:r>
        <w:rPr>
          <w:rFonts w:hint="eastAsia"/>
        </w:rPr>
        <w:t>》2019</w:t>
      </w:r>
    </w:p>
    <w:p>
      <w:pPr>
        <w:pStyle w:val="25"/>
        <w:numPr>
          <w:ilvl w:val="0"/>
          <w:numId w:val="1"/>
        </w:numPr>
        <w:ind w:firstLineChars="0"/>
      </w:pPr>
      <w:r>
        <w:rPr>
          <w:rFonts w:hint="eastAsia"/>
        </w:rPr>
        <w:t>《声环境质量标准》</w:t>
      </w:r>
      <w:r>
        <w:t xml:space="preserve">GB 3096-2008 </w:t>
      </w:r>
    </w:p>
    <w:p>
      <w:pPr>
        <w:pStyle w:val="25"/>
        <w:numPr>
          <w:ilvl w:val="0"/>
          <w:numId w:val="1"/>
        </w:numPr>
        <w:ind w:firstLineChars="0"/>
      </w:pPr>
      <w:r>
        <w:rPr>
          <w:rFonts w:hint="eastAsia"/>
        </w:rPr>
        <w:t>《环境</w:t>
      </w:r>
      <w:r>
        <w:t>影响评价技术</w:t>
      </w:r>
      <w:r>
        <w:rPr>
          <w:rFonts w:hint="eastAsia"/>
        </w:rPr>
        <w:t>导则 声环境》HJ</w:t>
      </w:r>
      <w:r>
        <w:t>2.4-2009</w:t>
      </w:r>
    </w:p>
    <w:p>
      <w:pPr>
        <w:pStyle w:val="25"/>
        <w:numPr>
          <w:ilvl w:val="0"/>
          <w:numId w:val="1"/>
        </w:numPr>
        <w:ind w:firstLineChars="0"/>
      </w:pPr>
      <w:r>
        <w:rPr>
          <w:rFonts w:hint="eastAsia"/>
        </w:rPr>
        <w:t>《声环境功能区划分技术规范》</w:t>
      </w:r>
      <w:r>
        <w:t>GB/T 15190-2014</w:t>
      </w:r>
    </w:p>
    <w:p>
      <w:pPr>
        <w:pStyle w:val="25"/>
        <w:numPr>
          <w:ilvl w:val="0"/>
          <w:numId w:val="1"/>
        </w:numPr>
        <w:ind w:firstLineChars="0"/>
      </w:pPr>
      <w:r>
        <w:rPr>
          <w:rFonts w:hint="eastAsia"/>
        </w:rPr>
        <w:t>《</w:t>
      </w:r>
      <w:r>
        <w:t>民用建筑绿色性能计算标准</w:t>
      </w:r>
      <w:r>
        <w:rPr>
          <w:rFonts w:hint="eastAsia"/>
        </w:rPr>
        <w:t>》</w:t>
      </w:r>
      <w:r>
        <w:t xml:space="preserve">JGJ/T 449-2018 </w:t>
      </w:r>
    </w:p>
    <w:p>
      <w:pPr>
        <w:pStyle w:val="3"/>
        <w:rPr>
          <w:sz w:val="24"/>
          <w:szCs w:val="24"/>
        </w:rPr>
      </w:pPr>
      <w:bookmarkStart w:id="18" w:name="_Toc12621"/>
      <w:r>
        <w:rPr>
          <w:rFonts w:hint="eastAsia"/>
          <w:sz w:val="24"/>
          <w:szCs w:val="24"/>
        </w:rPr>
        <w:t>2.2标准</w:t>
      </w:r>
      <w:r>
        <w:rPr>
          <w:sz w:val="24"/>
          <w:szCs w:val="24"/>
        </w:rPr>
        <w:t>要求</w:t>
      </w:r>
      <w:bookmarkEnd w:id="17"/>
      <w:bookmarkEnd w:id="18"/>
    </w:p>
    <w:p>
      <w:pPr>
        <w:pStyle w:val="25"/>
        <w:numPr>
          <w:ilvl w:val="0"/>
          <w:numId w:val="2"/>
        </w:numPr>
        <w:ind w:firstLineChars="0"/>
      </w:pPr>
      <w:bookmarkStart w:id="19" w:name="标准名称2"/>
      <w:r>
        <w:rPr>
          <w:rFonts w:hint="eastAsia"/>
        </w:rPr>
        <w:t>河南省《绿色建筑评价标准》DBJ41/T 109—2020</w:t>
      </w:r>
      <w:bookmarkEnd w:id="19"/>
      <w:r>
        <w:rPr>
          <w:rFonts w:hint="eastAsia"/>
        </w:rPr>
        <w:t>中规定：</w:t>
      </w:r>
    </w:p>
    <w:p>
      <w:pPr>
        <w:pStyle w:val="25"/>
        <w:ind w:left="420" w:firstLine="0" w:firstLineChars="0"/>
      </w:pPr>
      <w:bookmarkStart w:id="20" w:name="室外条文内容"/>
      <w:r>
        <w:t>8.2.6 场地内的环境噪声优于现行国家标准《声环境质量标准》GB 3096 的要求，评价总分值为 10 分，并按下列规则评分：</w:t>
      </w:r>
    </w:p>
    <w:p>
      <w:pPr>
        <w:pStyle w:val="25"/>
        <w:ind w:left="420" w:firstLine="0" w:firstLineChars="0"/>
      </w:pPr>
      <w:r>
        <w:t xml:space="preserve">    1 环境噪声值大于 2 类声环境功能区标准限值，且小于等于 3 类声环境功能区标准限值，得 5 分；</w:t>
      </w:r>
    </w:p>
    <w:p>
      <w:pPr>
        <w:pStyle w:val="25"/>
        <w:ind w:left="420" w:firstLine="0" w:firstLineChars="0"/>
      </w:pPr>
      <w:r>
        <w:t xml:space="preserve">    2 环境噪声值小于等于 2 类声环境功能区标准限值，得 10 分。</w:t>
      </w:r>
    </w:p>
    <w:bookmarkEnd w:id="20"/>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21" w:name="声功能区类别表格"/>
      <w:bookmarkEnd w:id="21"/>
      <w:bookmarkStart w:id="22" w:name="_Toc479326721"/>
      <w:bookmarkStart w:id="23" w:name="_Toc19328"/>
      <w:r>
        <w:rPr>
          <w:rFonts w:hint="eastAsia" w:ascii="Times New Roman" w:hAnsi="Times New Roman"/>
          <w:sz w:val="28"/>
          <w:szCs w:val="28"/>
        </w:rPr>
        <w:t>3.模拟</w:t>
      </w:r>
      <w:r>
        <w:rPr>
          <w:rFonts w:ascii="Times New Roman" w:hAnsi="Times New Roman"/>
          <w:sz w:val="28"/>
          <w:szCs w:val="28"/>
        </w:rPr>
        <w:t>方法</w:t>
      </w:r>
      <w:bookmarkEnd w:id="22"/>
      <w:bookmarkEnd w:id="23"/>
    </w:p>
    <w:p>
      <w:pPr>
        <w:pStyle w:val="3"/>
        <w:rPr>
          <w:sz w:val="24"/>
          <w:szCs w:val="24"/>
        </w:rPr>
      </w:pPr>
      <w:bookmarkStart w:id="24" w:name="_Toc479326722"/>
      <w:bookmarkStart w:id="25" w:name="_Toc15170"/>
      <w:r>
        <w:rPr>
          <w:rFonts w:hint="eastAsia"/>
          <w:sz w:val="24"/>
          <w:szCs w:val="24"/>
        </w:rPr>
        <w:t>3.1模拟软件</w:t>
      </w:r>
      <w:bookmarkEnd w:id="24"/>
      <w:bookmarkEnd w:id="25"/>
    </w:p>
    <w:p>
      <w:pPr>
        <w:pStyle w:val="33"/>
        <w:spacing w:line="276" w:lineRule="auto"/>
        <w:ind w:firstLine="420"/>
        <w:rPr>
          <w:rFonts w:ascii="微软雅黑" w:hAnsi="微软雅黑" w:cs="Times New Roman"/>
          <w:sz w:val="21"/>
          <w:szCs w:val="21"/>
        </w:rPr>
      </w:pPr>
      <w:bookmarkStart w:id="26" w:name="_Toc479326723"/>
      <w:r>
        <w:rPr>
          <w:rFonts w:hint="eastAsia" w:ascii="微软雅黑" w:hAnsi="微软雅黑"/>
          <w:sz w:val="21"/>
          <w:szCs w:val="21"/>
        </w:rPr>
        <w:t>本报告采用建筑</w:t>
      </w:r>
      <w:r>
        <w:rPr>
          <w:rFonts w:ascii="微软雅黑" w:hAnsi="微软雅黑"/>
          <w:sz w:val="21"/>
          <w:szCs w:val="21"/>
        </w:rPr>
        <w:t>声环境分析软件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DU是一款可用</w:t>
      </w:r>
      <w:r>
        <w:rPr>
          <w:rFonts w:ascii="微软雅黑" w:hAnsi="微软雅黑"/>
          <w:sz w:val="21"/>
          <w:szCs w:val="21"/>
        </w:rPr>
        <w:t>于</w:t>
      </w:r>
      <w:r>
        <w:rPr>
          <w:rFonts w:hint="eastAsia" w:ascii="微软雅黑" w:hAnsi="微软雅黑"/>
          <w:sz w:val="21"/>
          <w:szCs w:val="21"/>
        </w:rPr>
        <w:t>噪声计算、评估和预测的软件，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GB/T15190-2019</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pPr>
        <w:pStyle w:val="3"/>
        <w:rPr>
          <w:sz w:val="24"/>
          <w:szCs w:val="24"/>
        </w:rPr>
      </w:pPr>
      <w:bookmarkStart w:id="27" w:name="_Toc26458"/>
      <w:r>
        <w:rPr>
          <w:rFonts w:hint="eastAsia"/>
          <w:sz w:val="24"/>
          <w:szCs w:val="24"/>
        </w:rPr>
        <w:t>3.2分析</w:t>
      </w:r>
      <w:r>
        <w:rPr>
          <w:sz w:val="24"/>
          <w:szCs w:val="24"/>
        </w:rPr>
        <w:t>模</w:t>
      </w:r>
      <w:r>
        <w:rPr>
          <w:rFonts w:hint="eastAsia"/>
          <w:sz w:val="24"/>
          <w:szCs w:val="24"/>
        </w:rPr>
        <w:t>型</w:t>
      </w:r>
      <w:bookmarkEnd w:id="26"/>
      <w:bookmarkEnd w:id="27"/>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8" w:name="建设项目室外声环境分析模型平面图"/>
      <w:bookmarkEnd w:id="28"/>
      <w:r>
        <w:drawing>
          <wp:inline distT="0" distB="0" distL="0" distR="0">
            <wp:extent cx="5667375" cy="65722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
                    <a:stretch>
                      <a:fillRect/>
                    </a:stretch>
                  </pic:blipFill>
                  <pic:spPr>
                    <a:xfrm>
                      <a:off x="0" y="0"/>
                      <a:ext cx="5667375" cy="6572250"/>
                    </a:xfrm>
                    <a:prstGeom prst="rect">
                      <a:avLst/>
                    </a:prstGeom>
                  </pic:spPr>
                </pic:pic>
              </a:graphicData>
            </a:graphic>
          </wp:inline>
        </w:drawing>
      </w:r>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29" w:name="_Toc3493"/>
      <w:bookmarkStart w:id="30" w:name="_Toc479326725"/>
      <w:r>
        <w:rPr>
          <w:rFonts w:hint="eastAsia"/>
          <w:sz w:val="24"/>
          <w:szCs w:val="24"/>
        </w:rPr>
        <w:t>3.</w:t>
      </w:r>
      <w:r>
        <w:rPr>
          <w:sz w:val="24"/>
          <w:szCs w:val="24"/>
        </w:rPr>
        <w:t>3</w:t>
      </w:r>
      <w:r>
        <w:rPr>
          <w:rFonts w:hint="eastAsia"/>
          <w:sz w:val="24"/>
          <w:szCs w:val="24"/>
        </w:rPr>
        <w:t>计算条件</w:t>
      </w:r>
      <w:bookmarkEnd w:id="29"/>
      <w:bookmarkEnd w:id="30"/>
    </w:p>
    <w:p>
      <w:pPr>
        <w:rPr>
          <w:b/>
        </w:rPr>
      </w:pPr>
      <w:bookmarkStart w:id="31"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31"/>
    <w:p>
      <w:pPr>
        <w:pStyle w:val="3"/>
        <w:rPr>
          <w:sz w:val="24"/>
          <w:szCs w:val="24"/>
        </w:rPr>
      </w:pPr>
      <w:bookmarkStart w:id="32" w:name="_Toc479326726"/>
      <w:bookmarkStart w:id="33" w:name="_Toc1279"/>
      <w:r>
        <w:rPr>
          <w:rFonts w:hint="eastAsia"/>
          <w:sz w:val="24"/>
          <w:szCs w:val="24"/>
        </w:rPr>
        <w:t>3.</w:t>
      </w:r>
      <w:r>
        <w:rPr>
          <w:sz w:val="24"/>
          <w:szCs w:val="24"/>
        </w:rPr>
        <w:t>4</w:t>
      </w:r>
      <w:r>
        <w:rPr>
          <w:rFonts w:hint="eastAsia"/>
          <w:sz w:val="24"/>
          <w:szCs w:val="24"/>
        </w:rPr>
        <w:t>参数</w:t>
      </w:r>
      <w:r>
        <w:rPr>
          <w:sz w:val="24"/>
          <w:szCs w:val="24"/>
        </w:rPr>
        <w:t>设置</w:t>
      </w:r>
      <w:bookmarkEnd w:id="32"/>
      <w:bookmarkEnd w:id="33"/>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jc w:val="center"/>
      </w:pPr>
      <w:bookmarkStart w:id="34" w:name="声源表"/>
      <w:bookmarkEnd w:id="34"/>
      <w:r>
        <w:rPr>
          <w:sz w:val="18"/>
          <w:szCs w:val="18"/>
        </w:rPr>
        <w:t>表3.4-1 公路噪声源</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路段名称</w:t>
            </w:r>
          </w:p>
        </w:tc>
        <w:tc>
          <w:tcPr>
            <w:shd w:val="clear" w:color="auto" w:fill="E6E6E6"/>
            <w:vAlign w:val="center"/>
          </w:tcPr>
          <w:p>
            <w:pPr>
              <w:jc w:val="center"/>
            </w:pPr>
            <w:r>
              <w:t>路面</w:t>
            </w:r>
            <w:r>
              <w:br w:type="textWrapping"/>
            </w:r>
            <w:r>
              <w:t>材料</w:t>
            </w:r>
          </w:p>
        </w:tc>
        <w:tc>
          <w:tcPr>
            <w:shd w:val="clear" w:color="auto" w:fill="E6E6E6"/>
            <w:vAlign w:val="center"/>
          </w:tcPr>
          <w:p>
            <w:pPr>
              <w:jc w:val="center"/>
            </w:pPr>
            <w:r>
              <w:t>车道</w:t>
            </w:r>
            <w:r>
              <w:br w:type="textWrapping"/>
            </w:r>
            <w:r>
              <w:t>数量</w:t>
            </w:r>
          </w:p>
        </w:tc>
        <w:tc>
          <w:tcPr>
            <w:shd w:val="clear" w:color="auto" w:fill="E6E6E6"/>
            <w:vAlign w:val="center"/>
          </w:tcPr>
          <w:p>
            <w:pPr>
              <w:jc w:val="center"/>
            </w:pPr>
            <w:r>
              <w:t>时段</w:t>
            </w:r>
          </w:p>
        </w:tc>
        <w:tc>
          <w:tcPr>
            <w:shd w:val="clear" w:color="auto" w:fill="E6E6E6"/>
            <w:vAlign w:val="center"/>
          </w:tcPr>
          <w:p>
            <w:pPr>
              <w:jc w:val="center"/>
            </w:pPr>
            <w:r>
              <w:t>设计车速</w:t>
            </w:r>
            <w:r>
              <w:br w:type="textWrapping"/>
            </w:r>
            <w:r>
              <w:t>km/h</w:t>
            </w:r>
          </w:p>
        </w:tc>
        <w:tc>
          <w:tcPr>
            <w:shd w:val="clear" w:color="auto" w:fill="E6E6E6"/>
            <w:vAlign w:val="center"/>
          </w:tcPr>
          <w:p>
            <w:pPr>
              <w:jc w:val="center"/>
            </w:pPr>
            <w:r>
              <w:t>小型车</w:t>
            </w:r>
            <w:r>
              <w:br w:type="textWrapping"/>
            </w:r>
            <w:r>
              <w:t>辆/h</w:t>
            </w:r>
          </w:p>
        </w:tc>
        <w:tc>
          <w:tcPr>
            <w:shd w:val="clear" w:color="auto" w:fill="E6E6E6"/>
            <w:vAlign w:val="center"/>
          </w:tcPr>
          <w:p>
            <w:pPr>
              <w:jc w:val="center"/>
            </w:pPr>
            <w:r>
              <w:t>中型车</w:t>
            </w:r>
            <w:r>
              <w:br w:type="textWrapping"/>
            </w:r>
            <w:r>
              <w:t>辆/h</w:t>
            </w:r>
          </w:p>
        </w:tc>
        <w:tc>
          <w:tcPr>
            <w:shd w:val="clear" w:color="auto" w:fill="E6E6E6"/>
            <w:vAlign w:val="center"/>
          </w:tcPr>
          <w:p>
            <w:pPr>
              <w:jc w:val="center"/>
            </w:pPr>
            <w:r>
              <w:t>大型车</w:t>
            </w:r>
            <w:r>
              <w:br w:type="textWrapping"/>
            </w:r>
            <w:r>
              <w:t>辆/h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公路</w:t>
            </w:r>
          </w:p>
        </w:tc>
        <w:tc>
          <w:tcPr>
            <w:vMerge w:val="restart"/>
            <w:vAlign w:val="center"/>
          </w:tcPr>
          <w:p>
            <w:pPr>
              <w:jc w:val="center"/>
            </w:pPr>
            <w:r>
              <w:t>沥青</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50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20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公路</w:t>
            </w:r>
          </w:p>
        </w:tc>
        <w:tc>
          <w:tcPr>
            <w:vMerge w:val="restart"/>
            <w:vAlign w:val="center"/>
          </w:tcPr>
          <w:p>
            <w:pPr>
              <w:jc w:val="center"/>
            </w:pPr>
            <w:r>
              <w:t>沥青</w:t>
            </w:r>
            <w:r>
              <w:br w:type="textWrapping"/>
            </w:r>
            <w:r>
              <w:t>混凝土</w:t>
            </w:r>
          </w:p>
        </w:tc>
        <w:tc>
          <w:tcPr>
            <w:vMerge w:val="restart"/>
            <w:vAlign w:val="center"/>
          </w:tcPr>
          <w:p>
            <w:pPr>
              <w:jc w:val="center"/>
            </w:pPr>
            <w:r>
              <w:t>4</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50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20</w:t>
            </w:r>
          </w:p>
        </w:tc>
        <w:tc>
          <w:tcPr>
            <w:vAlign w:val="center"/>
          </w:tcPr>
          <w:p>
            <w:pPr>
              <w:jc w:val="center"/>
            </w:pPr>
            <w:r>
              <w:t>0</w:t>
            </w:r>
          </w:p>
        </w:tc>
      </w:tr>
    </w:tbl>
    <w:p>
      <w:pPr>
        <w:jc w:val="center"/>
      </w:pPr>
    </w:p>
    <w:p/>
    <w:p>
      <w:pPr>
        <w:pStyle w:val="2"/>
        <w:spacing w:line="400" w:lineRule="exact"/>
        <w:rPr>
          <w:rFonts w:ascii="Times New Roman" w:hAnsi="Times New Roman"/>
          <w:sz w:val="28"/>
          <w:szCs w:val="28"/>
        </w:rPr>
      </w:pPr>
      <w:bookmarkStart w:id="35" w:name="_Toc479326727"/>
      <w:bookmarkStart w:id="36" w:name="_Toc25200"/>
      <w:r>
        <w:rPr>
          <w:rFonts w:hint="eastAsia" w:ascii="Times New Roman" w:hAnsi="Times New Roman"/>
          <w:sz w:val="28"/>
          <w:szCs w:val="28"/>
        </w:rPr>
        <w:t>4.模拟结果</w:t>
      </w:r>
      <w:r>
        <w:rPr>
          <w:rFonts w:ascii="Times New Roman" w:hAnsi="Times New Roman"/>
          <w:sz w:val="28"/>
          <w:szCs w:val="28"/>
        </w:rPr>
        <w:t>及分析</w:t>
      </w:r>
      <w:bookmarkEnd w:id="35"/>
      <w:bookmarkEnd w:id="36"/>
      <w:r>
        <w:rPr>
          <w:rFonts w:hint="eastAsia" w:ascii="Times New Roman" w:hAnsi="Times New Roman"/>
          <w:sz w:val="28"/>
          <w:szCs w:val="28"/>
        </w:rPr>
        <w:t xml:space="preserve"> </w:t>
      </w:r>
    </w:p>
    <w:p>
      <w:pPr>
        <w:ind w:firstLine="420" w:firstLineChars="200"/>
      </w:pPr>
      <w:bookmarkStart w:id="37"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8" w:name="_Toc14607"/>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7"/>
      <w:bookmarkEnd w:id="38"/>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9" w:name="场地分布图昼"/>
      <w:bookmarkEnd w:id="39"/>
      <w:r>
        <w:drawing>
          <wp:inline distT="0" distB="0" distL="0" distR="0">
            <wp:extent cx="5667375" cy="5086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kern w:val="0"/>
          <w:sz w:val="18"/>
          <w:szCs w:val="18"/>
        </w:rPr>
      </w:pPr>
      <w:r>
        <w:rPr>
          <w:rFonts w:hint="eastAsia"/>
          <w:kern w:val="0"/>
          <w:sz w:val="18"/>
          <w:szCs w:val="18"/>
        </w:rPr>
        <w:t>图4.1</w:t>
      </w:r>
      <w:r>
        <w:rPr>
          <w:kern w:val="0"/>
          <w:sz w:val="18"/>
          <w:szCs w:val="18"/>
        </w:rPr>
        <w:t>-1</w:t>
      </w:r>
      <w:r>
        <w:rPr>
          <w:rFonts w:hint="eastAsia"/>
          <w:kern w:val="0"/>
          <w:sz w:val="18"/>
          <w:szCs w:val="18"/>
        </w:rPr>
        <w:t xml:space="preserve"> 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昼间</w:t>
      </w:r>
      <w:r>
        <w:rPr>
          <w:kern w:val="0"/>
          <w:sz w:val="18"/>
          <w:szCs w:val="18"/>
        </w:rPr>
        <w:t>）</w:t>
      </w:r>
    </w:p>
    <w:p>
      <w:pPr>
        <w:jc w:val="center"/>
        <w:rPr>
          <w:rFonts w:ascii="Times New Roman" w:hAnsi="Times New Roman"/>
        </w:rPr>
      </w:pPr>
      <w:bookmarkStart w:id="40" w:name="场地分布图夜"/>
      <w:bookmarkEnd w:id="40"/>
      <w:r>
        <w:drawing>
          <wp:inline distT="0" distB="0" distL="0" distR="0">
            <wp:extent cx="5667375" cy="50863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kern w:val="0"/>
          <w:sz w:val="18"/>
          <w:szCs w:val="18"/>
        </w:rPr>
      </w:pPr>
      <w:r>
        <w:rPr>
          <w:rFonts w:hint="eastAsia"/>
          <w:kern w:val="0"/>
          <w:sz w:val="18"/>
          <w:szCs w:val="18"/>
        </w:rPr>
        <w:t>图4.1</w:t>
      </w:r>
      <w:r>
        <w:rPr>
          <w:kern w:val="0"/>
          <w:sz w:val="18"/>
          <w:szCs w:val="18"/>
        </w:rPr>
        <w:t xml:space="preserve">-2 </w:t>
      </w:r>
      <w:r>
        <w:rPr>
          <w:rFonts w:hint="eastAsia"/>
          <w:kern w:val="0"/>
          <w:sz w:val="18"/>
          <w:szCs w:val="18"/>
        </w:rPr>
        <w:t>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夜间</w:t>
      </w:r>
      <w:r>
        <w:rPr>
          <w:kern w:val="0"/>
          <w:sz w:val="18"/>
          <w:szCs w:val="18"/>
        </w:rPr>
        <w:t>）</w:t>
      </w:r>
    </w:p>
    <w:p>
      <w:pPr>
        <w:jc w:val="center"/>
        <w:rPr>
          <w:rFonts w:ascii="Times New Roman" w:hAnsi="Times New Roman"/>
        </w:rPr>
      </w:pPr>
      <w:bookmarkStart w:id="41" w:name="场地噪声分布俯瞰昼"/>
      <w:bookmarkEnd w:id="41"/>
      <w:r>
        <w:drawing>
          <wp:inline distT="0" distB="0" distL="0" distR="0">
            <wp:extent cx="5667375" cy="50863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kern w:val="0"/>
          <w:sz w:val="18"/>
          <w:szCs w:val="18"/>
        </w:rPr>
      </w:pPr>
      <w:r>
        <w:rPr>
          <w:rFonts w:hint="eastAsia"/>
          <w:kern w:val="0"/>
          <w:sz w:val="18"/>
          <w:szCs w:val="18"/>
        </w:rPr>
        <w:t>图4.1</w:t>
      </w:r>
      <w:r>
        <w:rPr>
          <w:kern w:val="0"/>
          <w:sz w:val="18"/>
          <w:szCs w:val="18"/>
        </w:rPr>
        <w:t>-3</w:t>
      </w:r>
      <w:r>
        <w:rPr>
          <w:rFonts w:hint="eastAsia"/>
          <w:kern w:val="0"/>
          <w:sz w:val="18"/>
          <w:szCs w:val="18"/>
        </w:rPr>
        <w:t xml:space="preserve">  场地噪声分布俯瞰图（昼间）</w:t>
      </w:r>
    </w:p>
    <w:p>
      <w:pPr>
        <w:widowControl/>
        <w:jc w:val="center"/>
        <w:rPr>
          <w:rFonts w:ascii="宋体" w:hAnsi="宋体"/>
          <w:szCs w:val="21"/>
        </w:rPr>
      </w:pPr>
      <w:bookmarkStart w:id="42" w:name="场地噪声分布俯瞰夜"/>
      <w:bookmarkEnd w:id="42"/>
      <w:r>
        <w:drawing>
          <wp:inline distT="0" distB="0" distL="0" distR="0">
            <wp:extent cx="5667375" cy="50863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kern w:val="0"/>
          <w:sz w:val="18"/>
          <w:szCs w:val="18"/>
        </w:rPr>
      </w:pPr>
      <w:r>
        <w:rPr>
          <w:rFonts w:hint="eastAsia"/>
          <w:kern w:val="0"/>
          <w:sz w:val="18"/>
          <w:szCs w:val="18"/>
        </w:rPr>
        <w:t>图4.1</w:t>
      </w:r>
      <w:r>
        <w:rPr>
          <w:kern w:val="0"/>
          <w:sz w:val="18"/>
          <w:szCs w:val="18"/>
        </w:rPr>
        <w:t xml:space="preserve">-4  </w:t>
      </w:r>
      <w:r>
        <w:rPr>
          <w:rFonts w:hint="eastAsia"/>
          <w:kern w:val="0"/>
          <w:sz w:val="18"/>
          <w:szCs w:val="18"/>
        </w:rPr>
        <w:t>场地噪声分布俯瞰图（夜间）</w:t>
      </w:r>
    </w:p>
    <w:p>
      <w:pPr>
        <w:jc w:val="center"/>
        <w:rPr>
          <w:rFonts w:ascii="Times New Roman" w:hAnsi="Times New Roman"/>
          <w:b/>
          <w:color w:val="FF0000"/>
        </w:rPr>
      </w:pPr>
    </w:p>
    <w:p>
      <w:pPr>
        <w:pStyle w:val="3"/>
        <w:rPr>
          <w:sz w:val="24"/>
          <w:szCs w:val="24"/>
        </w:rPr>
      </w:pPr>
      <w:bookmarkStart w:id="43" w:name="_Toc479326729"/>
      <w:bookmarkStart w:id="44" w:name="_Toc3175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3"/>
      <w:r>
        <w:rPr>
          <w:rFonts w:hint="eastAsia"/>
          <w:sz w:val="24"/>
          <w:szCs w:val="24"/>
        </w:rPr>
        <w:t>情况</w:t>
      </w:r>
      <w:bookmarkEnd w:id="44"/>
    </w:p>
    <w:p>
      <w:pPr>
        <w:spacing w:line="276" w:lineRule="auto"/>
        <w:ind w:firstLine="420"/>
        <w:rPr>
          <w:rFonts w:ascii="Times New Roman" w:hAnsi="Times New Roman" w:cs="宋体"/>
          <w:szCs w:val="21"/>
        </w:rPr>
      </w:pPr>
      <w:r>
        <w:rPr>
          <w:rFonts w:hint="eastAsia"/>
        </w:rPr>
        <w:t>参评建筑昼间和夜间沿底轮廓线1.5米分析高度处噪声分布情况，每栋参评建筑物俯视图圆圈内上下两个数字分别表示该建筑的昼间和夜间最大噪声值，红色填充代表该建筑昼间或夜间噪声值至少有一项超过三</w:t>
      </w:r>
      <w:r>
        <w:rPr>
          <w:rFonts w:hint="eastAsia" w:ascii="Times New Roman" w:hAnsi="Times New Roman" w:cs="宋体"/>
          <w:szCs w:val="21"/>
        </w:rPr>
        <w:t>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5" w:name="建筑附近声压分布图昼"/>
      <w:bookmarkEnd w:id="45"/>
      <w:r>
        <w:drawing>
          <wp:inline distT="0" distB="0" distL="0" distR="0">
            <wp:extent cx="5667375" cy="57435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743575"/>
                    </a:xfrm>
                    <a:prstGeom prst="rect">
                      <a:avLst/>
                    </a:prstGeom>
                  </pic:spPr>
                </pic:pic>
              </a:graphicData>
            </a:graphic>
          </wp:inline>
        </w:drawing>
      </w:r>
    </w:p>
    <w:p>
      <w:pPr>
        <w:widowControl/>
        <w:jc w:val="center"/>
        <w:rPr>
          <w:kern w:val="0"/>
          <w:sz w:val="18"/>
          <w:szCs w:val="18"/>
        </w:rPr>
      </w:pPr>
      <w:r>
        <w:rPr>
          <w:rFonts w:hint="eastAsia"/>
          <w:kern w:val="0"/>
          <w:sz w:val="18"/>
          <w:szCs w:val="18"/>
        </w:rPr>
        <w:t>图4.</w:t>
      </w:r>
      <w:r>
        <w:rPr>
          <w:kern w:val="0"/>
          <w:sz w:val="18"/>
          <w:szCs w:val="18"/>
        </w:rPr>
        <w:t>2-1</w:t>
      </w:r>
      <w:r>
        <w:rPr>
          <w:rFonts w:hint="eastAsia"/>
          <w:kern w:val="0"/>
          <w:sz w:val="18"/>
          <w:szCs w:val="18"/>
        </w:rPr>
        <w:t xml:space="preserve"> 参评建筑附近区域</w:t>
      </w:r>
      <w:r>
        <w:rPr>
          <w:kern w:val="0"/>
          <w:sz w:val="18"/>
          <w:szCs w:val="18"/>
        </w:rPr>
        <w:t>1.5m</w:t>
      </w:r>
      <w:r>
        <w:rPr>
          <w:rFonts w:hint="eastAsia"/>
          <w:kern w:val="0"/>
          <w:sz w:val="18"/>
          <w:szCs w:val="18"/>
        </w:rPr>
        <w:t>高度处声压级平面分布图（昼间）</w:t>
      </w:r>
    </w:p>
    <w:p>
      <w:pPr>
        <w:jc w:val="center"/>
        <w:rPr>
          <w:rFonts w:ascii="Times New Roman" w:hAnsi="Times New Roman"/>
        </w:rPr>
      </w:pPr>
      <w:bookmarkStart w:id="46" w:name="建筑附近声压分布图夜"/>
      <w:bookmarkEnd w:id="46"/>
      <w:r>
        <w:drawing>
          <wp:inline distT="0" distB="0" distL="0" distR="0">
            <wp:extent cx="5667375" cy="57435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743575"/>
                    </a:xfrm>
                    <a:prstGeom prst="rect">
                      <a:avLst/>
                    </a:prstGeom>
                  </pic:spPr>
                </pic:pic>
              </a:graphicData>
            </a:graphic>
          </wp:inline>
        </w:drawing>
      </w:r>
    </w:p>
    <w:p>
      <w:pPr>
        <w:widowControl/>
        <w:jc w:val="center"/>
        <w:rPr>
          <w:kern w:val="0"/>
          <w:sz w:val="18"/>
          <w:szCs w:val="18"/>
        </w:rPr>
      </w:pPr>
      <w:r>
        <w:rPr>
          <w:rFonts w:hint="eastAsia"/>
          <w:kern w:val="0"/>
          <w:sz w:val="18"/>
          <w:szCs w:val="18"/>
        </w:rPr>
        <w:t>图4.</w:t>
      </w:r>
      <w:r>
        <w:rPr>
          <w:kern w:val="0"/>
          <w:sz w:val="18"/>
          <w:szCs w:val="18"/>
        </w:rPr>
        <w:t>2-2</w:t>
      </w:r>
      <w:r>
        <w:rPr>
          <w:rFonts w:hint="eastAsia"/>
          <w:kern w:val="0"/>
          <w:sz w:val="18"/>
          <w:szCs w:val="18"/>
        </w:rPr>
        <w:t xml:space="preserve"> 参评建筑附近区域</w:t>
      </w:r>
      <w:r>
        <w:rPr>
          <w:kern w:val="0"/>
          <w:sz w:val="18"/>
          <w:szCs w:val="18"/>
        </w:rPr>
        <w:t>1.5m</w:t>
      </w:r>
      <w:r>
        <w:rPr>
          <w:rFonts w:hint="eastAsia"/>
          <w:kern w:val="0"/>
          <w:sz w:val="18"/>
          <w:szCs w:val="18"/>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7" w:name="建筑附近声压分布鸟瞰图昼"/>
      <w:r>
        <w:drawing>
          <wp:inline distT="0" distB="0" distL="0" distR="0">
            <wp:extent cx="5667375" cy="236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7"/>
                    <a:stretch>
                      <a:fillRect/>
                    </a:stretch>
                  </pic:blipFill>
                  <pic:spPr>
                    <a:xfrm>
                      <a:off x="0" y="0"/>
                      <a:ext cx="5667375" cy="2362200"/>
                    </a:xfrm>
                    <a:prstGeom prst="rect">
                      <a:avLst/>
                    </a:prstGeom>
                  </pic:spPr>
                </pic:pic>
              </a:graphicData>
            </a:graphic>
          </wp:inline>
        </w:drawing>
      </w:r>
    </w:p>
    <w:bookmarkEnd w:id="47"/>
    <w:p>
      <w:pPr>
        <w:widowControl/>
        <w:jc w:val="center"/>
        <w:rPr>
          <w:rFonts w:ascii="宋体" w:hAnsi="宋体"/>
          <w:szCs w:val="21"/>
        </w:rPr>
      </w:pPr>
    </w:p>
    <w:p>
      <w:pPr>
        <w:widowControl/>
        <w:tabs>
          <w:tab w:val="center" w:pos="4153"/>
          <w:tab w:val="right" w:pos="8306"/>
        </w:tabs>
        <w:rPr>
          <w:kern w:val="0"/>
          <w:sz w:val="18"/>
          <w:szCs w:val="18"/>
        </w:rPr>
      </w:pPr>
      <w:r>
        <w:rPr>
          <w:kern w:val="0"/>
          <w:sz w:val="18"/>
          <w:szCs w:val="18"/>
        </w:rPr>
        <w:tab/>
      </w:r>
      <w:r>
        <w:rPr>
          <w:rFonts w:hint="eastAsia"/>
          <w:kern w:val="0"/>
          <w:sz w:val="18"/>
          <w:szCs w:val="18"/>
        </w:rPr>
        <w:t>图4.</w:t>
      </w:r>
      <w:r>
        <w:rPr>
          <w:kern w:val="0"/>
          <w:sz w:val="18"/>
          <w:szCs w:val="18"/>
        </w:rPr>
        <w:t>2-3</w:t>
      </w:r>
      <w:r>
        <w:rPr>
          <w:rFonts w:hint="eastAsia"/>
          <w:kern w:val="0"/>
          <w:sz w:val="18"/>
          <w:szCs w:val="18"/>
        </w:rPr>
        <w:t xml:space="preserve"> 参评建筑附近区域声压级鸟瞰分布图（昼间）</w:t>
      </w:r>
      <w:r>
        <w:rPr>
          <w:kern w:val="0"/>
          <w:sz w:val="18"/>
          <w:szCs w:val="18"/>
        </w:rPr>
        <w:tab/>
      </w:r>
    </w:p>
    <w:p>
      <w:pPr>
        <w:widowControl/>
        <w:jc w:val="center"/>
        <w:rPr>
          <w:rFonts w:ascii="宋体" w:hAnsi="宋体"/>
          <w:szCs w:val="21"/>
        </w:rPr>
      </w:pPr>
    </w:p>
    <w:p>
      <w:pPr>
        <w:widowControl/>
        <w:jc w:val="center"/>
        <w:rPr>
          <w:rFonts w:ascii="宋体" w:hAnsi="宋体"/>
          <w:szCs w:val="21"/>
        </w:rPr>
      </w:pPr>
      <w:bookmarkStart w:id="48" w:name="建筑附近声压分布鸟瞰图夜"/>
      <w:bookmarkEnd w:id="48"/>
      <w:r>
        <w:drawing>
          <wp:inline distT="0" distB="0" distL="0" distR="0">
            <wp:extent cx="5667375" cy="2362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8"/>
                    <a:stretch>
                      <a:fillRect/>
                    </a:stretch>
                  </pic:blipFill>
                  <pic:spPr>
                    <a:xfrm>
                      <a:off x="0" y="0"/>
                      <a:ext cx="5667375" cy="2362200"/>
                    </a:xfrm>
                    <a:prstGeom prst="rect">
                      <a:avLst/>
                    </a:prstGeom>
                  </pic:spPr>
                </pic:pic>
              </a:graphicData>
            </a:graphic>
          </wp:inline>
        </w:drawing>
      </w:r>
    </w:p>
    <w:p>
      <w:pPr>
        <w:widowControl/>
        <w:jc w:val="center"/>
        <w:rPr>
          <w:kern w:val="0"/>
          <w:sz w:val="18"/>
          <w:szCs w:val="18"/>
        </w:rPr>
      </w:pPr>
      <w:r>
        <w:rPr>
          <w:rFonts w:hint="eastAsia"/>
          <w:kern w:val="0"/>
          <w:sz w:val="18"/>
          <w:szCs w:val="18"/>
        </w:rPr>
        <w:t>图4.</w:t>
      </w:r>
      <w:r>
        <w:rPr>
          <w:kern w:val="0"/>
          <w:sz w:val="18"/>
          <w:szCs w:val="18"/>
        </w:rPr>
        <w:t>2-4</w:t>
      </w:r>
      <w:r>
        <w:rPr>
          <w:rFonts w:hint="eastAsia"/>
          <w:kern w:val="0"/>
          <w:sz w:val="18"/>
          <w:szCs w:val="18"/>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表4</w:t>
      </w:r>
      <w:r>
        <w:rPr>
          <w:kern w:val="0"/>
          <w:sz w:val="18"/>
          <w:szCs w:val="18"/>
        </w:rPr>
        <w:t xml:space="preserve">.2 </w:t>
      </w:r>
      <w:r>
        <w:rPr>
          <w:rFonts w:hint="eastAsia"/>
          <w:kern w:val="0"/>
          <w:sz w:val="18"/>
          <w:szCs w:val="18"/>
        </w:rPr>
        <w:t xml:space="preserve">参评建筑达标统计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建筑名称</w:t>
            </w:r>
          </w:p>
        </w:tc>
        <w:tc>
          <w:tcPr>
            <w:shd w:val="clear" w:color="auto" w:fill="E6E6E6"/>
            <w:vAlign w:val="center"/>
          </w:tcPr>
          <w:p>
            <w:pPr>
              <w:jc w:val="center"/>
            </w:pPr>
            <w:r>
              <w:t>时段</w:t>
            </w:r>
          </w:p>
        </w:tc>
        <w:tc>
          <w:tcPr>
            <w:shd w:val="clear" w:color="auto" w:fill="E6E6E6"/>
            <w:vAlign w:val="center"/>
          </w:tcPr>
          <w:p>
            <w:pPr>
              <w:jc w:val="center"/>
            </w:pPr>
            <w:r>
              <w:t>1.5米高度</w:t>
            </w:r>
            <w:r>
              <w:br w:type="textWrapping"/>
            </w:r>
            <w:r>
              <w:t>噪声最大值</w:t>
            </w:r>
          </w:p>
        </w:tc>
        <w:tc>
          <w:tcPr>
            <w:shd w:val="clear" w:color="auto" w:fill="E6E6E6"/>
            <w:vAlign w:val="center"/>
          </w:tcPr>
          <w:p>
            <w:pPr>
              <w:jc w:val="center"/>
            </w:pPr>
            <w:r>
              <w:t>2类</w:t>
            </w:r>
            <w:r>
              <w:br w:type="textWrapping"/>
            </w:r>
            <w:r>
              <w:t>噪声限值</w:t>
            </w:r>
          </w:p>
        </w:tc>
        <w:tc>
          <w:tcPr>
            <w:shd w:val="clear" w:color="auto" w:fill="E6E6E6"/>
            <w:vAlign w:val="center"/>
          </w:tcPr>
          <w:p>
            <w:pPr>
              <w:jc w:val="center"/>
            </w:pPr>
            <w:r>
              <w:t>3类</w:t>
            </w:r>
            <w:r>
              <w:br w:type="textWrapping"/>
            </w:r>
            <w:r>
              <w:t>噪声限值</w:t>
            </w:r>
          </w:p>
        </w:tc>
        <w:tc>
          <w:tcPr>
            <w:shd w:val="clear" w:color="auto" w:fill="E6E6E6"/>
            <w:vAlign w:val="center"/>
          </w:tcPr>
          <w:p>
            <w:pPr>
              <w:jc w:val="center"/>
            </w:pPr>
            <w:r>
              <w:t>得分</w:t>
            </w:r>
            <w:r>
              <w:br w:type="textWrapping"/>
            </w:r>
            <w: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展厅组团</w:t>
            </w:r>
          </w:p>
        </w:tc>
        <w:tc>
          <w:tcPr>
            <w:vAlign w:val="center"/>
          </w:tcPr>
          <w:p>
            <w:pPr>
              <w:jc w:val="center"/>
            </w:pPr>
            <w:r>
              <w:t>昼间</w:t>
            </w:r>
          </w:p>
        </w:tc>
        <w:tc>
          <w:tcPr>
            <w:vAlign w:val="center"/>
          </w:tcPr>
          <w:p>
            <w:pPr>
              <w:jc w:val="center"/>
            </w:pPr>
            <w:r>
              <w:t>44</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38</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社服中心</w:t>
            </w:r>
          </w:p>
        </w:tc>
        <w:tc>
          <w:tcPr>
            <w:vAlign w:val="center"/>
          </w:tcPr>
          <w:p>
            <w:pPr>
              <w:jc w:val="center"/>
            </w:pPr>
            <w:r>
              <w:t>昼间</w:t>
            </w:r>
          </w:p>
        </w:tc>
        <w:tc>
          <w:tcPr>
            <w:vAlign w:val="center"/>
          </w:tcPr>
          <w:p>
            <w:pPr>
              <w:jc w:val="center"/>
            </w:pPr>
            <w:r>
              <w:t>45</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39</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综合体</w:t>
            </w:r>
          </w:p>
        </w:tc>
        <w:tc>
          <w:tcPr>
            <w:vAlign w:val="center"/>
          </w:tcPr>
          <w:p>
            <w:pPr>
              <w:jc w:val="center"/>
            </w:pPr>
            <w:r>
              <w:t>昼间</w:t>
            </w:r>
          </w:p>
        </w:tc>
        <w:tc>
          <w:tcPr>
            <w:vAlign w:val="center"/>
          </w:tcPr>
          <w:p>
            <w:pPr>
              <w:jc w:val="center"/>
            </w:pPr>
            <w:r>
              <w:t>44</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38</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美术馆</w:t>
            </w:r>
          </w:p>
        </w:tc>
        <w:tc>
          <w:tcPr>
            <w:vAlign w:val="center"/>
          </w:tcPr>
          <w:p>
            <w:pPr>
              <w:jc w:val="center"/>
            </w:pPr>
            <w:r>
              <w:t>昼间</w:t>
            </w:r>
          </w:p>
        </w:tc>
        <w:tc>
          <w:tcPr>
            <w:vAlign w:val="center"/>
          </w:tcPr>
          <w:p>
            <w:pPr>
              <w:jc w:val="center"/>
            </w:pPr>
            <w:r>
              <w:t>41</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pPr>
              <w:jc w:val="center"/>
            </w:pPr>
          </w:p>
        </w:tc>
        <w:tc>
          <w:tcPr>
            <w:vAlign w:val="center"/>
          </w:tcPr>
          <w:p>
            <w:pPr>
              <w:jc w:val="center"/>
            </w:pPr>
            <w:r>
              <w:t>夜间</w:t>
            </w:r>
          </w:p>
        </w:tc>
        <w:tc>
          <w:tcPr>
            <w:vAlign w:val="center"/>
          </w:tcPr>
          <w:p>
            <w:pPr>
              <w:jc w:val="center"/>
            </w:pPr>
            <w:r>
              <w:t>35</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餐厅组团</w:t>
            </w:r>
          </w:p>
        </w:tc>
        <w:tc>
          <w:tcPr>
            <w:vAlign w:val="center"/>
          </w:tcPr>
          <w:p>
            <w:pPr>
              <w:jc w:val="center"/>
            </w:pPr>
            <w:r>
              <w:t>昼间</w:t>
            </w:r>
          </w:p>
        </w:tc>
        <w:tc>
          <w:tcPr>
            <w:vAlign w:val="center"/>
          </w:tcPr>
          <w:p>
            <w:pPr>
              <w:jc w:val="center"/>
            </w:pPr>
            <w:r>
              <w:t>45</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39</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szCs w:val="21"/>
        </w:rPr>
      </w:pPr>
      <w:bookmarkStart w:id="49" w:name="建筑物噪声最大值统计表格"/>
      <w:bookmarkEnd w:id="49"/>
    </w:p>
    <w:p>
      <w:pPr>
        <w:pStyle w:val="2"/>
        <w:rPr>
          <w:rFonts w:ascii="Times New Roman" w:hAnsi="Times New Roman"/>
          <w:sz w:val="28"/>
          <w:szCs w:val="28"/>
        </w:rPr>
      </w:pPr>
      <w:bookmarkStart w:id="50" w:name="_Toc479326730"/>
      <w:bookmarkStart w:id="51" w:name="_Toc25449"/>
      <w:r>
        <w:rPr>
          <w:rFonts w:hint="eastAsia" w:ascii="Times New Roman" w:hAnsi="Times New Roman"/>
          <w:sz w:val="28"/>
          <w:szCs w:val="28"/>
        </w:rPr>
        <w:t>5.结论</w:t>
      </w:r>
      <w:bookmarkEnd w:id="50"/>
      <w:bookmarkEnd w:id="51"/>
    </w:p>
    <w:p>
      <w:pPr>
        <w:ind w:firstLine="420" w:firstLineChars="200"/>
        <w:rPr>
          <w:rFonts w:ascii="Times New Roman" w:hAnsi="Times New Roman"/>
          <w:szCs w:val="21"/>
        </w:rPr>
      </w:pPr>
      <w:bookmarkStart w:id="52" w:name="标准名称4"/>
      <w:r>
        <w:rPr>
          <w:rFonts w:hint="eastAsia"/>
        </w:rPr>
        <w:t>河南省《绿色建筑评价标准》DBJ41/T 109—2020</w:t>
      </w:r>
      <w:bookmarkEnd w:id="52"/>
      <w:r>
        <w:rPr>
          <w:rFonts w:hint="eastAsia" w:ascii="Times New Roman" w:hAnsi="Times New Roman"/>
          <w:szCs w:val="21"/>
        </w:rPr>
        <w:t>要求:</w:t>
      </w:r>
    </w:p>
    <w:p>
      <w:bookmarkStart w:id="53" w:name="室外条文内容1"/>
      <w:bookmarkEnd w:id="53"/>
      <w:r>
        <w:rPr>
          <w:rFonts w:hint="eastAsia"/>
        </w:rPr>
        <w:t xml:space="preserve"> </w:t>
      </w:r>
      <w:r>
        <w:t xml:space="preserve"> </w:t>
      </w:r>
      <w:r>
        <w:rPr>
          <w:rFonts w:hint="eastAsia"/>
        </w:rPr>
        <w:t xml:space="preserve"> </w:t>
      </w:r>
      <w:r>
        <w:t>8.2.6 场地内的环境噪声优于现行国家标准《声环境质量标准》GB 3096 的要求，评价总分值为 10 分，并按下列规则评分：</w:t>
      </w:r>
    </w:p>
    <w:p>
      <w:r>
        <w:t xml:space="preserve">    1 环境噪声值大于 2 类声环境功能区标准限值，且小于等于 3 类声环境功能区标准限值，得 5 分；</w:t>
      </w:r>
    </w:p>
    <w:p>
      <w:r>
        <w:t xml:space="preserve">    2 环境噪声值小于等于 2 类声环境功能区标准限值，得 10 分。</w:t>
      </w:r>
    </w:p>
    <w:p>
      <w:pPr>
        <w:widowControl/>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rPr>
                <w:b/>
              </w:rPr>
            </w:pPr>
            <w:bookmarkStart w:id="54" w:name="昼间噪声最大值"/>
            <w:r>
              <w:rPr>
                <w:b/>
              </w:rPr>
              <w:t>45</w:t>
            </w:r>
            <w:bookmarkEnd w:id="54"/>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rPr>
                <w:b/>
                <w:bCs/>
              </w:rPr>
            </w:pPr>
            <w:bookmarkStart w:id="55" w:name="得分情况"/>
            <w:r>
              <w:rPr>
                <w:b/>
                <w:bCs/>
              </w:rPr>
              <w:t>10</w:t>
            </w:r>
            <w:bookmarkEnd w:id="55"/>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6" w:name="夜间噪声最大值"/>
            <w:r>
              <w:rPr>
                <w:b/>
              </w:rPr>
              <w:t>39</w:t>
            </w:r>
            <w:bookmarkEnd w:id="56"/>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ind w:firstLine="210" w:firstLineChars="100"/>
      </w:pPr>
      <w:r>
        <w:rPr>
          <w:rFonts w:hint="eastAsia" w:ascii="宋体" w:hAnsi="Calibri"/>
        </w:rPr>
        <w:t>综上所述，经过软件模拟和结果统计分析，最终判定本项目</w:t>
      </w:r>
      <w:bookmarkStart w:id="57" w:name="满足结论"/>
      <w:r>
        <w:rPr>
          <w:rFonts w:hint="eastAsia"/>
          <w:b/>
        </w:rPr>
        <w:t>满足</w:t>
      </w:r>
      <w:bookmarkEnd w:id="57"/>
      <w:r>
        <w:rPr>
          <w:rFonts w:hint="eastAsia"/>
          <w:b/>
        </w:rPr>
        <w:t xml:space="preserve"> </w:t>
      </w:r>
      <w:bookmarkStart w:id="58" w:name="标准名称3"/>
      <w:r>
        <w:rPr>
          <w:rFonts w:hint="eastAsia"/>
        </w:rPr>
        <w:t>河南省《绿色建筑评价标准》DBJ41/T 109—2020</w:t>
      </w:r>
      <w:bookmarkEnd w:id="58"/>
      <w:r>
        <w:rPr>
          <w:rFonts w:hint="eastAsia"/>
        </w:rPr>
        <w:t>地方标准</w:t>
      </w:r>
      <w:bookmarkStart w:id="59" w:name="室外条文编号"/>
      <w:r>
        <w:rPr>
          <w:rFonts w:hint="eastAsia"/>
        </w:rPr>
        <w:t>相关条文</w:t>
      </w:r>
      <w:bookmarkEnd w:id="59"/>
      <w:r>
        <w:rPr>
          <w:rFonts w:hint="eastAsia"/>
        </w:rPr>
        <w:t>要求，</w:t>
      </w:r>
      <w:bookmarkStart w:id="60" w:name="得分结论"/>
      <w:r>
        <w:rPr>
          <w:b/>
        </w:rPr>
        <w:t>得 10 分</w:t>
      </w:r>
      <w:bookmarkEnd w:id="60"/>
      <w:r>
        <w:rPr>
          <w:rFonts w:hint="eastAsia"/>
          <w:b/>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kern w:val="0"/>
        <w:sz w:val="21"/>
        <w:szCs w:val="20"/>
        <w:lang w:val="en-GB"/>
      </w:rPr>
      <w:t>http://www.gbsware.cn/</w:t>
    </w:r>
    <w:r>
      <w:rPr>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r>
      <w:rPr>
        <w:rFonts w:hint="eastAsia"/>
        <w:sz w:val="21"/>
        <w:szCs w:val="21"/>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6F156F"/>
    <w:multiLevelType w:val="multilevel"/>
    <w:tmpl w:val="576F15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2ZmYzNGM0Zjg4ODk2MjM2ZWFhZmJlYThmMWVmN2MifQ=="/>
    <w:docVar w:name="KSO_WPS_MARK_KEY" w:val="d3fbaf6f-f45b-46c8-8de4-fbb670db4bca"/>
  </w:docVars>
  <w:rsids>
    <w:rsidRoot w:val="4FE7679D"/>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06BF"/>
    <w:rsid w:val="00151A9C"/>
    <w:rsid w:val="0015493E"/>
    <w:rsid w:val="00161397"/>
    <w:rsid w:val="0016362E"/>
    <w:rsid w:val="0016680D"/>
    <w:rsid w:val="00167041"/>
    <w:rsid w:val="001730A4"/>
    <w:rsid w:val="00184E16"/>
    <w:rsid w:val="00193053"/>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05412"/>
    <w:rsid w:val="0022186F"/>
    <w:rsid w:val="00223BB0"/>
    <w:rsid w:val="00223FD4"/>
    <w:rsid w:val="00224EB2"/>
    <w:rsid w:val="00234050"/>
    <w:rsid w:val="00234855"/>
    <w:rsid w:val="00234DDC"/>
    <w:rsid w:val="002412ED"/>
    <w:rsid w:val="00242726"/>
    <w:rsid w:val="002602B6"/>
    <w:rsid w:val="00264493"/>
    <w:rsid w:val="002659A1"/>
    <w:rsid w:val="00272200"/>
    <w:rsid w:val="00276069"/>
    <w:rsid w:val="0028422A"/>
    <w:rsid w:val="00286700"/>
    <w:rsid w:val="002957ED"/>
    <w:rsid w:val="002A1F52"/>
    <w:rsid w:val="002A2888"/>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25050"/>
    <w:rsid w:val="003313D3"/>
    <w:rsid w:val="003466B3"/>
    <w:rsid w:val="003615F5"/>
    <w:rsid w:val="00361C9E"/>
    <w:rsid w:val="00361D43"/>
    <w:rsid w:val="0036785B"/>
    <w:rsid w:val="003724ED"/>
    <w:rsid w:val="00373CAE"/>
    <w:rsid w:val="003834A3"/>
    <w:rsid w:val="0038426F"/>
    <w:rsid w:val="0038471D"/>
    <w:rsid w:val="00385B5B"/>
    <w:rsid w:val="003916BD"/>
    <w:rsid w:val="003950A4"/>
    <w:rsid w:val="003972FF"/>
    <w:rsid w:val="003A3902"/>
    <w:rsid w:val="003A4F31"/>
    <w:rsid w:val="003B0E86"/>
    <w:rsid w:val="003B5506"/>
    <w:rsid w:val="003C00D1"/>
    <w:rsid w:val="003C1218"/>
    <w:rsid w:val="003C52B9"/>
    <w:rsid w:val="003C6CFE"/>
    <w:rsid w:val="003C7732"/>
    <w:rsid w:val="003D67A0"/>
    <w:rsid w:val="003D67D5"/>
    <w:rsid w:val="003E7B16"/>
    <w:rsid w:val="003F1246"/>
    <w:rsid w:val="003F2A13"/>
    <w:rsid w:val="003F71B5"/>
    <w:rsid w:val="003F7BD2"/>
    <w:rsid w:val="00416967"/>
    <w:rsid w:val="00421A1C"/>
    <w:rsid w:val="00432563"/>
    <w:rsid w:val="00434B47"/>
    <w:rsid w:val="00440666"/>
    <w:rsid w:val="00445CF4"/>
    <w:rsid w:val="004474F8"/>
    <w:rsid w:val="00447BFE"/>
    <w:rsid w:val="004636CA"/>
    <w:rsid w:val="00465BD1"/>
    <w:rsid w:val="00472D0B"/>
    <w:rsid w:val="0047447A"/>
    <w:rsid w:val="00475F3E"/>
    <w:rsid w:val="00480A89"/>
    <w:rsid w:val="004857E9"/>
    <w:rsid w:val="00485D68"/>
    <w:rsid w:val="00486E38"/>
    <w:rsid w:val="00492420"/>
    <w:rsid w:val="004949F1"/>
    <w:rsid w:val="00495CE8"/>
    <w:rsid w:val="004A4451"/>
    <w:rsid w:val="004D286C"/>
    <w:rsid w:val="004D469B"/>
    <w:rsid w:val="004F1742"/>
    <w:rsid w:val="005034E9"/>
    <w:rsid w:val="00504290"/>
    <w:rsid w:val="00507D67"/>
    <w:rsid w:val="005108BD"/>
    <w:rsid w:val="00511F8C"/>
    <w:rsid w:val="00520004"/>
    <w:rsid w:val="00523106"/>
    <w:rsid w:val="00534C28"/>
    <w:rsid w:val="00541147"/>
    <w:rsid w:val="0054589E"/>
    <w:rsid w:val="00545D17"/>
    <w:rsid w:val="005523A5"/>
    <w:rsid w:val="00553731"/>
    <w:rsid w:val="00554ABA"/>
    <w:rsid w:val="00573516"/>
    <w:rsid w:val="00577BAB"/>
    <w:rsid w:val="00582112"/>
    <w:rsid w:val="00595E38"/>
    <w:rsid w:val="00596BBF"/>
    <w:rsid w:val="005A6DF2"/>
    <w:rsid w:val="005C20D1"/>
    <w:rsid w:val="005C2ADF"/>
    <w:rsid w:val="005C35BF"/>
    <w:rsid w:val="005C5A16"/>
    <w:rsid w:val="005D17E3"/>
    <w:rsid w:val="005D70E3"/>
    <w:rsid w:val="005E1713"/>
    <w:rsid w:val="005E3F82"/>
    <w:rsid w:val="005E4CFE"/>
    <w:rsid w:val="005E6AD7"/>
    <w:rsid w:val="005F3A0A"/>
    <w:rsid w:val="005F3FE9"/>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D30EA"/>
    <w:rsid w:val="006D44EB"/>
    <w:rsid w:val="006D757B"/>
    <w:rsid w:val="006E1CA1"/>
    <w:rsid w:val="006E7F52"/>
    <w:rsid w:val="007108C0"/>
    <w:rsid w:val="007121F1"/>
    <w:rsid w:val="0071467E"/>
    <w:rsid w:val="00721DC1"/>
    <w:rsid w:val="00734ED7"/>
    <w:rsid w:val="0073685B"/>
    <w:rsid w:val="0074079C"/>
    <w:rsid w:val="0074110A"/>
    <w:rsid w:val="00746459"/>
    <w:rsid w:val="00747657"/>
    <w:rsid w:val="007524FA"/>
    <w:rsid w:val="00752AD7"/>
    <w:rsid w:val="0075593C"/>
    <w:rsid w:val="00761CF1"/>
    <w:rsid w:val="00762DE0"/>
    <w:rsid w:val="007637A7"/>
    <w:rsid w:val="00781128"/>
    <w:rsid w:val="007873B1"/>
    <w:rsid w:val="00792428"/>
    <w:rsid w:val="00794146"/>
    <w:rsid w:val="007955EF"/>
    <w:rsid w:val="0079632C"/>
    <w:rsid w:val="007A15A2"/>
    <w:rsid w:val="007A4F00"/>
    <w:rsid w:val="007A6B7B"/>
    <w:rsid w:val="007B0FCA"/>
    <w:rsid w:val="007B3895"/>
    <w:rsid w:val="007B4E82"/>
    <w:rsid w:val="007D0F85"/>
    <w:rsid w:val="007D1479"/>
    <w:rsid w:val="007D35E4"/>
    <w:rsid w:val="007D3B87"/>
    <w:rsid w:val="007E3185"/>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0E8"/>
    <w:rsid w:val="008658B5"/>
    <w:rsid w:val="00871BF4"/>
    <w:rsid w:val="00872BEE"/>
    <w:rsid w:val="008815E2"/>
    <w:rsid w:val="008904B8"/>
    <w:rsid w:val="008952FE"/>
    <w:rsid w:val="008A245B"/>
    <w:rsid w:val="008A5E45"/>
    <w:rsid w:val="008A70E0"/>
    <w:rsid w:val="008B01D1"/>
    <w:rsid w:val="008B2F0A"/>
    <w:rsid w:val="008B506D"/>
    <w:rsid w:val="008C1285"/>
    <w:rsid w:val="008D65C0"/>
    <w:rsid w:val="008D7DA0"/>
    <w:rsid w:val="008E1005"/>
    <w:rsid w:val="008F0665"/>
    <w:rsid w:val="008F0B53"/>
    <w:rsid w:val="008F5A26"/>
    <w:rsid w:val="008F6C4B"/>
    <w:rsid w:val="00900562"/>
    <w:rsid w:val="009028AD"/>
    <w:rsid w:val="00902E0E"/>
    <w:rsid w:val="00905471"/>
    <w:rsid w:val="009110EF"/>
    <w:rsid w:val="0091229D"/>
    <w:rsid w:val="00923068"/>
    <w:rsid w:val="009252A4"/>
    <w:rsid w:val="009279F3"/>
    <w:rsid w:val="00930146"/>
    <w:rsid w:val="00930557"/>
    <w:rsid w:val="009342C5"/>
    <w:rsid w:val="00935299"/>
    <w:rsid w:val="00937F34"/>
    <w:rsid w:val="00941850"/>
    <w:rsid w:val="00941895"/>
    <w:rsid w:val="00942C4A"/>
    <w:rsid w:val="00946913"/>
    <w:rsid w:val="00946B0C"/>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E59CA"/>
    <w:rsid w:val="009F094C"/>
    <w:rsid w:val="009F18F1"/>
    <w:rsid w:val="009F3D06"/>
    <w:rsid w:val="00A01D82"/>
    <w:rsid w:val="00A127B9"/>
    <w:rsid w:val="00A1358C"/>
    <w:rsid w:val="00A14505"/>
    <w:rsid w:val="00A2499E"/>
    <w:rsid w:val="00A273DD"/>
    <w:rsid w:val="00A33916"/>
    <w:rsid w:val="00A33B09"/>
    <w:rsid w:val="00A41019"/>
    <w:rsid w:val="00A453BD"/>
    <w:rsid w:val="00A459DC"/>
    <w:rsid w:val="00A45A72"/>
    <w:rsid w:val="00A47CAC"/>
    <w:rsid w:val="00A53BBE"/>
    <w:rsid w:val="00A53E61"/>
    <w:rsid w:val="00A608EA"/>
    <w:rsid w:val="00A61B39"/>
    <w:rsid w:val="00A6412D"/>
    <w:rsid w:val="00A65874"/>
    <w:rsid w:val="00A65905"/>
    <w:rsid w:val="00A6686B"/>
    <w:rsid w:val="00A70F4E"/>
    <w:rsid w:val="00A864FA"/>
    <w:rsid w:val="00A91269"/>
    <w:rsid w:val="00AC3C7C"/>
    <w:rsid w:val="00AD141D"/>
    <w:rsid w:val="00AD22B2"/>
    <w:rsid w:val="00AD4D6B"/>
    <w:rsid w:val="00AE13B4"/>
    <w:rsid w:val="00AE2430"/>
    <w:rsid w:val="00AE5699"/>
    <w:rsid w:val="00AE7A72"/>
    <w:rsid w:val="00AF00C1"/>
    <w:rsid w:val="00AF1538"/>
    <w:rsid w:val="00B07594"/>
    <w:rsid w:val="00B341A3"/>
    <w:rsid w:val="00B3552D"/>
    <w:rsid w:val="00B377BD"/>
    <w:rsid w:val="00B42132"/>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1FD9"/>
    <w:rsid w:val="00BC3F18"/>
    <w:rsid w:val="00BE122C"/>
    <w:rsid w:val="00BE4BB3"/>
    <w:rsid w:val="00BE51B5"/>
    <w:rsid w:val="00BE5B8B"/>
    <w:rsid w:val="00BE6E1D"/>
    <w:rsid w:val="00C02B5F"/>
    <w:rsid w:val="00C03121"/>
    <w:rsid w:val="00C22B99"/>
    <w:rsid w:val="00C30F8E"/>
    <w:rsid w:val="00C4220C"/>
    <w:rsid w:val="00C503B9"/>
    <w:rsid w:val="00C52DAB"/>
    <w:rsid w:val="00C56A9D"/>
    <w:rsid w:val="00C56B9C"/>
    <w:rsid w:val="00C56E7B"/>
    <w:rsid w:val="00C57696"/>
    <w:rsid w:val="00C6137E"/>
    <w:rsid w:val="00C87391"/>
    <w:rsid w:val="00C9594B"/>
    <w:rsid w:val="00CA2717"/>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4295A"/>
    <w:rsid w:val="00D62874"/>
    <w:rsid w:val="00D650C0"/>
    <w:rsid w:val="00D71C25"/>
    <w:rsid w:val="00D73004"/>
    <w:rsid w:val="00D83B4F"/>
    <w:rsid w:val="00D87027"/>
    <w:rsid w:val="00DA3C21"/>
    <w:rsid w:val="00DA60F0"/>
    <w:rsid w:val="00DA710A"/>
    <w:rsid w:val="00DC15F5"/>
    <w:rsid w:val="00DD0A81"/>
    <w:rsid w:val="00DF0317"/>
    <w:rsid w:val="00DF085E"/>
    <w:rsid w:val="00DF2B98"/>
    <w:rsid w:val="00DF513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37C7"/>
    <w:rsid w:val="00E94AEB"/>
    <w:rsid w:val="00EC3CCA"/>
    <w:rsid w:val="00EC5BBC"/>
    <w:rsid w:val="00ED0083"/>
    <w:rsid w:val="00ED5211"/>
    <w:rsid w:val="00EE11A7"/>
    <w:rsid w:val="00EF3C93"/>
    <w:rsid w:val="00EF73F3"/>
    <w:rsid w:val="00F012B9"/>
    <w:rsid w:val="00F01CC2"/>
    <w:rsid w:val="00F05FFA"/>
    <w:rsid w:val="00F16A95"/>
    <w:rsid w:val="00F24521"/>
    <w:rsid w:val="00F25618"/>
    <w:rsid w:val="00F3631E"/>
    <w:rsid w:val="00F46175"/>
    <w:rsid w:val="00F46F8B"/>
    <w:rsid w:val="00F515FF"/>
    <w:rsid w:val="00F544B1"/>
    <w:rsid w:val="00F601E8"/>
    <w:rsid w:val="00F64650"/>
    <w:rsid w:val="00F67A25"/>
    <w:rsid w:val="00F70C42"/>
    <w:rsid w:val="00F82E22"/>
    <w:rsid w:val="00F85F15"/>
    <w:rsid w:val="00F8780D"/>
    <w:rsid w:val="00F95680"/>
    <w:rsid w:val="00FA060E"/>
    <w:rsid w:val="00FA0657"/>
    <w:rsid w:val="00FA1493"/>
    <w:rsid w:val="00FB0C2B"/>
    <w:rsid w:val="00FB751F"/>
    <w:rsid w:val="00FC2740"/>
    <w:rsid w:val="00FC5C1E"/>
    <w:rsid w:val="00FC792A"/>
    <w:rsid w:val="00FD4B97"/>
    <w:rsid w:val="00FD633D"/>
    <w:rsid w:val="00FE2DCA"/>
    <w:rsid w:val="00FE4B5B"/>
    <w:rsid w:val="00FF1FA5"/>
    <w:rsid w:val="00FF21E4"/>
    <w:rsid w:val="00FF4D64"/>
    <w:rsid w:val="4FE7679D"/>
    <w:rsid w:val="74657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015\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0BD51-AF4A-4DD0-8E37-F73A4B0962D6}">
  <ds:schemaRefs/>
</ds:datastoreItem>
</file>

<file path=docProps/app.xml><?xml version="1.0" encoding="utf-8"?>
<Properties xmlns="http://schemas.openxmlformats.org/officeDocument/2006/extended-properties" xmlns:vt="http://schemas.openxmlformats.org/officeDocument/2006/docPropsVTypes">
  <Template>tmp6.dotx</Template>
  <Pages>14</Pages>
  <Words>2758</Words>
  <Characters>3243</Characters>
  <Lines>26</Lines>
  <Paragraphs>7</Paragraphs>
  <TotalTime>0</TotalTime>
  <ScaleCrop>false</ScaleCrop>
  <LinksUpToDate>false</LinksUpToDate>
  <CharactersWithSpaces>3527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2024-03-14T15:12:00Z</dcterms:created>
  <dc:creator>26015</dc:creator>
  <cp:lastModifiedBy>26015</cp:lastModifiedBy>
  <dcterms:modified xsi:type="dcterms:W3CDTF">2024-03-15T10:01:40Z</dcterms:modified>
  <dc:title>总平面图完善室外噪声分析报告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04DB78050D5940B78C7A29B259D5581D</vt:lpwstr>
  </property>
  <property fmtid="{D5CDD505-2E9C-101B-9397-08002B2CF9AE}" pid="3" name="KSOProductBuildVer">
    <vt:lpwstr>2052-11.1.0.12598</vt:lpwstr>
  </property>
</Properties>
</file>