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hint="eastAsia"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lang w:val="en-US" w:eastAsia="zh-CN"/>
              </w:rPr>
              <w:t>园以廊通，院以街兴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武汉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2024年01月10日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514475" cy="15144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57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北京绿建软件有限公司</w:t>
            </w:r>
          </w:p>
          <w:p>
            <w:pPr>
              <w:spacing w:line="240" w:lineRule="auto"/>
              <w:jc w:val="both"/>
              <w:rPr>
                <w:rFonts w:ascii="宋体" w:hAnsi="宋体"/>
                <w:szCs w:val="18"/>
              </w:rPr>
            </w:pPr>
            <w:r>
              <w:rPr>
                <w:rFonts w:hint="eastAsia" w:ascii="宋体" w:hAnsi="宋体"/>
                <w:szCs w:val="18"/>
              </w:rPr>
              <w:t>深圳市斯维尔科技有限公司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_Toc28354 </w:instrText>
      </w:r>
      <w:r>
        <w:rPr>
          <w:rFonts w:ascii="宋体" w:hAnsi="宋体"/>
          <w:bCs w:val="0"/>
          <w:caps/>
        </w:rPr>
        <w:fldChar w:fldCharType="separate"/>
      </w:r>
      <w:r>
        <w:rPr>
          <w:rFonts w:hint="eastAsia"/>
        </w:rPr>
        <w:t>1 项目概况</w:t>
      </w:r>
      <w:r>
        <w:tab/>
      </w:r>
      <w:r>
        <w:fldChar w:fldCharType="begin"/>
      </w:r>
      <w:r>
        <w:instrText xml:space="preserve"> PAGEREF _Toc28354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_Toc30225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_Toc30225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_Toc17866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_Toc17866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_Toc20449 </w:instrText>
      </w:r>
      <w:r>
        <w:fldChar w:fldCharType="separate"/>
      </w:r>
      <w:r>
        <w:rPr>
          <w:rFonts w:hint="eastAsia"/>
        </w:rPr>
        <w:t>2 计算</w:t>
      </w:r>
      <w:r>
        <w:t>依据</w:t>
      </w:r>
      <w:r>
        <w:tab/>
      </w:r>
      <w:r>
        <w:fldChar w:fldCharType="begin"/>
      </w:r>
      <w:r>
        <w:instrText xml:space="preserve"> PAGEREF _Toc20449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_Toc1863 </w:instrText>
      </w:r>
      <w:r>
        <w:fldChar w:fldCharType="separate"/>
      </w:r>
      <w:r>
        <w:rPr>
          <w:rFonts w:hint="eastAsia"/>
        </w:rPr>
        <w:t>3 参考</w:t>
      </w:r>
      <w:r>
        <w:t>标准</w:t>
      </w:r>
      <w:r>
        <w:tab/>
      </w:r>
      <w:r>
        <w:fldChar w:fldCharType="begin"/>
      </w:r>
      <w:r>
        <w:instrText xml:space="preserve"> PAGEREF _Toc1863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_Toc23493 </w:instrText>
      </w:r>
      <w:r>
        <w:fldChar w:fldCharType="separate"/>
      </w:r>
      <w:r>
        <w:rPr>
          <w:rFonts w:hint="eastAsia"/>
        </w:rPr>
        <w:t>4 计算原理</w:t>
      </w:r>
      <w:r>
        <w:tab/>
      </w:r>
      <w:r>
        <w:fldChar w:fldCharType="begin"/>
      </w:r>
      <w:r>
        <w:instrText xml:space="preserve"> PAGEREF _Toc23493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_Toc15151 </w:instrText>
      </w:r>
      <w:r>
        <w:fldChar w:fldCharType="separate"/>
      </w:r>
      <w:r>
        <w:rPr>
          <w:rFonts w:hint="eastAsia"/>
          <w:lang w:val="en-GB"/>
        </w:rPr>
        <w:t xml:space="preserve">4.1 </w:t>
      </w:r>
      <w:r>
        <w:rPr>
          <w:rFonts w:hint="eastAsia"/>
        </w:rPr>
        <w:t>风场计算域</w:t>
      </w:r>
      <w:r>
        <w:tab/>
      </w:r>
      <w:r>
        <w:fldChar w:fldCharType="begin"/>
      </w:r>
      <w:r>
        <w:instrText xml:space="preserve"> PAGEREF _Toc15151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_Toc24434 </w:instrText>
      </w:r>
      <w:r>
        <w:fldChar w:fldCharType="separate"/>
      </w:r>
      <w:r>
        <w:rPr>
          <w:rFonts w:hint="eastAsia" w:eastAsia="宋体"/>
          <w:szCs w:val="24"/>
          <w:lang w:val="en-GB"/>
        </w:rPr>
        <w:t xml:space="preserve">4.1.1 </w:t>
      </w:r>
      <w:r>
        <w:rPr>
          <w:rFonts w:hint="eastAsia"/>
        </w:rPr>
        <w:t>夏季工况风场计算域</w:t>
      </w:r>
      <w:r>
        <w:tab/>
      </w:r>
      <w:r>
        <w:fldChar w:fldCharType="begin"/>
      </w:r>
      <w:r>
        <w:instrText xml:space="preserve"> PAGEREF _Toc24434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_Toc24467 </w:instrText>
      </w:r>
      <w:r>
        <w:fldChar w:fldCharType="separate"/>
      </w:r>
      <w:r>
        <w:rPr>
          <w:rFonts w:hint="eastAsia"/>
          <w:lang w:val="en-GB"/>
        </w:rPr>
        <w:t xml:space="preserve">4.2 </w:t>
      </w:r>
      <w:r>
        <w:rPr>
          <w:rFonts w:hint="eastAsia"/>
        </w:rPr>
        <w:t>网格划分</w:t>
      </w:r>
      <w:r>
        <w:tab/>
      </w:r>
      <w:r>
        <w:fldChar w:fldCharType="begin"/>
      </w:r>
      <w:r>
        <w:instrText xml:space="preserve"> PAGEREF _Toc24467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_Toc15140 </w:instrText>
      </w:r>
      <w:r>
        <w:fldChar w:fldCharType="separate"/>
      </w:r>
      <w:r>
        <w:rPr>
          <w:rFonts w:hint="eastAsia"/>
          <w:lang w:val="en-GB"/>
        </w:rPr>
        <w:t xml:space="preserve">4.3 </w:t>
      </w:r>
      <w:r>
        <w:rPr>
          <w:rFonts w:hint="eastAsia"/>
        </w:rPr>
        <w:t>边界条件</w:t>
      </w:r>
      <w:r>
        <w:tab/>
      </w:r>
      <w:r>
        <w:fldChar w:fldCharType="begin"/>
      </w:r>
      <w:r>
        <w:instrText xml:space="preserve"> PAGEREF _Toc15140 </w:instrText>
      </w:r>
      <w:r>
        <w:fldChar w:fldCharType="separate"/>
      </w:r>
      <w:r>
        <w:t>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_Toc27779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_Toc27779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_Toc17508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_Toc17508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_Toc4148 </w:instrText>
      </w:r>
      <w:r>
        <w:fldChar w:fldCharType="separate"/>
      </w:r>
      <w:r>
        <w:rPr>
          <w:rFonts w:hint="eastAsia"/>
          <w:lang w:val="en-GB"/>
        </w:rPr>
        <w:t xml:space="preserve">4.4 </w:t>
      </w:r>
      <w:r>
        <w:rPr>
          <w:rFonts w:hint="eastAsia"/>
        </w:rPr>
        <w:t>湍流模型</w:t>
      </w:r>
      <w:r>
        <w:tab/>
      </w:r>
      <w:r>
        <w:fldChar w:fldCharType="begin"/>
      </w:r>
      <w:r>
        <w:instrText xml:space="preserve"> PAGEREF _Toc4148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_Toc11293 </w:instrText>
      </w:r>
      <w:r>
        <w:fldChar w:fldCharType="separate"/>
      </w:r>
      <w:r>
        <w:rPr>
          <w:rFonts w:hint="eastAsia"/>
          <w:lang w:val="en-GB"/>
        </w:rPr>
        <w:t xml:space="preserve">4.5 </w:t>
      </w:r>
      <w:r>
        <w:rPr>
          <w:rFonts w:hint="eastAsia"/>
        </w:rPr>
        <w:t>求解计算</w:t>
      </w:r>
      <w:r>
        <w:tab/>
      </w:r>
      <w:r>
        <w:fldChar w:fldCharType="begin"/>
      </w:r>
      <w:r>
        <w:instrText xml:space="preserve"> PAGEREF _Toc11293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_Toc11593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_Toc11593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_Toc13422 </w:instrText>
      </w:r>
      <w:r>
        <w:fldChar w:fldCharType="separate"/>
      </w:r>
      <w:r>
        <w:rPr>
          <w:rFonts w:hint="eastAsia"/>
        </w:rPr>
        <w:t>5 结果</w:t>
      </w:r>
      <w:r>
        <w:t>分析</w:t>
      </w:r>
      <w:r>
        <w:tab/>
      </w:r>
      <w:r>
        <w:fldChar w:fldCharType="begin"/>
      </w:r>
      <w:r>
        <w:instrText xml:space="preserve"> PAGEREF _Toc13422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_Toc15213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_Toc15213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_Toc31644 </w:instrText>
      </w:r>
      <w:r>
        <w:fldChar w:fldCharType="separate"/>
      </w:r>
      <w:r>
        <w:rPr>
          <w:rFonts w:hint="eastAsia"/>
          <w:lang w:val="en-GB"/>
        </w:rPr>
        <w:t xml:space="preserve">5.2 </w:t>
      </w:r>
      <w:r>
        <w:rPr>
          <w:rFonts w:hint="eastAsia"/>
        </w:rPr>
        <w:t>夏季工况</w:t>
      </w:r>
      <w:r>
        <w:tab/>
      </w:r>
      <w:r>
        <w:fldChar w:fldCharType="begin"/>
      </w:r>
      <w:r>
        <w:instrText xml:space="preserve"> PAGEREF _Toc31644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_Toc16827 </w:instrText>
      </w:r>
      <w:r>
        <w:fldChar w:fldCharType="separate"/>
      </w:r>
      <w:r>
        <w:rPr>
          <w:rFonts w:hint="eastAsia" w:eastAsia="宋体"/>
          <w:szCs w:val="24"/>
          <w:lang w:val="en-GB"/>
        </w:rPr>
        <w:t xml:space="preserve">5.2.1 </w:t>
      </w:r>
      <w:r>
        <w:rPr>
          <w:rFonts w:hint="eastAsia"/>
        </w:rPr>
        <w:t>无风区计算分析</w:t>
      </w:r>
      <w:r>
        <w:tab/>
      </w:r>
      <w:r>
        <w:fldChar w:fldCharType="begin"/>
      </w:r>
      <w:r>
        <w:instrText xml:space="preserve"> PAGEREF _Toc16827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_Toc2248 </w:instrText>
      </w:r>
      <w:r>
        <w:fldChar w:fldCharType="separate"/>
      </w:r>
      <w:r>
        <w:rPr>
          <w:rFonts w:hint="eastAsia" w:eastAsia="宋体"/>
          <w:szCs w:val="24"/>
          <w:lang w:val="en-GB"/>
        </w:rPr>
        <w:t xml:space="preserve">5.2.2 </w:t>
      </w:r>
      <w:r>
        <w:rPr>
          <w:rFonts w:hint="eastAsia"/>
        </w:rPr>
        <w:t>旋涡区分析</w:t>
      </w:r>
      <w:r>
        <w:tab/>
      </w:r>
      <w:r>
        <w:fldChar w:fldCharType="begin"/>
      </w:r>
      <w:r>
        <w:instrText xml:space="preserve"> PAGEREF _Toc2248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_Toc7955 </w:instrText>
      </w:r>
      <w:r>
        <w:fldChar w:fldCharType="separate"/>
      </w:r>
      <w:r>
        <w:rPr>
          <w:rFonts w:hint="eastAsia" w:eastAsia="宋体"/>
          <w:szCs w:val="24"/>
          <w:lang w:val="en-GB"/>
        </w:rPr>
        <w:t xml:space="preserve">5.2.3 </w:t>
      </w:r>
      <w:r>
        <w:rPr>
          <w:rFonts w:hint="eastAsia"/>
        </w:rPr>
        <w:t>人行区域旋涡区/无风区达标判定</w:t>
      </w:r>
      <w:r>
        <w:tab/>
      </w:r>
      <w:r>
        <w:fldChar w:fldCharType="begin"/>
      </w:r>
      <w:r>
        <w:instrText xml:space="preserve"> PAGEREF _Toc7955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_Toc13006 </w:instrText>
      </w:r>
      <w:r>
        <w:fldChar w:fldCharType="separate"/>
      </w:r>
      <w:r>
        <w:rPr>
          <w:rFonts w:hint="eastAsia" w:eastAsia="宋体"/>
          <w:szCs w:val="24"/>
          <w:lang w:val="en-GB"/>
        </w:rPr>
        <w:t xml:space="preserve">5.2.4 </w:t>
      </w:r>
      <w:r>
        <w:rPr>
          <w:rFonts w:hint="eastAsia"/>
        </w:rPr>
        <w:t>外窗内外表面风压差达标分析</w:t>
      </w:r>
      <w:r>
        <w:tab/>
      </w:r>
      <w:r>
        <w:fldChar w:fldCharType="begin"/>
      </w:r>
      <w:r>
        <w:instrText xml:space="preserve"> PAGEREF _Toc13006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_Toc26875 </w:instrText>
      </w:r>
      <w:r>
        <w:fldChar w:fldCharType="separate"/>
      </w:r>
      <w:r>
        <w:rPr>
          <w:rFonts w:hint="eastAsia"/>
          <w:lang w:val="en-GB"/>
        </w:rPr>
        <w:t xml:space="preserve">5.3 </w:t>
      </w:r>
      <w:r>
        <w:rPr>
          <w:rFonts w:hint="eastAsia"/>
        </w:rPr>
        <w:t>结论</w:t>
      </w:r>
      <w:r>
        <w:tab/>
      </w:r>
      <w:r>
        <w:fldChar w:fldCharType="begin"/>
      </w:r>
      <w:r>
        <w:instrText xml:space="preserve"> PAGEREF _Toc26875 </w:instrText>
      </w:r>
      <w:r>
        <w:fldChar w:fldCharType="separate"/>
      </w:r>
      <w:r>
        <w:t>16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_Toc21195 </w:instrText>
      </w:r>
      <w:r>
        <w:fldChar w:fldCharType="separate"/>
      </w:r>
      <w:r>
        <w:rPr>
          <w:rFonts w:hint="eastAsia" w:eastAsia="宋体"/>
          <w:szCs w:val="24"/>
          <w:lang w:val="en-GB"/>
        </w:rPr>
        <w:t xml:space="preserve">5.3.1 </w:t>
      </w:r>
      <w:r>
        <w:rPr>
          <w:rFonts w:hint="eastAsia"/>
        </w:rPr>
        <w:t>过渡季、夏季工况达标判断</w:t>
      </w:r>
      <w:r>
        <w:tab/>
      </w:r>
      <w:r>
        <w:fldChar w:fldCharType="begin"/>
      </w:r>
      <w:r>
        <w:instrText xml:space="preserve"> PAGEREF _Toc21195 </w:instrText>
      </w:r>
      <w:r>
        <w:fldChar w:fldCharType="separate"/>
      </w:r>
      <w:r>
        <w:t>16</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28354"/>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30225"/>
      <w:bookmarkStart w:id="13" w:name="_Toc452108760"/>
      <w:r>
        <w:rPr>
          <w:rFonts w:hint="eastAsia"/>
        </w:rPr>
        <w:t>总</w:t>
      </w:r>
      <w:r>
        <w:t>平面图</w:t>
      </w:r>
      <w:bookmarkEnd w:id="12"/>
    </w:p>
    <w:p>
      <w:pPr>
        <w:pStyle w:val="3"/>
        <w:ind w:firstLine="0" w:firstLineChars="0"/>
        <w:jc w:val="center"/>
        <w:rPr>
          <w:lang w:val="en-US"/>
        </w:rPr>
      </w:pPr>
      <w:r>
        <w:rPr>
          <w:rFonts w:hint="eastAsia"/>
          <w:lang w:val="en-US"/>
        </w:rPr>
        <w:t xml:space="preserve"> </w:t>
      </w:r>
      <w:bookmarkStart w:id="14" w:name="总平面图"/>
      <w: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5" w:name="_Toc17866"/>
      <w:bookmarkStart w:id="16" w:name="_Toc452108761"/>
      <w:r>
        <w:rPr>
          <w:rFonts w:hint="eastAsia"/>
        </w:rPr>
        <w:t>三</w:t>
      </w:r>
      <w:r>
        <w:t>维视图</w:t>
      </w:r>
      <w:bookmarkEnd w:id="15"/>
    </w:p>
    <w:p>
      <w:pPr>
        <w:pStyle w:val="3"/>
        <w:ind w:firstLine="0" w:firstLineChars="0"/>
        <w:jc w:val="center"/>
        <w:rPr>
          <w:lang w:val="en-US"/>
        </w:rPr>
      </w:pPr>
      <w:r>
        <w:rPr>
          <w:rFonts w:hint="eastAsia"/>
          <w:lang w:val="en-US"/>
        </w:rPr>
        <w:t xml:space="preserve"> </w:t>
      </w:r>
      <w:bookmarkStart w:id="17" w:name="三维视图"/>
      <w: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8" w:name="_Toc20449"/>
      <w:bookmarkStart w:id="19" w:name="TitleFormat"/>
      <w:bookmarkStart w:id="20" w:name="_Toc452108762"/>
      <w:r>
        <w:rPr>
          <w:rFonts w:hint="eastAsia"/>
        </w:rPr>
        <w:t>计算</w:t>
      </w:r>
      <w:r>
        <w:t>依据</w:t>
      </w:r>
      <w:bookmarkEnd w:id="18"/>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1" w:name="_Toc1863"/>
      <w:bookmarkStart w:id="22" w:name="_Toc452108763"/>
      <w:r>
        <w:rPr>
          <w:rFonts w:hint="eastAsia"/>
        </w:rPr>
        <w:t>参考</w:t>
      </w:r>
      <w:r>
        <w:t>标准</w:t>
      </w:r>
      <w:bookmarkEnd w:id="21"/>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3" w:name="_Toc451698935"/>
      <w:bookmarkStart w:id="24" w:name="_Toc452108764"/>
      <w:bookmarkStart w:id="25"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26" w:name="_Toc23493"/>
      <w:r>
        <w:rPr>
          <w:rFonts w:hint="eastAsia"/>
        </w:rPr>
        <w:t>计算原理</w:t>
      </w:r>
      <w:bookmarkEnd w:id="26"/>
    </w:p>
    <w:p>
      <w:pPr>
        <w:pStyle w:val="4"/>
        <w:numPr>
          <w:ilvl w:val="1"/>
          <w:numId w:val="3"/>
        </w:numPr>
      </w:pPr>
      <w:bookmarkStart w:id="27" w:name="_Toc15151"/>
      <w:bookmarkStart w:id="28" w:name="_Toc509844740"/>
      <w:bookmarkStart w:id="29" w:name="_Toc451698937"/>
      <w:bookmarkStart w:id="30" w:name="_Toc452108765"/>
      <w:r>
        <w:rPr>
          <w:rFonts w:hint="eastAsia"/>
        </w:rPr>
        <w:t>风场计算域</w:t>
      </w:r>
      <w:bookmarkEnd w:id="2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1" w:name="_Toc24434"/>
      <w:r>
        <w:rPr>
          <w:rFonts w:hint="eastAsia"/>
        </w:rPr>
        <w:t>夏季工况风场计算域</w:t>
      </w:r>
      <w:bookmarkEnd w:id="31"/>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3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0" w:type="dxa"/>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0" w:type="dxa"/>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0" w:type="dxa"/>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115</w:t>
            </w:r>
          </w:p>
        </w:tc>
      </w:tr>
    </w:tbl>
    <w:p>
      <w:pPr>
        <w:pStyle w:val="3"/>
        <w:ind w:firstLine="0" w:firstLineChars="0"/>
        <w:jc w:val="center"/>
        <w:rPr>
          <w:lang w:val="en-US"/>
        </w:rPr>
      </w:pPr>
      <w: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2" w:name="计算域"/>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3" w:name="_Toc24467"/>
      <w:bookmarkStart w:id="34" w:name="_Toc509844741"/>
      <w:r>
        <w:rPr>
          <w:rFonts w:hint="eastAsia"/>
        </w:rPr>
        <w:t>网格划分</w:t>
      </w:r>
      <w:bookmarkEnd w:id="33"/>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5" w:name="OLE_LINK276"/>
      <w:bookmarkStart w:id="36" w:name="OLE_LINK277"/>
      <w:r>
        <w:rPr>
          <w:rFonts w:hint="eastAsia"/>
        </w:rPr>
        <w:t>1）普通网格：指除靠近地面和建筑以外的网格，通常不需要特别加密处理</w:t>
      </w:r>
    </w:p>
    <w:p>
      <w:pPr>
        <w:pStyle w:val="12"/>
        <w:numPr>
          <w:ilvl w:val="0"/>
          <w:numId w:val="4"/>
        </w:numPr>
        <w:spacing w:before="156"/>
      </w:pPr>
      <w:bookmarkStart w:id="37" w:name="OLE_LINK15"/>
      <w:r>
        <w:rPr>
          <w:rFonts w:hint="eastAsia"/>
        </w:rPr>
        <w:t>分弧精度：对于有圆弧特征的建筑局部，把圆弧分解为线段时，弦到弧的最大距离；</w:t>
      </w:r>
    </w:p>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fixed"/>
        <w:tblCellMar>
          <w:top w:w="0" w:type="dxa"/>
          <w:left w:w="108" w:type="dxa"/>
          <w:bottom w:w="0" w:type="dxa"/>
          <w:right w:w="108" w:type="dxa"/>
        </w:tblCellMar>
      </w:tblPr>
      <w:tblGrid>
        <w:gridCol w:w="1863"/>
        <w:gridCol w:w="1701"/>
        <w:gridCol w:w="2977"/>
        <w:gridCol w:w="1701"/>
      </w:tblGrid>
      <w:tr>
        <w:tblPrEx>
          <w:tblLayout w:type="fixed"/>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Layout w:type="fixed"/>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2591027</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0.18</w:t>
            </w:r>
          </w:p>
        </w:tc>
      </w:tr>
      <w:tr>
        <w:tblPrEx>
          <w:tblLayout w:type="fixed"/>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Layout w:type="fixed"/>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Layout w:type="fixed"/>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3</w:t>
            </w:r>
          </w:p>
        </w:tc>
      </w:tr>
      <w:tr>
        <w:tblPrEx>
          <w:tblLayout w:type="fixed"/>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Layout w:type="fixed"/>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3</w:t>
            </w:r>
          </w:p>
        </w:tc>
      </w:tr>
      <w:tr>
        <w:tblPrEx>
          <w:tblLayout w:type="fixed"/>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w:t>
            </w:r>
          </w:p>
        </w:tc>
      </w:tr>
      <w:tr>
        <w:tblPrEx>
          <w:tblLayout w:type="fixed"/>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38" w:name="冬季建筑附面层数"/>
            <w:r>
              <w:t>1</w:t>
            </w:r>
          </w:p>
        </w:tc>
      </w:tr>
    </w:tbl>
    <w:p>
      <w:pPr>
        <w:rPr>
          <w:szCs w:val="21"/>
          <w:lang w:val="en-US"/>
        </w:rPr>
      </w:pPr>
    </w:p>
    <w:p>
      <w:pPr>
        <w:pStyle w:val="3"/>
        <w:ind w:firstLine="630" w:firstLineChars="300"/>
        <w:rPr>
          <w:rFonts w:ascii="黑体" w:hAnsi="黑体" w:eastAsia="黑体"/>
          <w:szCs w:val="20"/>
        </w:rPr>
      </w:pPr>
      <w:bookmarkStart w:id="39" w:name="网格划分信息"/>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40" w:name="_Toc509844742"/>
      <w:bookmarkStart w:id="41" w:name="_Toc15140"/>
      <w:r>
        <w:rPr>
          <w:rFonts w:hint="eastAsia"/>
        </w:rPr>
        <w:t>边界条件</w:t>
      </w:r>
      <w:bookmarkEnd w:id="40"/>
      <w:bookmarkEnd w:id="41"/>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42" w:name="_Toc509844743"/>
      <w:bookmarkStart w:id="43" w:name="_Toc27779"/>
      <w:r>
        <w:rPr>
          <w:rFonts w:hint="eastAsia"/>
        </w:rPr>
        <w:t>入口与出口边界条件</w:t>
      </w:r>
      <w:bookmarkEnd w:id="42"/>
      <w:bookmarkEnd w:id="43"/>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44" w:name="地面粗糙度指数2"/>
      <w:r>
        <w:rPr>
          <w:rFonts w:hint="eastAsia"/>
          <w:lang w:val="en-US"/>
        </w:rPr>
        <w:t>0.28</w:t>
      </w:r>
      <w:bookmarkEnd w:id="44"/>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fixed"/>
        <w:tblCellMar>
          <w:top w:w="0" w:type="dxa"/>
          <w:left w:w="108" w:type="dxa"/>
          <w:bottom w:w="0" w:type="dxa"/>
          <w:right w:w="108" w:type="dxa"/>
        </w:tblCellMar>
      </w:tblPr>
      <w:tblGrid>
        <w:gridCol w:w="2864"/>
        <w:gridCol w:w="4366"/>
        <w:gridCol w:w="1701"/>
      </w:tblGrid>
      <w:tr>
        <w:tblPrEx>
          <w:tblLayout w:type="fixed"/>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Layout w:type="fixed"/>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Layout w:type="fixed"/>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Layout w:type="fixed"/>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45" w:name="_Toc509844744"/>
      <w:bookmarkStart w:id="46" w:name="_Toc17508"/>
      <w:r>
        <w:rPr>
          <w:rFonts w:hint="eastAsia"/>
        </w:rPr>
        <w:t>壁面边界条件</w:t>
      </w:r>
      <w:bookmarkEnd w:id="45"/>
      <w:bookmarkEnd w:id="46"/>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47" w:name="_Toc4148"/>
      <w:r>
        <w:rPr>
          <w:rFonts w:hint="eastAsia"/>
        </w:rPr>
        <w:t>湍流模型</w:t>
      </w:r>
      <w:bookmarkEnd w:id="47"/>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fixed"/>
        <w:tblCellMar>
          <w:top w:w="0" w:type="dxa"/>
          <w:left w:w="108" w:type="dxa"/>
          <w:bottom w:w="0" w:type="dxa"/>
          <w:right w:w="108" w:type="dxa"/>
        </w:tblCellMar>
      </w:tblPr>
      <w:tblGrid>
        <w:gridCol w:w="2640"/>
        <w:gridCol w:w="6760"/>
      </w:tblGrid>
      <w:tr>
        <w:tblPrEx>
          <w:tblLayout w:type="fixed"/>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Layout w:type="fixed"/>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Layout w:type="fixed"/>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Layout w:type="fixed"/>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48" w:name="_Toc452108767"/>
      <w:bookmarkStart w:id="49" w:name="_Toc451698939"/>
      <w:bookmarkStart w:id="50" w:name="_Toc11293"/>
      <w:r>
        <w:rPr>
          <w:rFonts w:hint="eastAsia"/>
        </w:rPr>
        <w:t>求解计算</w:t>
      </w:r>
      <w:bookmarkEnd w:id="48"/>
      <w:bookmarkEnd w:id="49"/>
      <w:bookmarkEnd w:id="50"/>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5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51"/>
      <w:r>
        <w:rPr>
          <w:rFonts w:hint="eastAsia" w:ascii="黑体" w:hAnsi="黑体" w:eastAsia="黑体"/>
          <w:sz w:val="20"/>
          <w:szCs w:val="20"/>
        </w:rPr>
        <w:t xml:space="preserve"> </w:t>
      </w:r>
      <w:bookmarkStart w:id="52" w:name="_Ref225175618"/>
      <w:r>
        <w:rPr>
          <w:rFonts w:hint="eastAsia" w:ascii="黑体" w:hAnsi="黑体" w:eastAsia="黑体"/>
          <w:sz w:val="20"/>
          <w:szCs w:val="20"/>
        </w:rPr>
        <w:t>计算流体力学的控制方程</w:t>
      </w:r>
      <w:bookmarkEnd w:id="52"/>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53" w:name="_Toc509844747"/>
      <w:bookmarkStart w:id="54" w:name="_Toc11593"/>
      <w:r>
        <w:rPr>
          <w:rFonts w:hint="eastAsia"/>
        </w:rPr>
        <w:t>风速放大系数计算</w:t>
      </w:r>
      <w:bookmarkEnd w:id="53"/>
      <w:bookmarkEnd w:id="54"/>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90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ctrlPr>
                              <w:rPr>
                                <w:rFonts w:ascii="Cambria Math" w:hAnsi="Cambria Math"/>
                                <w:i/>
                                <w:lang w:val="en-US"/>
                              </w:rPr>
                            </m:ctrlPr>
                          </m:e>
                          <m:sup>
                            <m:r>
                              <w:rPr>
                                <w:rFonts w:ascii="Cambria Math" w:hAnsi="Cambria Math"/>
                                <w:lang w:val="en-US"/>
                              </w:rPr>
                              <m:t>'</m:t>
                            </m:r>
                            <m:ctrlPr>
                              <w:rPr>
                                <w:rFonts w:ascii="Cambria Math" w:hAnsi="Cambria Math"/>
                                <w:i/>
                                <w:lang w:val="en-US"/>
                              </w:rPr>
                            </m:ctrlP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ctrlPr>
                                      <w:rPr>
                                        <w:rFonts w:ascii="Cambria Math" w:hAnsi="Cambria Math"/>
                                        <w:i/>
                                        <w:lang w:val="en-US"/>
                                      </w:rPr>
                                    </m:ctrlPr>
                                  </m:num>
                                  <m:den>
                                    <m: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59" o:title=""/>
            <o:lock v:ext="edit" aspectratio="t"/>
            <w10:wrap type="none"/>
            <w10:anchorlock/>
          </v:shape>
          <o:OLEObject Type="Embed" ProgID="Equation.3" ShapeID="_x0000_i1028" DrawAspect="Content" ObjectID="_1468075728" r:id="rId58">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1" o:title=""/>
            <o:lock v:ext="edit" aspectratio="t"/>
            <w10:wrap type="none"/>
            <w10:anchorlock/>
          </v:shape>
          <o:OLEObject Type="Embed" ProgID="Equation.3" ShapeID="_x0000_i1029" DrawAspect="Content" ObjectID="_1468075729" r:id="rId60">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3" o:title=""/>
            <o:lock v:ext="edit" aspectratio="t"/>
            <w10:wrap type="none"/>
            <w10:anchorlock/>
          </v:shape>
          <o:OLEObject Type="Embed" ProgID="Equation.3" ShapeID="_x0000_i1030" DrawAspect="Content" ObjectID="_1468075730" r:id="rId62">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5" o:title=""/>
            <o:lock v:ext="edit" aspectratio="t"/>
            <w10:wrap type="none"/>
            <w10:anchorlock/>
          </v:shape>
          <o:OLEObject Type="Embed" ProgID="Equation.3" ShapeID="_x0000_i1031" DrawAspect="Content" ObjectID="_1468075731" r:id="rId64">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55" w:name="地面粗糙度指数"/>
      <w:r>
        <w:rPr>
          <w:rFonts w:hint="eastAsia"/>
          <w:lang w:val="en-US"/>
        </w:rPr>
        <w:t>0.28</w:t>
      </w:r>
      <w:bookmarkEnd w:id="55"/>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56" w:name="_Toc452108768"/>
      <w:bookmarkStart w:id="57" w:name="_Toc13422"/>
      <w:r>
        <w:rPr>
          <w:rFonts w:hint="eastAsia"/>
        </w:rPr>
        <w:t>结果</w:t>
      </w:r>
      <w:r>
        <w:t>分析</w:t>
      </w:r>
      <w:bookmarkEnd w:id="56"/>
      <w:bookmarkEnd w:id="57"/>
    </w:p>
    <w:p>
      <w:pPr>
        <w:pStyle w:val="4"/>
        <w:rPr>
          <w:szCs w:val="21"/>
        </w:rPr>
      </w:pPr>
      <w:bookmarkStart w:id="58" w:name="_Toc15213"/>
      <w:r>
        <w:rPr>
          <w:rFonts w:hint="eastAsia"/>
          <w:szCs w:val="21"/>
        </w:rPr>
        <w:t>工况</w:t>
      </w:r>
      <w:r>
        <w:rPr>
          <w:szCs w:val="21"/>
        </w:rPr>
        <w:t>表</w:t>
      </w:r>
      <w:bookmarkEnd w:id="58"/>
    </w:p>
    <w:p>
      <w:pPr>
        <w:rPr>
          <w:szCs w:val="21"/>
        </w:rPr>
      </w:pPr>
      <w:r>
        <w:rPr>
          <w:rFonts w:hint="eastAsia"/>
          <w:szCs w:val="21"/>
        </w:rPr>
        <w:t>本结果基于以下几个工况进行计算：</w:t>
      </w:r>
    </w:p>
    <w:tbl>
      <w:tblPr>
        <w:tblStyle w:val="21"/>
        <w:tblW w:w="904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90"/>
        <w:gridCol w:w="2109"/>
        <w:gridCol w:w="2147"/>
        <w:gridCol w:w="1798"/>
        <w:gridCol w:w="179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90" w:type="dxa"/>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59" w:name="计算工况表"/>
            <w:r>
              <w:rPr>
                <w:rFonts w:hint="eastAsia" w:ascii="Calibri" w:hAnsi="Calibri"/>
                <w:szCs w:val="21"/>
              </w:rPr>
              <w:t>序号</w:t>
            </w:r>
          </w:p>
        </w:tc>
        <w:tc>
          <w:tcPr>
            <w:tcW w:w="2109" w:type="dxa"/>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2147" w:type="dxa"/>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1798" w:type="dxa"/>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1798" w:type="dxa"/>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90" w:type="dxa"/>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2109" w:type="dxa"/>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夏季</w:t>
            </w:r>
          </w:p>
        </w:tc>
        <w:tc>
          <w:tcPr>
            <w:tcW w:w="2147" w:type="dxa"/>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2.30</w:t>
            </w:r>
          </w:p>
        </w:tc>
        <w:tc>
          <w:tcPr>
            <w:tcW w:w="1798" w:type="dxa"/>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ENE</w:t>
            </w:r>
          </w:p>
        </w:tc>
        <w:tc>
          <w:tcPr>
            <w:tcW w:w="1798" w:type="dxa"/>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22.5</w:t>
            </w:r>
          </w:p>
        </w:tc>
      </w:tr>
      <w:bookmarkEnd w:id="59"/>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6"/>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rPr>
          <w:lang w:val="en-US"/>
        </w:rPr>
      </w:pPr>
      <w:bookmarkStart w:id="60" w:name="冬季工况"/>
      <w:bookmarkEnd w:id="60"/>
      <w:r>
        <w:rPr>
          <w:rFonts w:hint="eastAsia"/>
          <w:lang w:val="en-US"/>
        </w:rPr>
        <w:t xml:space="preserve"> </w:t>
      </w:r>
    </w:p>
    <w:p>
      <w:pPr>
        <w:pStyle w:val="4"/>
      </w:pPr>
      <w:bookmarkStart w:id="61" w:name="_Toc31644"/>
      <w:r>
        <w:rPr>
          <w:rFonts w:hint="eastAsia"/>
        </w:rPr>
        <w:t>夏季工况</w:t>
      </w:r>
      <w:bookmarkEnd w:id="61"/>
    </w:p>
    <w:p>
      <w:pPr>
        <w:pStyle w:val="3"/>
        <w:ind w:firstLine="420"/>
      </w:pPr>
      <w:r>
        <w:rPr>
          <w:rFonts w:hint="eastAsia"/>
          <w:lang w:val="en-US"/>
        </w:rPr>
        <w:t>本项目夏季工况的入口边界风速为2.30m/s，风向为</w:t>
      </w:r>
      <w:r>
        <w:t>ENE</w:t>
      </w:r>
      <w:r>
        <w:rPr>
          <w:rFonts w:hint="eastAsia"/>
          <w:lang w:val="en-US"/>
        </w:rPr>
        <w:t>。</w:t>
      </w:r>
    </w:p>
    <w:p>
      <w:pPr>
        <w:pStyle w:val="3"/>
        <w:ind w:firstLine="420"/>
      </w:pPr>
      <w:r>
        <w:rPr>
          <w:rFonts w:hint="eastAsia"/>
          <w:lang w:val="en-US"/>
        </w:rPr>
        <w:t>根据前述《绿色建筑评价标准》 对于夏季工况的要求，夏季典型风速和风向条件下，场地内人活动区不出现涡旋或无风区。通过该项标准指导设计确保合理的建筑布局，在夏季形成有效的巷道风，优化街区自然通风环境，避免夏季人行区有明显的气流旋涡和无风区，从而造成闷热不适感。因此本项目需要分析建筑周围人行区的风速和风速放大系数分布，并作出判断。</w:t>
      </w:r>
    </w:p>
    <w:p>
      <w:pPr>
        <w:pStyle w:val="3"/>
        <w:ind w:firstLine="422"/>
        <w:rPr>
          <w:lang w:val="en-US"/>
        </w:rPr>
      </w:pPr>
      <w:r>
        <w:rPr>
          <w:rFonts w:hint="eastAsia"/>
          <w:b/>
          <w:lang w:val="en-US"/>
        </w:rPr>
        <w:t>无风区的定义</w:t>
      </w:r>
      <w:r>
        <w:rPr>
          <w:rFonts w:hint="eastAsia"/>
          <w:lang w:val="en-US"/>
        </w:rPr>
        <w:t xml:space="preserve"> 通常当人行区域风速≤0.2m/s时，该区域风向标处于静止状态，在此区域活动的人会有明显的无风感，则该区域为无风区。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62" w:name="_Toc16827"/>
      <w:r>
        <w:rPr>
          <w:rFonts w:hint="eastAsia"/>
        </w:rPr>
        <w:t>无风区计算分析</w:t>
      </w:r>
      <w:bookmarkEnd w:id="62"/>
    </w:p>
    <w:bookmarkEnd w:id="11"/>
    <w:p>
      <w:pPr>
        <w:pStyle w:val="3"/>
        <w:tabs>
          <w:tab w:val="left" w:pos="426"/>
        </w:tabs>
        <w:ind w:firstLine="420"/>
      </w:pPr>
      <w:r>
        <w:rPr>
          <w:rFonts w:hint="eastAsia"/>
        </w:rPr>
        <w:t>下图为整个计算域内风速分布云图，参考图中速度分布可以对项目中建筑布局进行优化。分析下图，</w:t>
      </w:r>
      <w:bookmarkEnd w:id="13"/>
      <w:r>
        <w:t>黑色等值线</w:t>
      </w:r>
      <w:r>
        <w:rPr>
          <w:color w:val="FF0000"/>
        </w:rPr>
        <w:t>标示出了</w:t>
      </w:r>
      <w:r>
        <w:t>人行区内风速小于0.2m/s的超限区域，因此</w:t>
      </w:r>
      <w:r>
        <w:rPr>
          <w:color w:val="FF0000"/>
        </w:rPr>
        <w:t>未满足</w:t>
      </w:r>
      <w:r>
        <w:t>绿标要求，需调整建筑布局优化区域内风速分布。</w:t>
      </w:r>
    </w:p>
    <w:bookmarkEnd w:id="38"/>
    <w:p>
      <w:pPr>
        <w:pStyle w:val="3"/>
        <w:spacing w:after="156" w:afterLines="50"/>
        <w:ind w:firstLine="0" w:firstLineChars="0"/>
        <w:jc w:val="center"/>
      </w:pPr>
      <w:r>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7"/>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计算域内-1.5米高度水平面风速云图-夏季</w:t>
      </w:r>
      <w:bookmarkEnd w:id="14"/>
    </w:p>
    <w:p>
      <w:pPr>
        <w:pStyle w:val="5"/>
      </w:pPr>
      <w:bookmarkStart w:id="63" w:name="_Toc2248"/>
      <w:r>
        <w:rPr>
          <w:rFonts w:hint="eastAsia"/>
        </w:rPr>
        <w:t>旋涡区分析</w:t>
      </w:r>
      <w:bookmarkEnd w:id="16"/>
      <w:bookmarkEnd w:id="63"/>
    </w:p>
    <w:bookmarkEnd w:id="17"/>
    <w:p>
      <w:pPr>
        <w:pStyle w:val="3"/>
        <w:tabs>
          <w:tab w:val="left" w:pos="426"/>
        </w:tabs>
        <w:ind w:firstLine="420"/>
        <w:rPr>
          <w:lang w:val="en-US"/>
        </w:rPr>
      </w:pPr>
      <w:r>
        <w:rPr>
          <w:rFonts w:hint="eastAsia"/>
          <w:lang w:val="en-US"/>
        </w:rPr>
        <w:t>下图为计算域内的风速矢量图，分析下图可知，计算域内没有明显的旋涡产生，本项目建筑布局基本合理。</w:t>
      </w:r>
    </w:p>
    <w:bookmarkEnd w:id="19"/>
    <w:p>
      <w:pPr>
        <w:pStyle w:val="3"/>
        <w:ind w:firstLine="0" w:firstLineChars="0"/>
        <w:jc w:val="center"/>
        <w:rPr>
          <w:lang w:val="en-US"/>
        </w:rPr>
      </w:pPr>
      <w:r>
        <w:drawing>
          <wp:inline distT="0" distB="0" distL="0" distR="0">
            <wp:extent cx="5667375" cy="36671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8"/>
                    <a:stretch>
                      <a:fillRect/>
                    </a:stretch>
                  </pic:blipFill>
                  <pic:spPr>
                    <a:xfrm>
                      <a:off x="0" y="0"/>
                      <a:ext cx="5667375" cy="366712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计算域内-1.5米高度水平面风速矢量图</w:t>
      </w:r>
    </w:p>
    <w:p>
      <w:pPr>
        <w:pStyle w:val="5"/>
      </w:pPr>
      <w:bookmarkStart w:id="64" w:name="_Toc7955"/>
      <w:r>
        <w:rPr>
          <w:rFonts w:hint="eastAsia"/>
        </w:rPr>
        <w:t>人行区域旋涡区/无风区达标判定</w:t>
      </w:r>
      <w:bookmarkEnd w:id="20"/>
      <w:bookmarkEnd w:id="64"/>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w:t>
      </w:r>
      <w:bookmarkEnd w:id="22"/>
      <w:r>
        <w:rPr>
          <w:rFonts w:hint="eastAsia" w:ascii="黑体" w:hAnsi="黑体" w:eastAsia="黑体"/>
          <w:sz w:val="20"/>
          <w:szCs w:val="20"/>
        </w:rPr>
        <w:t>无风区/旋涡区达标分析汇总</w:t>
      </w:r>
    </w:p>
    <w:tbl>
      <w:tblPr>
        <w:tblStyle w:val="21"/>
        <w:tblW w:w="6662" w:type="dxa"/>
        <w:tblInd w:w="1526" w:type="dxa"/>
        <w:tblLayout w:type="fixed"/>
        <w:tblCellMar>
          <w:top w:w="0" w:type="dxa"/>
          <w:left w:w="108" w:type="dxa"/>
          <w:bottom w:w="0" w:type="dxa"/>
          <w:right w:w="108" w:type="dxa"/>
        </w:tblCellMar>
      </w:tblPr>
      <w:tblGrid>
        <w:gridCol w:w="1134"/>
        <w:gridCol w:w="1701"/>
        <w:gridCol w:w="2551"/>
        <w:gridCol w:w="1276"/>
      </w:tblGrid>
      <w:tr>
        <w:tblPrEx>
          <w:tblLayout w:type="fixed"/>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FF0000"/>
                <w:sz w:val="22"/>
                <w:szCs w:val="22"/>
                <w:lang w:val="en-US"/>
              </w:rPr>
              <w:t>是</w:t>
            </w:r>
            <w:bookmarkEnd w:id="23"/>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FF0000"/>
                <w:sz w:val="22"/>
                <w:szCs w:val="22"/>
                <w:lang w:val="en-US"/>
              </w:rPr>
              <w:t>否</w:t>
            </w:r>
            <w:bookmarkEnd w:id="24"/>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p>
        </w:tc>
      </w:tr>
    </w:tbl>
    <w:p>
      <w:pPr>
        <w:pStyle w:val="5"/>
      </w:pPr>
      <w:bookmarkStart w:id="65" w:name="_Toc13006"/>
      <w:r>
        <w:rPr>
          <w:rFonts w:hint="eastAsia"/>
        </w:rPr>
        <w:t>外窗内外表面风压</w:t>
      </w:r>
      <w:bookmarkEnd w:id="25"/>
      <w:r>
        <w:rPr>
          <w:rFonts w:hint="eastAsia"/>
        </w:rPr>
        <w:t>差达标分析</w:t>
      </w:r>
      <w:bookmarkEnd w:id="28"/>
      <w:bookmarkEnd w:id="65"/>
    </w:p>
    <w:p>
      <w:pPr>
        <w:pStyle w:val="3"/>
        <w:ind w:firstLine="420"/>
      </w:pPr>
      <w:r>
        <w:rPr>
          <w:rFonts w:hint="eastAsia"/>
          <w:lang w:val="en-US"/>
        </w:rPr>
        <w:t>分析《绿色建筑评价标准》，夏季</w:t>
      </w:r>
      <w:bookmarkEnd w:id="29"/>
      <w:r>
        <w:rPr>
          <w:rFonts w:hint="eastAsia"/>
          <w:lang w:val="en-US"/>
        </w:rPr>
        <w:t>为充分利用自然通风获得良好的室内风环境，要求50%以上可开启外窗室内外表面的风压差大于0.5Pa</w:t>
      </w:r>
      <w:bookmarkEnd w:id="30"/>
      <w:r>
        <w:rPr>
          <w:rFonts w:hint="eastAsia"/>
          <w:lang w:val="en-US"/>
        </w:rPr>
        <w:t>。</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66" w:name="迎风面风压云图"/>
      <w:bookmarkEnd w:id="66"/>
      <w:r>
        <w:drawing>
          <wp:inline distT="0" distB="0" distL="0" distR="0">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9"/>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建筑迎风面外窗表面风压云图-夏季</w:t>
      </w:r>
      <w:bookmarkEnd w:id="32"/>
    </w:p>
    <w:bookmarkEnd w:id="34"/>
    <w:p>
      <w:pPr>
        <w:pStyle w:val="13"/>
        <w:jc w:val="center"/>
      </w:pPr>
      <w:r>
        <w:drawing>
          <wp:inline distT="0" distB="0" distL="0" distR="0">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0"/>
                    <a:stretch>
                      <a:fillRect/>
                    </a:stretch>
                  </pic:blipFill>
                  <pic:spPr>
                    <a:xfrm>
                      <a:off x="0" y="0"/>
                      <a:ext cx="5667375" cy="36385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建筑背风面外窗表面风压云图-夏季</w:t>
      </w:r>
      <w:bookmarkEnd w:id="35"/>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DT单体(绿建平面模拟文件-VENT)</w:t>
            </w:r>
          </w:p>
        </w:tc>
        <w:tc>
          <w:tcPr>
            <w:tcW w:w="1134" w:type="dxa"/>
            <w:shd w:val="clear" w:color="auto" w:fill="auto"/>
            <w:vAlign w:val="center"/>
          </w:tcPr>
          <w:p>
            <w:pPr>
              <w:jc w:val="center"/>
              <w:rPr>
                <w:lang w:val="en-US"/>
              </w:rPr>
            </w:pPr>
            <w:r>
              <w:rPr>
                <w:lang w:val="en-US"/>
              </w:rPr>
              <w:t>140</w:t>
            </w:r>
          </w:p>
        </w:tc>
        <w:tc>
          <w:tcPr>
            <w:tcW w:w="1984" w:type="dxa"/>
            <w:shd w:val="clear" w:color="auto" w:fill="auto"/>
            <w:vAlign w:val="center"/>
          </w:tcPr>
          <w:p>
            <w:pPr>
              <w:jc w:val="center"/>
              <w:rPr>
                <w:lang w:val="en-US"/>
              </w:rPr>
            </w:pPr>
            <w:r>
              <w:rPr>
                <w:lang w:val="en-US"/>
              </w:rPr>
              <w:t>27</w:t>
            </w:r>
          </w:p>
        </w:tc>
        <w:tc>
          <w:tcPr>
            <w:tcW w:w="1116" w:type="dxa"/>
            <w:shd w:val="clear" w:color="auto" w:fill="auto"/>
            <w:vAlign w:val="center"/>
          </w:tcPr>
          <w:p>
            <w:pPr>
              <w:jc w:val="center"/>
              <w:rPr>
                <w:lang w:val="en-US"/>
              </w:rPr>
            </w:pPr>
            <w:r>
              <w:rPr>
                <w:lang w:val="en-US"/>
              </w:rPr>
              <w:t>19.29</w:t>
            </w:r>
          </w:p>
        </w:tc>
        <w:tc>
          <w:tcPr>
            <w:tcW w:w="708" w:type="dxa"/>
            <w:shd w:val="clear" w:color="auto" w:fill="auto"/>
            <w:vAlign w:val="center"/>
          </w:tcPr>
          <w:p>
            <w:pPr>
              <w:jc w:val="center"/>
              <w:rPr>
                <w:lang w:val="en-US"/>
              </w:rPr>
            </w:pPr>
            <w:r>
              <w:rPr>
                <w:lang w:val="en-US"/>
              </w:rPr>
              <w:t>否</w:t>
            </w:r>
          </w:p>
        </w:tc>
      </w:tr>
    </w:tbl>
    <w:p>
      <w:r>
        <w:rPr>
          <w:rFonts w:hint="eastAsia"/>
          <w:lang w:val="en-US"/>
        </w:rPr>
        <w:t>说明：达标比例＝（室内外风压差大于0.5Pa的总数/可开启外窗总数）*100％</w:t>
      </w:r>
    </w:p>
    <w:bookmarkEnd w:id="36"/>
    <w:p>
      <w:pPr>
        <w:rPr>
          <w:lang w:val="en-US"/>
        </w:rPr>
      </w:pPr>
    </w:p>
    <w:p>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pPr>
        <w:pStyle w:val="13"/>
        <w:jc w:val="center"/>
      </w:pPr>
      <w:r>
        <w:rPr>
          <w:rFonts w:hint="eastAsia"/>
        </w:rPr>
        <w:t>表</w:t>
      </w:r>
      <w:r>
        <w:t xml:space="preserve"> </w:t>
      </w:r>
      <w:r>
        <w:fldChar w:fldCharType="begin"/>
      </w:r>
      <w:r>
        <w:instrText xml:space="preserve"> STYLEREF 2 \s </w:instrText>
      </w:r>
      <w:r>
        <w:fldChar w:fldCharType="separate"/>
      </w:r>
      <w:r>
        <w:t>52</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2"/>
        <w:tblW w:w="904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04"/>
        <w:gridCol w:w="1417"/>
        <w:gridCol w:w="2552"/>
        <w:gridCol w:w="1134"/>
        <w:gridCol w:w="8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104" w:type="dxa"/>
            <w:shd w:val="clear" w:color="auto" w:fill="E6E6E6"/>
            <w:vAlign w:val="center"/>
          </w:tcPr>
          <w:p>
            <w:pPr>
              <w:spacing w:line="360" w:lineRule="exact"/>
              <w:jc w:val="center"/>
              <w:rPr>
                <w:lang w:val="en-US"/>
              </w:rPr>
            </w:pPr>
            <w:r>
              <w:rPr>
                <w:rFonts w:hint="eastAsia"/>
                <w:lang w:val="en-US"/>
              </w:rPr>
              <w:t>建筑编号</w:t>
            </w:r>
          </w:p>
        </w:tc>
        <w:tc>
          <w:tcPr>
            <w:tcW w:w="1417" w:type="dxa"/>
            <w:shd w:val="clear" w:color="auto" w:fill="E6E6E6"/>
            <w:vAlign w:val="center"/>
          </w:tcPr>
          <w:p>
            <w:pPr>
              <w:spacing w:line="360" w:lineRule="exact"/>
              <w:jc w:val="center"/>
              <w:rPr>
                <w:lang w:val="en-US"/>
              </w:rPr>
            </w:pPr>
            <w:r>
              <w:rPr>
                <w:rFonts w:hint="eastAsia"/>
                <w:lang w:val="en-US"/>
              </w:rPr>
              <w:t>建筑表面积（㎡）</w:t>
            </w:r>
          </w:p>
        </w:tc>
        <w:tc>
          <w:tcPr>
            <w:tcW w:w="2552" w:type="dxa"/>
            <w:shd w:val="clear" w:color="auto" w:fill="E6E6E6"/>
            <w:vAlign w:val="center"/>
          </w:tcPr>
          <w:p>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pPr>
              <w:spacing w:line="360" w:lineRule="exact"/>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1</w:t>
            </w:r>
          </w:p>
        </w:tc>
        <w:tc>
          <w:tcPr>
            <w:tcW w:w="1417" w:type="dxa"/>
            <w:vAlign w:val="center"/>
          </w:tcPr>
          <w:p>
            <w:pPr>
              <w:spacing w:line="360" w:lineRule="exact"/>
              <w:jc w:val="center"/>
              <w:rPr>
                <w:lang w:val="en-US"/>
              </w:rPr>
            </w:pPr>
            <w:r>
              <w:rPr>
                <w:lang w:val="en-US"/>
              </w:rPr>
              <w:t>34146.80</w:t>
            </w:r>
          </w:p>
        </w:tc>
        <w:tc>
          <w:tcPr>
            <w:tcW w:w="2552" w:type="dxa"/>
            <w:vAlign w:val="center"/>
          </w:tcPr>
          <w:p>
            <w:pPr>
              <w:spacing w:line="360" w:lineRule="exact"/>
              <w:jc w:val="center"/>
              <w:rPr>
                <w:lang w:val="en-US"/>
              </w:rPr>
            </w:pPr>
            <w:r>
              <w:rPr>
                <w:lang w:val="en-US"/>
              </w:rPr>
              <w:t>19097.20</w:t>
            </w:r>
          </w:p>
        </w:tc>
        <w:tc>
          <w:tcPr>
            <w:tcW w:w="1134" w:type="dxa"/>
            <w:vAlign w:val="center"/>
          </w:tcPr>
          <w:p>
            <w:pPr>
              <w:spacing w:line="360" w:lineRule="exact"/>
              <w:jc w:val="center"/>
              <w:rPr>
                <w:lang w:val="en-US"/>
              </w:rPr>
            </w:pPr>
            <w:r>
              <w:rPr>
                <w:lang w:val="en-US"/>
              </w:rPr>
              <w:t>55.93</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未命名(2658)</w:t>
            </w:r>
          </w:p>
        </w:tc>
        <w:tc>
          <w:tcPr>
            <w:tcW w:w="1417" w:type="dxa"/>
            <w:vAlign w:val="center"/>
          </w:tcPr>
          <w:p>
            <w:pPr>
              <w:spacing w:line="360" w:lineRule="exact"/>
              <w:jc w:val="center"/>
              <w:rPr>
                <w:lang w:val="en-US"/>
              </w:rPr>
            </w:pPr>
            <w:r>
              <w:rPr>
                <w:lang w:val="en-US"/>
              </w:rPr>
              <w:t>2044.95</w:t>
            </w:r>
          </w:p>
        </w:tc>
        <w:tc>
          <w:tcPr>
            <w:tcW w:w="2552" w:type="dxa"/>
            <w:vAlign w:val="center"/>
          </w:tcPr>
          <w:p>
            <w:pPr>
              <w:spacing w:line="360" w:lineRule="exact"/>
              <w:jc w:val="center"/>
              <w:rPr>
                <w:lang w:val="en-US"/>
              </w:rPr>
            </w:pPr>
            <w:r>
              <w:rPr>
                <w:lang w:val="en-US"/>
              </w:rPr>
              <w:t>1082.47</w:t>
            </w:r>
          </w:p>
        </w:tc>
        <w:tc>
          <w:tcPr>
            <w:tcW w:w="1134" w:type="dxa"/>
            <w:vAlign w:val="center"/>
          </w:tcPr>
          <w:p>
            <w:pPr>
              <w:spacing w:line="360" w:lineRule="exact"/>
              <w:jc w:val="center"/>
              <w:rPr>
                <w:lang w:val="en-US"/>
              </w:rPr>
            </w:pPr>
            <w:r>
              <w:rPr>
                <w:lang w:val="en-US"/>
              </w:rPr>
              <w:t>52.93</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未命名(265B)</w:t>
            </w:r>
          </w:p>
        </w:tc>
        <w:tc>
          <w:tcPr>
            <w:tcW w:w="1417" w:type="dxa"/>
            <w:vAlign w:val="center"/>
          </w:tcPr>
          <w:p>
            <w:pPr>
              <w:spacing w:line="360" w:lineRule="exact"/>
              <w:jc w:val="center"/>
              <w:rPr>
                <w:lang w:val="en-US"/>
              </w:rPr>
            </w:pPr>
            <w:r>
              <w:rPr>
                <w:lang w:val="en-US"/>
              </w:rPr>
              <w:t>1786.62</w:t>
            </w:r>
          </w:p>
        </w:tc>
        <w:tc>
          <w:tcPr>
            <w:tcW w:w="2552" w:type="dxa"/>
            <w:vAlign w:val="center"/>
          </w:tcPr>
          <w:p>
            <w:pPr>
              <w:spacing w:line="360" w:lineRule="exact"/>
              <w:jc w:val="center"/>
              <w:rPr>
                <w:lang w:val="en-US"/>
              </w:rPr>
            </w:pPr>
            <w:r>
              <w:rPr>
                <w:lang w:val="en-US"/>
              </w:rPr>
              <w:t>934.43</w:t>
            </w:r>
          </w:p>
        </w:tc>
        <w:tc>
          <w:tcPr>
            <w:tcW w:w="1134" w:type="dxa"/>
            <w:vAlign w:val="center"/>
          </w:tcPr>
          <w:p>
            <w:pPr>
              <w:spacing w:line="360" w:lineRule="exact"/>
              <w:jc w:val="center"/>
              <w:rPr>
                <w:lang w:val="en-US"/>
              </w:rPr>
            </w:pPr>
            <w:r>
              <w:rPr>
                <w:lang w:val="en-US"/>
              </w:rPr>
              <w:t>52.30</w:t>
            </w:r>
          </w:p>
        </w:tc>
        <w:tc>
          <w:tcPr>
            <w:tcW w:w="835" w:type="dxa"/>
            <w:vAlign w:val="center"/>
          </w:tcPr>
          <w:p>
            <w:pPr>
              <w:spacing w:line="360" w:lineRule="exact"/>
              <w:jc w:val="center"/>
              <w:rPr>
                <w:lang w:val="en-US"/>
              </w:rPr>
            </w:pPr>
            <w:r>
              <w:rPr>
                <w:lang w:val="en-US"/>
              </w:rPr>
              <w:t>是</w:t>
            </w:r>
          </w:p>
        </w:tc>
      </w:tr>
    </w:tbl>
    <w:p>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
        <w:rPr>
          <w:rFonts w:hint="eastAsia"/>
        </w:rPr>
        <w:t xml:space="preserve"> </w:t>
      </w:r>
      <w:bookmarkEnd w:id="37"/>
    </w:p>
    <w:p>
      <w:pPr>
        <w:rPr>
          <w:lang w:val="en-US"/>
        </w:rPr>
      </w:pPr>
      <w:r>
        <w:rPr>
          <w:rFonts w:hint="eastAsia"/>
          <w:lang w:val="en-US"/>
        </w:rPr>
        <w:t>结论：本项目中DT单体(绿建平面模拟文件-VENT)建筑未满足“50%以上可开启外窗室内外表面的风压差大于0.5Pa”的要求，该条不得分。</w:t>
      </w:r>
      <w:bookmarkEnd w:id="39"/>
      <w:r>
        <w:rPr>
          <w:rFonts w:hint="eastAsia"/>
          <w:lang w:val="en-US"/>
        </w:rPr>
        <w:t xml:space="preserve"> </w:t>
      </w:r>
    </w:p>
    <w:p>
      <w:pPr>
        <w:rPr>
          <w:lang w:val="en-US"/>
        </w:rPr>
      </w:pPr>
      <w:bookmarkStart w:id="67" w:name="其他工况"/>
      <w:bookmarkEnd w:id="67"/>
      <w:r>
        <w:rPr>
          <w:rFonts w:hint="eastAsia"/>
          <w:lang w:val="en-US"/>
        </w:rPr>
        <w:t xml:space="preserve"> </w:t>
      </w:r>
    </w:p>
    <w:p>
      <w:pPr>
        <w:pStyle w:val="4"/>
        <w:rPr>
          <w:szCs w:val="21"/>
          <w:lang w:val="en-US"/>
        </w:rPr>
      </w:pPr>
      <w:bookmarkStart w:id="68" w:name="_Toc509844764"/>
      <w:bookmarkStart w:id="69" w:name="_Toc26875"/>
      <w:r>
        <w:rPr>
          <w:rFonts w:hint="eastAsia"/>
        </w:rPr>
        <w:t>结论</w:t>
      </w:r>
      <w:bookmarkEnd w:id="0"/>
      <w:bookmarkEnd w:id="1"/>
      <w:bookmarkEnd w:id="2"/>
      <w:bookmarkEnd w:id="3"/>
      <w:bookmarkEnd w:id="4"/>
      <w:bookmarkEnd w:id="5"/>
      <w:bookmarkEnd w:id="6"/>
      <w:bookmarkEnd w:id="7"/>
      <w:bookmarkEnd w:id="8"/>
      <w:bookmarkEnd w:id="10"/>
      <w:bookmarkEnd w:id="68"/>
      <w:bookmarkEnd w:id="69"/>
      <w:bookmarkStart w:id="70" w:name="_GoBack"/>
      <w:bookmarkEnd w:id="70"/>
    </w:p>
    <w:p>
      <w:pPr>
        <w:pStyle w:val="3"/>
        <w:ind w:firstLine="0" w:firstLineChars="0"/>
        <w:rPr>
          <w:lang w:val="en-US"/>
        </w:rPr>
      </w:pPr>
      <w:r>
        <w:rPr>
          <w:rFonts w:hint="eastAsia"/>
          <w:lang w:val="en-US"/>
        </w:rPr>
        <w:t>综合上述达标判断详表的信息，可知本项目得分为</w:t>
      </w:r>
      <w:r>
        <w:rPr>
          <w:rFonts w:hint="eastAsia"/>
          <w:lang w:val="en-US" w:eastAsia="zh-CN"/>
        </w:rPr>
        <w:t>1</w:t>
      </w:r>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6</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9B57C4"/>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 w:val="14AB0A4B"/>
    <w:rsid w:val="2A9B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Char"/>
    <w:link w:val="2"/>
    <w:qFormat/>
    <w:uiPriority w:val="0"/>
    <w:rPr>
      <w:b/>
      <w:bCs/>
      <w:kern w:val="32"/>
      <w:sz w:val="28"/>
      <w:szCs w:val="28"/>
    </w:rPr>
  </w:style>
  <w:style w:type="character" w:customStyle="1" w:styleId="28">
    <w:name w:val="标题 2 Char"/>
    <w:link w:val="4"/>
    <w:qFormat/>
    <w:uiPriority w:val="0"/>
    <w:rPr>
      <w:rFonts w:ascii="宋体" w:cs="Arial"/>
      <w:b/>
      <w:bCs/>
      <w:iCs/>
      <w:color w:val="000000"/>
      <w:sz w:val="24"/>
      <w:szCs w:val="24"/>
    </w:rPr>
  </w:style>
  <w:style w:type="character" w:customStyle="1" w:styleId="29">
    <w:name w:val="页脚 Char"/>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58.png"/><Relationship Id="rId7" Type="http://schemas.openxmlformats.org/officeDocument/2006/relationships/image" Target="media/image2.bmp"/><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wmf"/><Relationship Id="rId64" Type="http://schemas.openxmlformats.org/officeDocument/2006/relationships/oleObject" Target="embeddings/oleObject7.bin"/><Relationship Id="rId63" Type="http://schemas.openxmlformats.org/officeDocument/2006/relationships/image" Target="media/image52.wmf"/><Relationship Id="rId62" Type="http://schemas.openxmlformats.org/officeDocument/2006/relationships/oleObject" Target="embeddings/oleObject6.bin"/><Relationship Id="rId61" Type="http://schemas.openxmlformats.org/officeDocument/2006/relationships/image" Target="media/image51.wmf"/><Relationship Id="rId60" Type="http://schemas.openxmlformats.org/officeDocument/2006/relationships/oleObject" Target="embeddings/oleObject5.bin"/><Relationship Id="rId6" Type="http://schemas.openxmlformats.org/officeDocument/2006/relationships/theme" Target="theme/theme1.xml"/><Relationship Id="rId59" Type="http://schemas.openxmlformats.org/officeDocument/2006/relationships/image" Target="media/image50.wmf"/><Relationship Id="rId58" Type="http://schemas.openxmlformats.org/officeDocument/2006/relationships/oleObject" Target="embeddings/oleObject4.bin"/><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886;&#21886;sb\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39522-0FC9-4A71-8AF7-D033B6892A3D}">
  <ds:schemaRefs/>
</ds:datastoreItem>
</file>

<file path=docProps/app.xml><?xml version="1.0" encoding="utf-8"?>
<Properties xmlns="http://schemas.openxmlformats.org/officeDocument/2006/extended-properties" xmlns:vt="http://schemas.openxmlformats.org/officeDocument/2006/docPropsVTypes">
  <Template>tmp3.dotx</Template>
  <Pages>16</Pages>
  <Words>4428</Words>
  <Characters>4931</Characters>
  <Lines>40</Lines>
  <Paragraphs>11</Paragraphs>
  <TotalTime>0</TotalTime>
  <ScaleCrop>false</ScaleCrop>
  <LinksUpToDate>false</LinksUpToDate>
  <CharactersWithSpaces>5118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2024-01-10T05:18:00Z</dcterms:created>
  <dc:creator>喬南酥</dc:creator>
  <cp:lastModifiedBy>喬南酥</cp:lastModifiedBy>
  <dcterms:modified xsi:type="dcterms:W3CDTF">2024-01-10T05:22:10Z</dcterms:modified>
  <dc:title>室外风环境模拟分析报告</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