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8"/>
              <w:tabs>
                <w:tab w:val="clear" w:pos="4153"/>
                <w:tab w:val="clear" w:pos="8306"/>
              </w:tabs>
              <w:snapToGrid/>
              <w:jc w:val="both"/>
              <w:rPr>
                <w:rFonts w:ascii="宋体" w:hAnsi="宋体"/>
                <w:szCs w:val="21"/>
              </w:rPr>
            </w:pPr>
            <w:bookmarkStart w:id="1" w:name="项目名称"/>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南京</w:t>
            </w:r>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2023年12月26日</w:t>
            </w:r>
            <w:bookmarkEnd w:id="6"/>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rPr>
              <w:t>建筑通风计算软件Vent20</w:t>
            </w:r>
            <w:r>
              <w:rPr>
                <w:rFonts w:ascii="宋体" w:hAnsi="宋体"/>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8" w:name="软件版本"/>
            <w:r>
              <w:rPr>
                <w:rFonts w:ascii="宋体" w:hAnsi="宋体"/>
                <w:szCs w:val="21"/>
              </w:rPr>
              <w:t>20220401</w:t>
            </w:r>
            <w:bookmarkEnd w:id="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9" w:name="加密锁号"/>
            <w:r>
              <w:t>S01625BA0</w:t>
            </w:r>
            <w:bookmarkEnd w:id="9"/>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20"/>
        <w:tabs>
          <w:tab w:val="right" w:leader="dot" w:pos="8930"/>
          <w:tab w:val="clear" w:pos="180"/>
          <w:tab w:val="clear" w:pos="420"/>
          <w:tab w:val="clear" w:pos="9360"/>
        </w:tabs>
      </w:pPr>
      <w:bookmarkStart w:id="10" w:name="目录"/>
      <w:bookmarkStart w:id="77" w:name="_GoBack"/>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_Toc15201 </w:instrText>
      </w:r>
      <w:r>
        <w:rPr>
          <w:rFonts w:ascii="宋体" w:hAnsi="宋体"/>
          <w:bCs w:val="0"/>
          <w:caps/>
        </w:rPr>
        <w:fldChar w:fldCharType="separate"/>
      </w:r>
      <w:r>
        <w:rPr>
          <w:rFonts w:hint="eastAsia"/>
        </w:rPr>
        <w:t>1 项目概况</w:t>
      </w:r>
      <w:r>
        <w:tab/>
      </w:r>
      <w:r>
        <w:fldChar w:fldCharType="begin"/>
      </w:r>
      <w:r>
        <w:instrText xml:space="preserve"> PAGEREF _Toc15201 \h </w:instrText>
      </w:r>
      <w:r>
        <w:fldChar w:fldCharType="separate"/>
      </w:r>
      <w:r>
        <w:t>3</w:t>
      </w:r>
      <w:r>
        <w:fldChar w:fldCharType="end"/>
      </w:r>
      <w:r>
        <w:rPr>
          <w:rFonts w:ascii="宋体" w:hAnsi="宋体"/>
          <w:bCs w:val="0"/>
          <w:caps/>
        </w:rPr>
        <w:fldChar w:fldCharType="end"/>
      </w:r>
    </w:p>
    <w:p>
      <w:pPr>
        <w:pStyle w:val="21"/>
        <w:tabs>
          <w:tab w:val="right" w:leader="dot" w:pos="8930"/>
          <w:tab w:val="clear" w:pos="540"/>
          <w:tab w:val="clear" w:pos="840"/>
          <w:tab w:val="clear" w:pos="9360"/>
        </w:tabs>
      </w:pPr>
      <w:r>
        <w:fldChar w:fldCharType="begin"/>
      </w:r>
      <w:r>
        <w:instrText xml:space="preserve"> HYPERLINK \l _Toc17020 </w:instrText>
      </w:r>
      <w:r>
        <w:fldChar w:fldCharType="separate"/>
      </w:r>
      <w:r>
        <w:rPr>
          <w:rFonts w:hint="eastAsia"/>
          <w:lang w:val="en-GB"/>
        </w:rPr>
        <w:t xml:space="preserve">1.1 </w:t>
      </w:r>
      <w:r>
        <w:t>平面图</w:t>
      </w:r>
      <w:r>
        <w:tab/>
      </w:r>
      <w:r>
        <w:fldChar w:fldCharType="begin"/>
      </w:r>
      <w:r>
        <w:instrText xml:space="preserve"> PAGEREF _Toc17020 \h </w:instrText>
      </w:r>
      <w:r>
        <w:fldChar w:fldCharType="separate"/>
      </w:r>
      <w:r>
        <w:t>4</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_Toc22328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_Toc22328 \h </w:instrText>
      </w:r>
      <w:r>
        <w:fldChar w:fldCharType="separate"/>
      </w:r>
      <w:r>
        <w:t>6</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_Toc3846 </w:instrText>
      </w:r>
      <w:r>
        <w:fldChar w:fldCharType="separate"/>
      </w:r>
      <w:r>
        <w:rPr>
          <w:rFonts w:hint="eastAsia"/>
        </w:rPr>
        <w:t>2 计算</w:t>
      </w:r>
      <w:r>
        <w:t>依据</w:t>
      </w:r>
      <w:r>
        <w:tab/>
      </w:r>
      <w:r>
        <w:fldChar w:fldCharType="begin"/>
      </w:r>
      <w:r>
        <w:instrText xml:space="preserve"> PAGEREF _Toc3846 \h </w:instrText>
      </w:r>
      <w:r>
        <w:fldChar w:fldCharType="separate"/>
      </w:r>
      <w:r>
        <w:t>7</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_Toc26886 </w:instrText>
      </w:r>
      <w:r>
        <w:fldChar w:fldCharType="separate"/>
      </w:r>
      <w:r>
        <w:rPr>
          <w:rFonts w:hint="eastAsia"/>
        </w:rPr>
        <w:t>3 参考</w:t>
      </w:r>
      <w:r>
        <w:t>标准</w:t>
      </w:r>
      <w:r>
        <w:tab/>
      </w:r>
      <w:r>
        <w:fldChar w:fldCharType="begin"/>
      </w:r>
      <w:r>
        <w:instrText xml:space="preserve"> PAGEREF _Toc26886 \h </w:instrText>
      </w:r>
      <w:r>
        <w:fldChar w:fldCharType="separate"/>
      </w:r>
      <w:r>
        <w:t>7</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_Toc27771 </w:instrText>
      </w:r>
      <w:r>
        <w:fldChar w:fldCharType="separate"/>
      </w:r>
      <w:r>
        <w:rPr>
          <w:rFonts w:hint="eastAsia"/>
        </w:rPr>
        <w:t>4 技术措施</w:t>
      </w:r>
      <w:r>
        <w:tab/>
      </w:r>
      <w:r>
        <w:fldChar w:fldCharType="begin"/>
      </w:r>
      <w:r>
        <w:instrText xml:space="preserve"> PAGEREF _Toc27771 \h </w:instrText>
      </w:r>
      <w:r>
        <w:fldChar w:fldCharType="separate"/>
      </w:r>
      <w:r>
        <w:t>7</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_Toc11443 </w:instrText>
      </w:r>
      <w:r>
        <w:fldChar w:fldCharType="separate"/>
      </w:r>
      <w:r>
        <w:rPr>
          <w:rFonts w:hint="eastAsia"/>
        </w:rPr>
        <w:t>5 计算方法</w:t>
      </w:r>
      <w:r>
        <w:tab/>
      </w:r>
      <w:r>
        <w:fldChar w:fldCharType="begin"/>
      </w:r>
      <w:r>
        <w:instrText xml:space="preserve"> PAGEREF _Toc11443 \h </w:instrText>
      </w:r>
      <w:r>
        <w:fldChar w:fldCharType="separate"/>
      </w:r>
      <w:r>
        <w:t>8</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_Toc20340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_Toc20340 \h </w:instrText>
      </w:r>
      <w:r>
        <w:fldChar w:fldCharType="separate"/>
      </w:r>
      <w:r>
        <w:t>8</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_Toc13154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_Toc13154 \h </w:instrText>
      </w:r>
      <w:r>
        <w:fldChar w:fldCharType="separate"/>
      </w:r>
      <w:r>
        <w:t>8</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_Toc32698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_Toc32698 \h </w:instrText>
      </w:r>
      <w:r>
        <w:fldChar w:fldCharType="separate"/>
      </w:r>
      <w:r>
        <w:t>9</w:t>
      </w:r>
      <w:r>
        <w:fldChar w:fldCharType="end"/>
      </w:r>
      <w:r>
        <w:fldChar w:fldCharType="end"/>
      </w:r>
    </w:p>
    <w:p>
      <w:pPr>
        <w:pStyle w:val="16"/>
        <w:tabs>
          <w:tab w:val="right" w:leader="dot" w:pos="8930"/>
          <w:tab w:val="clear" w:pos="900"/>
          <w:tab w:val="clear" w:pos="1260"/>
          <w:tab w:val="clear" w:pos="9360"/>
        </w:tabs>
      </w:pPr>
      <w:r>
        <w:fldChar w:fldCharType="begin"/>
      </w:r>
      <w:r>
        <w:instrText xml:space="preserve"> HYPERLINK \l _Toc23612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_Toc23612 \h </w:instrText>
      </w:r>
      <w:r>
        <w:fldChar w:fldCharType="separate"/>
      </w:r>
      <w:r>
        <w:t>9</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_Toc17479 </w:instrText>
      </w:r>
      <w:r>
        <w:fldChar w:fldCharType="separate"/>
      </w:r>
      <w:r>
        <w:rPr>
          <w:rFonts w:hint="eastAsia"/>
        </w:rPr>
        <w:t>6 结果</w:t>
      </w:r>
      <w:r>
        <w:t>分析</w:t>
      </w:r>
      <w:r>
        <w:tab/>
      </w:r>
      <w:r>
        <w:fldChar w:fldCharType="begin"/>
      </w:r>
      <w:r>
        <w:instrText xml:space="preserve"> PAGEREF _Toc17479 \h </w:instrText>
      </w:r>
      <w:r>
        <w:fldChar w:fldCharType="separate"/>
      </w:r>
      <w:r>
        <w:t>11</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_Toc3303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_Toc3303 \h </w:instrText>
      </w:r>
      <w:r>
        <w:fldChar w:fldCharType="separate"/>
      </w:r>
      <w:r>
        <w:t>11</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_Toc1139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_Toc1139 \h </w:instrText>
      </w:r>
      <w:r>
        <w:fldChar w:fldCharType="separate"/>
      </w:r>
      <w:r>
        <w:t>14</w:t>
      </w:r>
      <w:r>
        <w:fldChar w:fldCharType="end"/>
      </w:r>
      <w:r>
        <w:fldChar w:fldCharType="end"/>
      </w:r>
    </w:p>
    <w:p>
      <w:pPr>
        <w:pStyle w:val="21"/>
        <w:tabs>
          <w:tab w:val="right" w:leader="dot" w:pos="8930"/>
          <w:tab w:val="clear" w:pos="540"/>
          <w:tab w:val="clear" w:pos="840"/>
          <w:tab w:val="clear" w:pos="9360"/>
        </w:tabs>
      </w:pPr>
      <w:r>
        <w:fldChar w:fldCharType="begin"/>
      </w:r>
      <w:r>
        <w:instrText xml:space="preserve"> HYPERLINK \l _Toc28281 </w:instrText>
      </w:r>
      <w:r>
        <w:fldChar w:fldCharType="separate"/>
      </w:r>
      <w:r>
        <w:rPr>
          <w:rFonts w:hint="eastAsia"/>
          <w:lang w:val="en-GB"/>
        </w:rPr>
        <w:t xml:space="preserve">6.3 </w:t>
      </w:r>
      <w:r>
        <w:rPr>
          <w:rFonts w:hint="eastAsia"/>
        </w:rPr>
        <w:t>流线图</w:t>
      </w:r>
      <w:r>
        <w:tab/>
      </w:r>
      <w:r>
        <w:fldChar w:fldCharType="begin"/>
      </w:r>
      <w:r>
        <w:instrText xml:space="preserve"> PAGEREF _Toc28281 \h </w:instrText>
      </w:r>
      <w:r>
        <w:fldChar w:fldCharType="separate"/>
      </w:r>
      <w:r>
        <w:t>17</w:t>
      </w:r>
      <w:r>
        <w:fldChar w:fldCharType="end"/>
      </w:r>
      <w:r>
        <w:fldChar w:fldCharType="end"/>
      </w:r>
    </w:p>
    <w:p>
      <w:pPr>
        <w:pStyle w:val="20"/>
        <w:tabs>
          <w:tab w:val="right" w:leader="dot" w:pos="8930"/>
          <w:tab w:val="clear" w:pos="180"/>
          <w:tab w:val="clear" w:pos="420"/>
          <w:tab w:val="clear" w:pos="9360"/>
        </w:tabs>
      </w:pPr>
      <w:r>
        <w:fldChar w:fldCharType="begin"/>
      </w:r>
      <w:r>
        <w:instrText xml:space="preserve"> HYPERLINK \l _Toc12183 </w:instrText>
      </w:r>
      <w:r>
        <w:fldChar w:fldCharType="separate"/>
      </w:r>
      <w:r>
        <w:rPr>
          <w:rFonts w:hint="eastAsia"/>
          <w:szCs w:val="36"/>
        </w:rPr>
        <w:t>7 结论</w:t>
      </w:r>
      <w:r>
        <w:tab/>
      </w:r>
      <w:r>
        <w:fldChar w:fldCharType="begin"/>
      </w:r>
      <w:r>
        <w:instrText xml:space="preserve"> PAGEREF _Toc12183 \h </w:instrText>
      </w:r>
      <w:r>
        <w:fldChar w:fldCharType="separate"/>
      </w:r>
      <w:r>
        <w:t>19</w:t>
      </w:r>
      <w:r>
        <w:fldChar w:fldCharType="end"/>
      </w:r>
      <w:r>
        <w:fldChar w:fldCharType="end"/>
      </w:r>
    </w:p>
    <w:p>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bookmarkEnd w:id="77"/>
    </w:p>
    <w:bookmarkEnd w:id="10"/>
    <w:p>
      <w:pPr>
        <w:pStyle w:val="2"/>
      </w:pPr>
      <w:bookmarkStart w:id="11" w:name="_Toc13735908"/>
      <w:bookmarkStart w:id="12" w:name="_Toc50050011"/>
      <w:bookmarkStart w:id="13" w:name="_Toc452108759"/>
      <w:bookmarkStart w:id="14" w:name="_Toc15201"/>
      <w:bookmarkStart w:id="15" w:name="TitleFormat"/>
      <w:bookmarkStart w:id="16" w:name="_Toc452108762"/>
      <w:r>
        <w:rPr>
          <w:rFonts w:hint="eastAsia"/>
        </w:rPr>
        <w:t>项目概况</w:t>
      </w:r>
      <w:bookmarkEnd w:id="11"/>
      <w:bookmarkEnd w:id="12"/>
      <w:bookmarkEnd w:id="13"/>
      <w:bookmarkEnd w:id="14"/>
    </w:p>
    <w:p>
      <w:pPr>
        <w:pStyle w:val="3"/>
        <w:ind w:firstLine="420"/>
        <w:rPr>
          <w:lang w:val="en-US"/>
        </w:rPr>
      </w:pPr>
      <w:bookmarkStart w:id="17" w:name="项目概况"/>
      <w:bookmarkEnd w:id="17"/>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8" w:name="_Toc50050012"/>
      <w:bookmarkStart w:id="19" w:name="_Toc452108760"/>
      <w:bookmarkStart w:id="20" w:name="_Toc13735909"/>
      <w:bookmarkStart w:id="21" w:name="_Toc17020"/>
      <w:bookmarkStart w:id="22" w:name="平面图2"/>
      <w:r>
        <w:t>平面图</w:t>
      </w:r>
      <w:bookmarkEnd w:id="18"/>
      <w:bookmarkEnd w:id="19"/>
      <w:bookmarkEnd w:id="20"/>
      <w:bookmarkEnd w:id="21"/>
    </w:p>
    <w:p>
      <w:pPr>
        <w:pStyle w:val="3"/>
        <w:ind w:firstLine="0" w:firstLineChars="0"/>
        <w:jc w:val="center"/>
        <w:rPr>
          <w:lang w:val="en-US"/>
        </w:rPr>
      </w:pPr>
      <w:bookmarkStart w:id="23" w:name="平面图"/>
      <w:bookmarkEnd w:id="23"/>
      <w:r>
        <w:drawing>
          <wp:inline distT="0" distB="0" distL="0" distR="0">
            <wp:extent cx="5667375" cy="36576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3657600"/>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43815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4381500"/>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r>
        <w:drawing>
          <wp:inline distT="0" distB="0" distL="0" distR="0">
            <wp:extent cx="5667375" cy="43053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4305300"/>
                    </a:xfrm>
                    <a:prstGeom prst="rect">
                      <a:avLst/>
                    </a:prstGeom>
                  </pic:spPr>
                </pic:pic>
              </a:graphicData>
            </a:graphic>
          </wp:inline>
        </w:drawing>
      </w:r>
    </w:p>
    <w:p>
      <w:pPr>
        <w:pStyle w:val="3"/>
        <w:ind w:firstLine="0" w:firstLineChars="0"/>
        <w:jc w:val="center"/>
        <w:rPr>
          <w:lang w:val="en-US"/>
        </w:rPr>
      </w:pPr>
      <w:r>
        <w:rPr>
          <w:lang w:val="en-US"/>
        </w:rPr>
        <w:t>3层平面</w:t>
      </w:r>
    </w:p>
    <w:p>
      <w:pPr>
        <w:pStyle w:val="3"/>
        <w:ind w:firstLine="0" w:firstLineChars="0"/>
        <w:jc w:val="center"/>
        <w:rPr>
          <w:lang w:val="en-US"/>
        </w:rPr>
      </w:pPr>
      <w:r>
        <w:drawing>
          <wp:inline distT="0" distB="0" distL="0" distR="0">
            <wp:extent cx="5667375" cy="32956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3295650"/>
                    </a:xfrm>
                    <a:prstGeom prst="rect">
                      <a:avLst/>
                    </a:prstGeom>
                  </pic:spPr>
                </pic:pic>
              </a:graphicData>
            </a:graphic>
          </wp:inline>
        </w:drawing>
      </w:r>
    </w:p>
    <w:p>
      <w:pPr>
        <w:pStyle w:val="3"/>
        <w:ind w:firstLine="0" w:firstLineChars="0"/>
        <w:jc w:val="center"/>
        <w:rPr>
          <w:lang w:val="en-US"/>
        </w:rPr>
      </w:pPr>
      <w:r>
        <w:rPr>
          <w:lang w:val="en-US"/>
        </w:rPr>
        <w:t>4层平面</w:t>
      </w:r>
    </w:p>
    <w:p>
      <w:pPr>
        <w:pStyle w:val="3"/>
        <w:ind w:firstLine="0" w:firstLineChars="0"/>
        <w:jc w:val="center"/>
        <w:rPr>
          <w:lang w:val="en-US"/>
        </w:rPr>
      </w:pPr>
    </w:p>
    <w:bookmarkEnd w:id="22"/>
    <w:p>
      <w:pPr>
        <w:pStyle w:val="3"/>
        <w:ind w:firstLine="0" w:firstLineChars="0"/>
        <w:jc w:val="center"/>
        <w:rPr>
          <w:lang w:val="en-US"/>
        </w:rPr>
      </w:pPr>
    </w:p>
    <w:p>
      <w:pPr>
        <w:pStyle w:val="4"/>
      </w:pPr>
      <w:bookmarkStart w:id="24" w:name="_Toc13735910"/>
      <w:bookmarkStart w:id="25" w:name="_Toc452108761"/>
      <w:bookmarkStart w:id="26" w:name="_Toc50050013"/>
      <w:bookmarkStart w:id="27" w:name="_Toc22328"/>
      <w:r>
        <w:rPr>
          <w:rFonts w:hint="eastAsia"/>
        </w:rPr>
        <w:t>三</w:t>
      </w:r>
      <w:r>
        <w:t>维视图</w:t>
      </w:r>
      <w:bookmarkEnd w:id="24"/>
      <w:bookmarkEnd w:id="25"/>
      <w:bookmarkEnd w:id="26"/>
      <w:bookmarkEnd w:id="27"/>
    </w:p>
    <w:p>
      <w:pPr>
        <w:pStyle w:val="3"/>
        <w:ind w:firstLine="0" w:firstLineChars="0"/>
        <w:jc w:val="center"/>
        <w:rPr>
          <w:lang w:val="en-US"/>
        </w:rPr>
      </w:pPr>
      <w:bookmarkStart w:id="28" w:name="三维视图"/>
      <w:bookmarkStart w:id="29" w:name="模型观察"/>
      <w:r>
        <w:t>请先在【模型观察】命令中保存图片</w:t>
      </w:r>
      <w:bookmarkEnd w:id="28"/>
      <w:bookmarkEnd w:id="29"/>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30" w:name="_Toc50050014"/>
      <w:bookmarkStart w:id="31" w:name="_Toc3846"/>
      <w:r>
        <w:rPr>
          <w:rFonts w:hint="eastAsia"/>
        </w:rPr>
        <w:t>计算</w:t>
      </w:r>
      <w:r>
        <w:t>依据</w:t>
      </w:r>
      <w:bookmarkEnd w:id="15"/>
      <w:bookmarkEnd w:id="16"/>
      <w:bookmarkEnd w:id="30"/>
      <w:bookmarkEnd w:id="31"/>
    </w:p>
    <w:p>
      <w:pPr>
        <w:pStyle w:val="3"/>
        <w:ind w:firstLine="199" w:firstLineChars="95"/>
        <w:rPr>
          <w:lang w:val="en-US"/>
        </w:rPr>
      </w:pPr>
      <w:bookmarkStart w:id="32" w:name="_Toc452108763"/>
      <w:r>
        <w:rPr>
          <w:rFonts w:hint="eastAsia"/>
          <w:lang w:val="en-US"/>
        </w:rPr>
        <w:t>本项目主要参照资料为：</w:t>
      </w:r>
    </w:p>
    <w:p>
      <w:pPr>
        <w:pStyle w:val="3"/>
        <w:numPr>
          <w:ilvl w:val="0"/>
          <w:numId w:val="2"/>
        </w:numPr>
        <w:ind w:left="0" w:firstLine="200" w:firstLineChars="0"/>
        <w:rPr>
          <w:lang w:val="en-US"/>
        </w:rPr>
      </w:pPr>
      <w:bookmarkStart w:id="33" w:name="参考标准名称1"/>
      <w:r>
        <w:rPr>
          <w:rFonts w:hint="eastAsia"/>
          <w:lang w:val="en-US"/>
        </w:rPr>
        <w:t>《绿色建筑评价标准》GB/T50378-2019</w:t>
      </w:r>
      <w:bookmarkEnd w:id="33"/>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r>
        <w:rPr>
          <w:rFonts w:hint="eastAsia"/>
          <w:lang w:val="en-US"/>
        </w:rPr>
        <w:t>《建筑通风效果测试与评价标准》JGJ/T 309—2013</w:t>
      </w:r>
    </w:p>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ind w:left="200" w:firstLine="0" w:firstLineChars="0"/>
        <w:rPr>
          <w:lang w:val="en-US"/>
        </w:rPr>
      </w:pPr>
    </w:p>
    <w:p>
      <w:pPr>
        <w:pStyle w:val="2"/>
      </w:pPr>
      <w:bookmarkStart w:id="34" w:name="_Toc50050015"/>
      <w:bookmarkStart w:id="35" w:name="_Toc26886"/>
      <w:r>
        <w:rPr>
          <w:rFonts w:hint="eastAsia"/>
        </w:rPr>
        <w:t>参考</w:t>
      </w:r>
      <w:r>
        <w:t>标准</w:t>
      </w:r>
      <w:bookmarkEnd w:id="32"/>
      <w:bookmarkEnd w:id="34"/>
      <w:bookmarkEnd w:id="35"/>
    </w:p>
    <w:p>
      <w:pPr>
        <w:pStyle w:val="3"/>
        <w:ind w:firstLine="420"/>
        <w:rPr>
          <w:lang w:val="en-US"/>
        </w:rPr>
      </w:pPr>
      <w:bookmarkStart w:id="36" w:name="_Toc452108764"/>
      <w:bookmarkStart w:id="37" w:name="_Toc451698935"/>
      <w:bookmarkStart w:id="38" w:name="_Toc451436145"/>
      <w:r>
        <w:rPr>
          <w:rFonts w:hint="eastAsia"/>
          <w:lang w:val="en-US"/>
        </w:rPr>
        <w:t>室内气流组织评价的主要依据为</w:t>
      </w:r>
      <w:bookmarkStart w:id="39" w:name="参考标准名称2"/>
      <w:r>
        <w:rPr>
          <w:rFonts w:hint="eastAsia"/>
          <w:lang w:val="en-US"/>
        </w:rPr>
        <w:t>《绿色建筑评价标准》GB/T50378-2019</w:t>
      </w:r>
      <w:bookmarkEnd w:id="39"/>
      <w:r>
        <w:rPr>
          <w:rFonts w:hint="eastAsia"/>
          <w:lang w:val="en-US"/>
        </w:rPr>
        <w:t>中控制项5.1.2条的要求，具体要求如下：</w:t>
      </w:r>
    </w:p>
    <w:p>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pPr>
        <w:pStyle w:val="2"/>
      </w:pPr>
      <w:bookmarkStart w:id="40" w:name="_Toc50050016"/>
      <w:bookmarkStart w:id="41" w:name="_Toc27771"/>
      <w:r>
        <w:rPr>
          <w:rFonts w:hint="eastAsia"/>
        </w:rPr>
        <w:t>技术措施</w:t>
      </w:r>
      <w:bookmarkEnd w:id="40"/>
      <w:bookmarkEnd w:id="41"/>
    </w:p>
    <w:p>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房间类型</w:t>
            </w:r>
          </w:p>
        </w:tc>
        <w:tc>
          <w:tcPr>
            <w:shd w:val="clear" w:color="auto" w:fill="E6E6E6"/>
            <w:vAlign w:val="center"/>
          </w:tcPr>
          <w:p>
            <w:pPr>
              <w:jc w:val="center"/>
            </w:pPr>
            <w:r>
              <w:t>措施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厨房</w:t>
            </w:r>
          </w:p>
        </w:tc>
        <w:tc>
          <w:tcPr>
            <w:vAlign w:val="center"/>
          </w:tcPr>
          <w:p>
            <w:r>
              <w:t>置于自然通风负压侧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安装抽油烟机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设置竖向排风道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采用双烟道设计</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排气道设计有利于排气通畅</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卫生间</w:t>
            </w:r>
          </w:p>
        </w:tc>
        <w:tc>
          <w:tcPr>
            <w:vAlign w:val="center"/>
          </w:tcPr>
          <w:p>
            <w:r>
              <w:t>置于自然通风负压侧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安装排气扇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设置竖向排风道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排气道设计有利于排气通畅</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设置气窗（公共卫生间、浴室）</w:t>
            </w:r>
          </w:p>
        </w:tc>
      </w:tr>
      <w:tr>
        <w:tblPrEx>
          <w:tblCellMar>
            <w:top w:w="0" w:type="dxa"/>
            <w:left w:w="108" w:type="dxa"/>
            <w:bottom w:w="0" w:type="dxa"/>
            <w:right w:w="108" w:type="dxa"/>
          </w:tblCellMar>
        </w:tblPrEx>
        <w:tc>
          <w:tcPr>
            <w:vMerge w:val="restart"/>
            <w:vAlign w:val="center"/>
          </w:tcPr>
          <w:p>
            <w:r>
              <w:t>餐厅</w:t>
            </w: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安装抽油烟机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设置负压排风系统</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风口位置合理，进排风无短路/无污染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打印复印室</w:t>
            </w: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设置负压机械排风</w:t>
            </w:r>
          </w:p>
        </w:tc>
      </w:tr>
      <w:tr>
        <w:tblPrEx>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地下车库</w:t>
            </w: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设置负压机械排风</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风口位置合理，无短路/无污染</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排风系统独立</w:t>
            </w:r>
          </w:p>
        </w:tc>
      </w:tr>
      <w:tr>
        <w:tblPrEx>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r>
              <w:t>垃圾房</w:t>
            </w:r>
          </w:p>
        </w:tc>
        <w:tc>
          <w:tcPr>
            <w:vAlign w:val="center"/>
          </w:tcPr>
          <w:p>
            <w:r>
              <w:t>设置可关闭的门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设置负压机械排风</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安装止回排气阀、放倒灌风帽</w:t>
            </w:r>
          </w:p>
        </w:tc>
      </w:tr>
      <w:tr>
        <w:tblPrEx>
          <w:tblCellMar>
            <w:top w:w="0" w:type="dxa"/>
            <w:left w:w="108" w:type="dxa"/>
            <w:bottom w:w="0" w:type="dxa"/>
            <w:right w:w="108" w:type="dxa"/>
          </w:tblCellMar>
        </w:tblPrEx>
        <w:tc>
          <w:tcPr>
            <w:vMerge w:val="continue"/>
            <w:vAlign w:val="center"/>
          </w:tcPr>
          <w:p/>
        </w:tc>
        <w:tc>
          <w:tcPr>
            <w:vAlign w:val="center"/>
          </w:tcPr>
          <w:p>
            <w:r>
              <w:t>风口位置合理，无短路/无污染</w:t>
            </w:r>
          </w:p>
        </w:tc>
      </w:tr>
      <w:tr>
        <w:tblPrEx>
          <w:tblCellMar>
            <w:top w:w="0" w:type="dxa"/>
            <w:left w:w="108" w:type="dxa"/>
            <w:bottom w:w="0" w:type="dxa"/>
            <w:right w:w="108" w:type="dxa"/>
          </w:tblCellMar>
        </w:tblPrEx>
        <w:tc>
          <w:tcPr>
            <w:vMerge w:val="continue"/>
            <w:vAlign w:val="center"/>
          </w:tcPr>
          <w:p/>
        </w:tc>
        <w:tc>
          <w:tcPr>
            <w:vAlign w:val="center"/>
          </w:tcPr>
          <w:p>
            <w:r>
              <w:t>排风系统独立</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tc>
        <w:tc>
          <w:tcPr>
            <w:vAlign w:val="center"/>
          </w:tcPr>
          <w:p>
            <w:r>
              <w:t>排放位置合理，远离其他空间/室外人员活动区</w:t>
            </w:r>
          </w:p>
        </w:tc>
      </w:tr>
    </w:tbl>
    <w:p>
      <w:pPr>
        <w:pStyle w:val="3"/>
        <w:ind w:firstLine="420"/>
        <w:rPr>
          <w:lang w:val="en-US"/>
        </w:rPr>
      </w:pPr>
      <w:bookmarkStart w:id="42" w:name="技术措施"/>
      <w:bookmarkEnd w:id="42"/>
    </w:p>
    <w:p>
      <w:pPr>
        <w:pStyle w:val="2"/>
      </w:pPr>
      <w:bookmarkStart w:id="43" w:name="_Toc50050017"/>
      <w:bookmarkStart w:id="44" w:name="_Toc11443"/>
      <w:r>
        <w:rPr>
          <w:rFonts w:hint="eastAsia"/>
        </w:rPr>
        <w:t>计算</w:t>
      </w:r>
      <w:bookmarkEnd w:id="36"/>
      <w:bookmarkEnd w:id="37"/>
      <w:r>
        <w:rPr>
          <w:rFonts w:hint="eastAsia"/>
        </w:rPr>
        <w:t>方法</w:t>
      </w:r>
      <w:bookmarkEnd w:id="43"/>
      <w:bookmarkEnd w:id="44"/>
    </w:p>
    <w:p>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pPr>
        <w:pStyle w:val="4"/>
      </w:pPr>
      <w:bookmarkStart w:id="45" w:name="_Toc50050018"/>
      <w:bookmarkStart w:id="46" w:name="_Toc20340"/>
      <w:r>
        <w:t>CFD</w:t>
      </w:r>
      <w:r>
        <w:rPr>
          <w:rFonts w:hint="eastAsia"/>
        </w:rPr>
        <w:t>计算原理</w:t>
      </w:r>
      <w:bookmarkEnd w:id="45"/>
      <w:bookmarkEnd w:id="46"/>
    </w:p>
    <w:p>
      <w:pPr>
        <w:pStyle w:val="5"/>
      </w:pPr>
      <w:bookmarkStart w:id="47" w:name="_Toc50050019"/>
      <w:bookmarkStart w:id="48" w:name="_Toc13154"/>
      <w:bookmarkStart w:id="49" w:name="_Toc452108765"/>
      <w:bookmarkStart w:id="50" w:name="_Toc451698937"/>
      <w:r>
        <w:rPr>
          <w:rFonts w:hint="eastAsia"/>
        </w:rPr>
        <w:t>湍流模型</w:t>
      </w:r>
      <w:bookmarkEnd w:id="47"/>
      <w:bookmarkEnd w:id="48"/>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51" w:name="_Toc451698938"/>
      <w:bookmarkStart w:id="52" w:name="_Toc8151"/>
      <w:bookmarkStart w:id="53" w:name="_Toc50050020"/>
      <w:bookmarkStart w:id="54" w:name="_Toc452108766"/>
      <w:bookmarkStart w:id="55" w:name="_Toc32698"/>
      <w:r>
        <w:rPr>
          <w:rFonts w:hint="eastAsia"/>
        </w:rPr>
        <w:t>边界条件</w:t>
      </w:r>
      <w:bookmarkEnd w:id="51"/>
      <w:bookmarkEnd w:id="52"/>
      <w:bookmarkEnd w:id="53"/>
      <w:bookmarkEnd w:id="54"/>
      <w:bookmarkEnd w:id="55"/>
    </w:p>
    <w:p>
      <w:pPr>
        <w:spacing w:line="400" w:lineRule="atLeast"/>
        <w:ind w:firstLine="435"/>
        <w:rPr>
          <w:szCs w:val="21"/>
        </w:rPr>
      </w:pPr>
      <w:r>
        <w:rPr>
          <w:rFonts w:hint="eastAsia"/>
          <w:b/>
          <w:szCs w:val="21"/>
        </w:rPr>
        <w:t>进风窗口</w:t>
      </w:r>
      <w:r>
        <w:rPr>
          <w:rFonts w:hint="eastAsia"/>
          <w:szCs w:val="21"/>
        </w:rPr>
        <w:t>：采用压强边界条件；</w:t>
      </w:r>
    </w:p>
    <w:p>
      <w:pPr>
        <w:spacing w:line="400" w:lineRule="atLeast"/>
        <w:ind w:firstLine="435"/>
        <w:rPr>
          <w:szCs w:val="21"/>
        </w:rPr>
      </w:pPr>
      <w:r>
        <w:rPr>
          <w:rFonts w:hint="eastAsia"/>
          <w:b/>
          <w:szCs w:val="21"/>
        </w:rPr>
        <w:t>排风窗口</w:t>
      </w:r>
      <w:r>
        <w:rPr>
          <w:rFonts w:hint="eastAsia"/>
          <w:szCs w:val="21"/>
        </w:rPr>
        <w:t>：采用压强边界条件；</w:t>
      </w:r>
    </w:p>
    <w:p>
      <w:pPr>
        <w:pStyle w:val="5"/>
        <w:tabs>
          <w:tab w:val="left" w:pos="360"/>
        </w:tabs>
        <w:ind w:left="0" w:firstLine="0"/>
      </w:pPr>
      <w:bookmarkStart w:id="56" w:name="_Toc50050021"/>
      <w:bookmarkStart w:id="57" w:name="_Toc452108767"/>
      <w:bookmarkStart w:id="58" w:name="_Toc23583"/>
      <w:bookmarkStart w:id="59" w:name="_Toc451698939"/>
      <w:bookmarkStart w:id="60" w:name="_Toc23612"/>
      <w:r>
        <w:rPr>
          <w:rFonts w:hint="eastAsia"/>
        </w:rPr>
        <w:t>求解计算</w:t>
      </w:r>
      <w:bookmarkEnd w:id="56"/>
      <w:bookmarkEnd w:id="57"/>
      <w:bookmarkEnd w:id="58"/>
      <w:bookmarkEnd w:id="59"/>
      <w:bookmarkEnd w:id="60"/>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1"/>
      <w:r>
        <w:rPr>
          <w:rFonts w:hint="eastAsia" w:ascii="黑体" w:hAnsi="黑体" w:eastAsia="黑体"/>
          <w:sz w:val="20"/>
          <w:szCs w:val="20"/>
        </w:rPr>
        <w:t xml:space="preserve"> </w:t>
      </w:r>
      <w:bookmarkStart w:id="62" w:name="_Ref225175618"/>
      <w:r>
        <w:rPr>
          <w:rFonts w:hint="eastAsia" w:ascii="黑体" w:hAnsi="黑体" w:eastAsia="黑体"/>
          <w:sz w:val="20"/>
          <w:szCs w:val="20"/>
        </w:rPr>
        <w:t>计算流体力学的控制方程</w:t>
      </w:r>
      <w:bookmarkEnd w:id="62"/>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2"/>
      </w:pPr>
      <w:bookmarkStart w:id="63" w:name="_Toc3745"/>
      <w:bookmarkStart w:id="64" w:name="_Toc452108768"/>
      <w:bookmarkStart w:id="65" w:name="_Toc50050022"/>
      <w:bookmarkStart w:id="66" w:name="_Toc17479"/>
      <w:r>
        <w:rPr>
          <w:rFonts w:hint="eastAsia"/>
        </w:rPr>
        <w:t>结果</w:t>
      </w:r>
      <w:r>
        <w:t>分析</w:t>
      </w:r>
      <w:bookmarkEnd w:id="63"/>
      <w:bookmarkEnd w:id="64"/>
      <w:bookmarkEnd w:id="65"/>
      <w:bookmarkEnd w:id="66"/>
    </w:p>
    <w:p>
      <w:pPr>
        <w:pStyle w:val="4"/>
      </w:pPr>
      <w:bookmarkStart w:id="67" w:name="_Toc50050023"/>
      <w:bookmarkStart w:id="68" w:name="_Toc3303"/>
      <w:r>
        <w:rPr>
          <w:rFonts w:hint="eastAsia"/>
        </w:rPr>
        <w:t>室内速度场分布</w:t>
      </w:r>
      <w:bookmarkEnd w:id="67"/>
      <w:bookmarkEnd w:id="68"/>
    </w:p>
    <w:p>
      <w:pPr>
        <w:pStyle w:val="3"/>
        <w:ind w:firstLine="0" w:firstLineChars="0"/>
        <w:jc w:val="center"/>
        <w:rPr>
          <w:lang w:val="en-US"/>
        </w:rPr>
      </w:pPr>
      <w:bookmarkStart w:id="69" w:name="速度云图"/>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p>
    <w:p>
      <w:pPr>
        <w:pStyle w:val="3"/>
        <w:ind w:firstLine="0" w:firstLineChars="0"/>
        <w:jc w:val="center"/>
        <w:rPr>
          <w:rFonts w:ascii="黑体" w:hAnsi="黑体" w:eastAsia="黑体"/>
          <w:lang w:val="en-US"/>
        </w:rPr>
      </w:pPr>
    </w:p>
    <w:p>
      <w:pPr>
        <w:pStyle w:val="3"/>
        <w:ind w:firstLine="0" w:firstLineChars="0"/>
        <w:jc w:val="center"/>
        <w:rPr>
          <w:rFonts w:ascii="黑体" w:hAnsi="黑体" w:eastAsia="黑体"/>
          <w:lang w:val="en-US"/>
        </w:rPr>
      </w:pPr>
    </w:p>
    <w:bookmarkEnd w:id="69"/>
    <w:p>
      <w:pPr>
        <w:pStyle w:val="4"/>
      </w:pPr>
      <w:bookmarkStart w:id="70" w:name="_Toc50050024"/>
      <w:bookmarkStart w:id="71" w:name="_Toc1139"/>
      <w:r>
        <w:rPr>
          <w:rFonts w:hint="eastAsia"/>
        </w:rPr>
        <w:t>室内风速矢量图</w:t>
      </w:r>
      <w:bookmarkEnd w:id="70"/>
      <w:bookmarkEnd w:id="71"/>
    </w:p>
    <w:p>
      <w:pPr>
        <w:pStyle w:val="3"/>
        <w:ind w:firstLine="0" w:firstLineChars="0"/>
        <w:jc w:val="center"/>
        <w:rPr>
          <w:lang w:val="en-US"/>
        </w:rPr>
      </w:pPr>
      <w:bookmarkStart w:id="72" w:name="速度矢量图"/>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p>
    <w:p>
      <w:pPr>
        <w:pStyle w:val="3"/>
        <w:ind w:firstLine="0" w:firstLineChars="0"/>
        <w:jc w:val="center"/>
        <w:rPr>
          <w:lang w:val="en-US"/>
        </w:rPr>
      </w:pPr>
    </w:p>
    <w:bookmarkEnd w:id="72"/>
    <w:p>
      <w:pPr>
        <w:pStyle w:val="4"/>
      </w:pPr>
      <w:bookmarkStart w:id="73" w:name="_Toc28281"/>
      <w:bookmarkStart w:id="74" w:name="_Toc50050025"/>
      <w:r>
        <w:rPr>
          <w:rFonts w:hint="eastAsia"/>
        </w:rPr>
        <w:t>流线图</w:t>
      </w:r>
      <w:bookmarkEnd w:id="73"/>
    </w:p>
    <w:p>
      <w:pPr>
        <w:pStyle w:val="3"/>
        <w:ind w:firstLine="420"/>
        <w:jc w:val="center"/>
        <w:rPr>
          <w:lang w:val="en-US"/>
        </w:rPr>
      </w:pPr>
      <w:bookmarkStart w:id="75" w:name="流线图"/>
      <w:bookmarkEnd w:id="75"/>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p>
    <w:p>
      <w:pPr>
        <w:pStyle w:val="2"/>
        <w:rPr>
          <w:sz w:val="36"/>
          <w:szCs w:val="36"/>
        </w:rPr>
      </w:pPr>
      <w:bookmarkStart w:id="76" w:name="_Toc12183"/>
      <w:r>
        <w:rPr>
          <w:rFonts w:hint="eastAsia"/>
          <w:sz w:val="36"/>
          <w:szCs w:val="36"/>
        </w:rPr>
        <w:t>结论</w:t>
      </w:r>
      <w:bookmarkEnd w:id="74"/>
      <w:bookmarkEnd w:id="76"/>
    </w:p>
    <w:p>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8"/>
    <w:bookmarkEnd w:id="49"/>
    <w:bookmarkEnd w:id="50"/>
    <w:p>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3</w:t>
          </w:r>
        </w:p>
      </w:tc>
    </w:tr>
  </w:tbl>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Theme="minorEastAsia" w:hAnsiTheme="minorEastAsia" w:eastAsiaTheme="minorEastAsia"/>
        <w:szCs w:val="21"/>
      </w:rPr>
    </w:pPr>
  </w:p>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5ZjZjN2Y4NzYzMDdlNTFjYzY4YTUyNDI0ZDhhNzMifQ=="/>
  </w:docVars>
  <w:rsids>
    <w:rsidRoot w:val="26DE4C6B"/>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 w:val="26DE4C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autoRedefine/>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autoRedefine/>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autoRedefine/>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autoRedefine/>
    <w:unhideWhenUsed/>
    <w:qFormat/>
    <w:uiPriority w:val="0"/>
    <w:rPr>
      <w:rFonts w:ascii="Cambria" w:hAnsi="Cambria" w:eastAsia="黑体"/>
      <w:sz w:val="20"/>
    </w:rPr>
  </w:style>
  <w:style w:type="paragraph" w:styleId="14">
    <w:name w:val="Document Map"/>
    <w:basedOn w:val="1"/>
    <w:link w:val="45"/>
    <w:autoRedefine/>
    <w:semiHidden/>
    <w:qFormat/>
    <w:uiPriority w:val="0"/>
    <w:pPr>
      <w:shd w:val="clear" w:color="auto" w:fill="000080"/>
    </w:pPr>
  </w:style>
  <w:style w:type="paragraph" w:styleId="15">
    <w:name w:val="Body Text Indent"/>
    <w:basedOn w:val="1"/>
    <w:link w:val="46"/>
    <w:autoRedefine/>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autoRedefine/>
    <w:qFormat/>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Char"/>
    <w:link w:val="2"/>
    <w:autoRedefine/>
    <w:qFormat/>
    <w:uiPriority w:val="0"/>
    <w:rPr>
      <w:b/>
      <w:bCs/>
      <w:kern w:val="32"/>
      <w:sz w:val="28"/>
      <w:szCs w:val="28"/>
    </w:rPr>
  </w:style>
  <w:style w:type="character" w:customStyle="1" w:styleId="29">
    <w:name w:val="标题 2 Char"/>
    <w:link w:val="4"/>
    <w:uiPriority w:val="0"/>
    <w:rPr>
      <w:rFonts w:ascii="宋体" w:cs="Arial"/>
      <w:b/>
      <w:bCs/>
      <w:iCs/>
      <w:color w:val="000000"/>
      <w:sz w:val="24"/>
      <w:szCs w:val="24"/>
    </w:rPr>
  </w:style>
  <w:style w:type="character" w:customStyle="1" w:styleId="30">
    <w:name w:val="页脚 Char"/>
    <w:link w:val="18"/>
    <w:autoRedefine/>
    <w:qFormat/>
    <w:uiPriority w:val="99"/>
    <w:rPr>
      <w:sz w:val="21"/>
      <w:szCs w:val="18"/>
      <w:lang w:val="en-GB"/>
    </w:rPr>
  </w:style>
  <w:style w:type="paragraph" w:customStyle="1" w:styleId="31">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Char"/>
    <w:link w:val="12"/>
    <w:autoRedefine/>
    <w:qFormat/>
    <w:uiPriority w:val="0"/>
    <w:rPr>
      <w:rFonts w:ascii="宋体"/>
      <w:sz w:val="21"/>
    </w:rPr>
  </w:style>
  <w:style w:type="paragraph" w:styleId="33">
    <w:name w:val="List Paragraph"/>
    <w:basedOn w:val="1"/>
    <w:autoRedefine/>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Char"/>
    <w:link w:val="5"/>
    <w:autoRedefine/>
    <w:qFormat/>
    <w:uiPriority w:val="0"/>
    <w:rPr>
      <w:rFonts w:ascii="宋体" w:hAnsi="宋体" w:cs="Arial"/>
      <w:b/>
      <w:bCs/>
      <w:sz w:val="21"/>
      <w:szCs w:val="21"/>
    </w:rPr>
  </w:style>
  <w:style w:type="character" w:customStyle="1" w:styleId="35">
    <w:name w:val="批注框文本 Char"/>
    <w:link w:val="17"/>
    <w:uiPriority w:val="0"/>
    <w:rPr>
      <w:sz w:val="18"/>
      <w:szCs w:val="18"/>
      <w:lang w:val="en-GB"/>
    </w:rPr>
  </w:style>
  <w:style w:type="character" w:styleId="36">
    <w:name w:val="Placeholder Text"/>
    <w:semiHidden/>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Char"/>
    <w:link w:val="6"/>
    <w:uiPriority w:val="0"/>
    <w:rPr>
      <w:b/>
      <w:bCs/>
      <w:sz w:val="21"/>
      <w:szCs w:val="28"/>
      <w:lang w:val="en-GB"/>
    </w:rPr>
  </w:style>
  <w:style w:type="character" w:customStyle="1" w:styleId="39">
    <w:name w:val="标题 5 Char"/>
    <w:link w:val="7"/>
    <w:uiPriority w:val="0"/>
    <w:rPr>
      <w:b/>
      <w:bCs/>
      <w:iCs/>
      <w:sz w:val="21"/>
      <w:szCs w:val="26"/>
      <w:lang w:val="en-GB"/>
    </w:rPr>
  </w:style>
  <w:style w:type="character" w:customStyle="1" w:styleId="40">
    <w:name w:val="标题 6 Char"/>
    <w:link w:val="8"/>
    <w:uiPriority w:val="0"/>
    <w:rPr>
      <w:b/>
      <w:bCs/>
      <w:sz w:val="21"/>
      <w:szCs w:val="22"/>
      <w:lang w:val="en-GB"/>
    </w:rPr>
  </w:style>
  <w:style w:type="character" w:customStyle="1" w:styleId="41">
    <w:name w:val="标题 7 Char"/>
    <w:link w:val="9"/>
    <w:uiPriority w:val="0"/>
    <w:rPr>
      <w:sz w:val="24"/>
      <w:szCs w:val="24"/>
      <w:lang w:val="en-GB"/>
    </w:rPr>
  </w:style>
  <w:style w:type="character" w:customStyle="1" w:styleId="42">
    <w:name w:val="标题 8 Char"/>
    <w:link w:val="10"/>
    <w:uiPriority w:val="0"/>
    <w:rPr>
      <w:i/>
      <w:iCs/>
      <w:sz w:val="24"/>
      <w:szCs w:val="24"/>
      <w:lang w:val="en-GB"/>
    </w:rPr>
  </w:style>
  <w:style w:type="character" w:customStyle="1" w:styleId="43">
    <w:name w:val="标题 9 Char"/>
    <w:link w:val="11"/>
    <w:uiPriority w:val="0"/>
    <w:rPr>
      <w:rFonts w:ascii="Arial" w:hAnsi="Arial" w:cs="Arial"/>
      <w:sz w:val="22"/>
      <w:szCs w:val="22"/>
      <w:lang w:val="en-GB"/>
    </w:rPr>
  </w:style>
  <w:style w:type="character" w:customStyle="1" w:styleId="44">
    <w:name w:val="页眉 Char"/>
    <w:link w:val="19"/>
    <w:autoRedefine/>
    <w:qFormat/>
    <w:uiPriority w:val="0"/>
    <w:rPr>
      <w:sz w:val="21"/>
      <w:szCs w:val="18"/>
      <w:lang w:val="en-GB"/>
    </w:rPr>
  </w:style>
  <w:style w:type="character" w:customStyle="1" w:styleId="45">
    <w:name w:val="文档结构图 Char"/>
    <w:link w:val="14"/>
    <w:autoRedefine/>
    <w:semiHidden/>
    <w:qFormat/>
    <w:uiPriority w:val="0"/>
    <w:rPr>
      <w:sz w:val="21"/>
      <w:shd w:val="clear" w:color="auto" w:fill="000080"/>
      <w:lang w:val="en-GB"/>
    </w:rPr>
  </w:style>
  <w:style w:type="character" w:customStyle="1" w:styleId="46">
    <w:name w:val="正文文本缩进 Char"/>
    <w:basedOn w:val="24"/>
    <w:link w:val="15"/>
    <w:autoRedefine/>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numbering" Target="numbering.xml"/><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26CDE-D3EA-4A7A-8D32-4E40D8AA9A03}">
  <ds:schemaRefs/>
</ds:datastoreItem>
</file>

<file path=docProps/app.xml><?xml version="1.0" encoding="utf-8"?>
<Properties xmlns="http://schemas.openxmlformats.org/officeDocument/2006/extended-properties" xmlns:vt="http://schemas.openxmlformats.org/officeDocument/2006/docPropsVTypes">
  <Template>tmp3.dotx</Template>
  <Pages>19</Pages>
  <Words>1645</Words>
  <Characters>1831</Characters>
  <Lines>18</Lines>
  <Paragraphs>5</Paragraphs>
  <TotalTime>0</TotalTime>
  <ScaleCrop>false</ScaleCrop>
  <LinksUpToDate>false</LinksUpToDate>
  <CharactersWithSpaces>1939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2023-12-26T02:35:00Z</dcterms:created>
  <dc:creator>那些年的往事！！！</dc:creator>
  <cp:lastModifiedBy>那些年的往事！！！</cp:lastModifiedBy>
  <dcterms:modified xsi:type="dcterms:W3CDTF">2023-12-26T02:36:34Z</dcterms:modified>
  <dc:title>室内气流组织分析报告</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036E3D25C11C460FA337FB8CCE068984_11</vt:lpwstr>
  </property>
  <property fmtid="{D5CDD505-2E9C-101B-9397-08002B2CF9AE}" pid="3" name="KSOProductBuildVer">
    <vt:lpwstr>2052-12.1.0.16120</vt:lpwstr>
  </property>
</Properties>
</file>