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江苏-南京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2023年12月26日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S01625BA0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right" w:leader="dot" w:pos="9026"/>
        </w:tabs>
      </w:pPr>
      <w:bookmarkStart w:id="87" w:name="_GoBack"/>
      <w:bookmarkStart w:id="13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_Toc1231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_Toc6866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_Toc6866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_Toc15748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_Toc15748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_Toc9906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_Toc9906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_Toc14602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_Toc14602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_Toc4938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_Toc4938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_Toc8157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_Toc8157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_Toc31390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145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14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_Toc31390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_Toc12700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14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14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_Toc12700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_Toc7377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_Toc7377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_Toc14553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外墙构造一</w:t>
      </w:r>
      <w:r>
        <w:tab/>
      </w:r>
      <w:r>
        <w:fldChar w:fldCharType="begin"/>
      </w:r>
      <w:r>
        <w:instrText xml:space="preserve"> PAGEREF _Toc14553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_Toc24891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41300" cy="171450"/>
            <wp:effectExtent l="0" t="0" r="2540" b="12065"/>
            <wp:docPr id="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_Toc24891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_Toc29265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2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_Toc29265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_Toc24910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_Toc24910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_Toc10958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_Toc10958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_Toc21336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41300" cy="171450"/>
            <wp:effectExtent l="0" t="0" r="2540" b="12065"/>
            <wp:docPr id="3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_Toc21336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_Toc12620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4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_Toc12620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_Toc7336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_Toc7336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_Toc26393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_Toc26393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bookmarkEnd w:id="13"/>
      <w:bookmarkEnd w:id="87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4" w:name="_Toc480218444"/>
      <w:bookmarkStart w:id="15" w:name="_Toc480186122"/>
      <w:bookmarkStart w:id="16" w:name="_Toc316568035"/>
      <w:bookmarkStart w:id="17" w:name="_Toc480186060"/>
      <w:bookmarkStart w:id="18" w:name="_Toc1231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江苏-南京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2" w:name="纬度"/>
            <w:r>
              <w:rPr>
                <w:rFonts w:hint="eastAsia"/>
              </w:rPr>
              <w:t>32.04</w:t>
            </w:r>
            <w:bookmarkEnd w:id="22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3" w:name="经度"/>
            <w:r>
              <w:rPr>
                <w:rFonts w:hint="eastAsia"/>
              </w:rPr>
              <w:t>118.78</w:t>
            </w:r>
            <w:bookmarkEnd w:id="23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气候分区"/>
            <w:r>
              <w:t>夏热冬冷A区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面积"/>
            <w:r>
              <w:rPr>
                <w:rFonts w:hint="eastAsia"/>
              </w:rPr>
              <w:t>1637</w:t>
            </w:r>
            <w:bookmarkEnd w:id="25"/>
            <w:r>
              <w:rPr>
                <w:rFonts w:hint="eastAsia"/>
              </w:rPr>
              <w:t>㎡    地下</w:t>
            </w:r>
            <w:bookmarkStart w:id="26" w:name="地下建筑面积"/>
            <w:r>
              <w:rPr>
                <w:rFonts w:hint="eastAsia"/>
              </w:rPr>
              <w:t>0</w:t>
            </w:r>
            <w:bookmarkEnd w:id="26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7" w:name="地上建筑层数"/>
            <w:r>
              <w:rPr>
                <w:rFonts w:hint="eastAsia"/>
              </w:rPr>
              <w:t>3</w:t>
            </w:r>
            <w:bookmarkEnd w:id="27"/>
            <w:r>
              <w:rPr>
                <w:rFonts w:hint="eastAsia"/>
              </w:rPr>
              <w:t xml:space="preserve">          地下</w:t>
            </w:r>
            <w:bookmarkStart w:id="28" w:name="地下建筑层数"/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9" w:name="地上建筑高度"/>
            <w:r>
              <w:rPr>
                <w:rFonts w:hint="eastAsia"/>
              </w:rPr>
              <w:t>13.0</w:t>
            </w:r>
            <w:bookmarkEnd w:id="29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1" w:name="_Toc480186061"/>
      <w:bookmarkStart w:id="32" w:name="_Toc480186123"/>
      <w:bookmarkStart w:id="33" w:name="_Toc316568036"/>
      <w:bookmarkStart w:id="34" w:name="_Toc480218445"/>
      <w:bookmarkStart w:id="35" w:name="_Toc6866"/>
      <w:bookmarkStart w:id="36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5"/>
    </w:p>
    <w:bookmarkEnd w:id="36"/>
    <w:p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《建筑节能与可再生能源利用通用规范》GB55015-2021</w:t>
      </w:r>
      <w:bookmarkEnd w:id="37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8" w:name="地方绿建评价标准"/>
      <w:r>
        <w:rPr>
          <w:rFonts w:hint="eastAsia"/>
        </w:rPr>
        <w:t>《绿色建筑评价标准》GB/T 50378-2019</w:t>
      </w:r>
      <w:bookmarkEnd w:id="38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5748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和</w:t>
      </w:r>
      <w:bookmarkStart w:id="43" w:name="地方绿建评价标准：1"/>
      <w:r>
        <w:rPr>
          <w:rFonts w:hint="eastAsia"/>
        </w:rPr>
        <w:t>《绿色建筑评价标准》GB/T 50378-2019</w:t>
      </w:r>
      <w:bookmarkEnd w:id="43"/>
      <w:r>
        <w:rPr>
          <w:rFonts w:hint="eastAsia"/>
        </w:rPr>
        <w:t>的要求和规定，供暖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规定</w:t>
      </w:r>
      <w:r>
        <w:t>的</w:t>
      </w:r>
      <w:r>
        <w:rPr>
          <w:rFonts w:hint="eastAsia"/>
        </w:rPr>
        <w:t>供暖期间保温材料重量湿度的允许增量。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44" w:name="_Toc480218447"/>
      <w:bookmarkStart w:id="45" w:name="_Toc480186063"/>
      <w:bookmarkStart w:id="46" w:name="_Toc479931706"/>
      <w:bookmarkStart w:id="47" w:name="_Toc480186125"/>
      <w:bookmarkStart w:id="48" w:name="_Toc9906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6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pt;width:162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6.5pt;width: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3.5pt;width:20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3.5pt;width:2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20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4pt;width:11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9" w:name="_Toc480186126"/>
      <w:bookmarkStart w:id="50" w:name="_Toc480186064"/>
      <w:bookmarkStart w:id="51" w:name="_Toc480218448"/>
      <w:bookmarkStart w:id="52" w:name="_Toc14602"/>
      <w:r>
        <w:rPr>
          <w:rFonts w:hint="eastAsia"/>
        </w:rPr>
        <w:t>防潮验算</w:t>
      </w:r>
      <w:r>
        <w:t>计算过程</w:t>
      </w:r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4938"/>
      <w:r>
        <w:rPr>
          <w:rFonts w:hint="eastAsia"/>
          <w:kern w:val="2"/>
        </w:rPr>
        <w:t>计算条件</w:t>
      </w:r>
      <w:bookmarkEnd w:id="53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4" o:spt="75" type="#_x0000_t75" style="height:17.5pt;width:10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t_e_avg"/>
            <w:r>
              <w:rPr>
                <w:rFonts w:hint="eastAsia"/>
              </w:rPr>
              <w:t>3.60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7" w:name="室外相对湿度"/>
            <w:r>
              <w:rPr>
                <w:rFonts w:hint="eastAsia"/>
              </w:rPr>
              <w:t>72.00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8" w:name="Z"/>
            <w:r>
              <w:rPr>
                <w:rFonts w:hint="eastAsia"/>
              </w:rPr>
              <w:t>55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9" w:name="气象数据参考"/>
      <w:bookmarkEnd w:id="59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0" w:name="_Toc8157"/>
      <w:bookmarkStart w:id="61" w:name="构造ID"/>
      <w:bookmarkStart w:id="62" w:name="DataTab"/>
      <w:r>
        <w:rPr>
          <w:rFonts w:hint="eastAsia"/>
          <w:kern w:val="2"/>
        </w:rPr>
        <w:t>屋顶构造一</w:t>
      </w:r>
      <w:bookmarkEnd w:id="60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3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0.444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0.074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64" w:name="_Toc31390"/>
      <w:r>
        <w:rPr>
          <w:rFonts w:hint="eastAsia"/>
        </w:rPr>
        <w:t>冷凝计算界面至围护结构内表面之间的热阻</w:t>
      </w:r>
      <w:r>
        <w:object>
          <v:shape id="_x0000_i1055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3">
            <o:LockedField>false</o:LockedField>
          </o:OLEObject>
        </w:object>
      </w:r>
      <w:bookmarkEnd w:id="64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6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5" w:name="R_o_i"/>
      <w:r>
        <w:rPr>
          <w:rFonts w:hint="eastAsia"/>
        </w:rPr>
        <w:t>2.32</w:t>
      </w:r>
    </w:p>
    <w:p>
      <w:pPr>
        <w:pStyle w:val="5"/>
        <w:ind w:right="1470"/>
      </w:pPr>
      <w:bookmarkStart w:id="66" w:name="_Toc12700"/>
      <w:r>
        <w:rPr>
          <w:rFonts w:hint="eastAsia"/>
        </w:rPr>
        <w:t>冷凝计算界面温度</w:t>
      </w:r>
      <w:r>
        <w:rPr>
          <w:position w:val="-6"/>
        </w:rPr>
        <w:object>
          <v:shape id="_x0000_i105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5">
            <o:LockedField>false</o:LockedField>
          </o:OLEObject>
        </w:object>
      </w:r>
      <w:bookmarkEnd w:id="66"/>
    </w:p>
    <w:p>
      <w:pPr>
        <w:jc w:val="center"/>
      </w:pPr>
      <w:r>
        <w:object>
          <v:shape id="_x0000_i1058" o:spt="75" type="#_x0000_t75" style="height:33pt;width:11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8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51" r:id="rId58">
            <o:LockedField>false</o:LockedField>
          </o:OLEObject>
        </w:object>
      </w:r>
      <w:r>
        <w:t>=</w:t>
      </w:r>
      <w:bookmarkStart w:id="67" w:name="θ_c"/>
      <w:r>
        <w:rPr>
          <w:rFonts w:hint="eastAsia"/>
        </w:rPr>
        <w:t>4.26</w:t>
      </w:r>
    </w:p>
    <w:p>
      <w:pPr>
        <w:pStyle w:val="5"/>
        <w:ind w:right="1470"/>
      </w:pPr>
      <w:bookmarkStart w:id="68" w:name="_Toc7377"/>
      <w:r>
        <w:rPr>
          <w:rStyle w:val="32"/>
          <w:rFonts w:hint="eastAsia"/>
          <w:b/>
          <w:bCs w:val="0"/>
        </w:rPr>
        <w:t>围护结构冷凝受潮验算</w:t>
      </w:r>
      <w:bookmarkEnd w:id="68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0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1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H_o_i"/>
            <w:r>
              <w:rPr>
                <w:rFonts w:hint="eastAsia"/>
              </w:rPr>
              <w:t>15766.61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6" o:spt="75" type="#_x0000_t75" style="height:13.5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7" o:spt="75" type="#_x0000_t75" style="height:13.5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e"/>
            <w:r>
              <w:rPr>
                <w:rFonts w:hint="eastAsia"/>
              </w:rPr>
              <w:t>5780.35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Pe"/>
            <w:r>
              <w:rPr>
                <w:rFonts w:hint="eastAsia"/>
              </w:rPr>
              <w:t>569.23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sc"/>
            <w:r>
              <w:rPr>
                <w:rFonts w:hint="eastAsia"/>
              </w:rPr>
              <w:t>828.16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79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ρ"/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δi"/>
            <w:r>
              <w:rPr>
                <w:rFonts w:hint="eastAsia"/>
              </w:rPr>
              <w:t>0.06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3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4" o:spt="75" type="#_x0000_t75" style="height:16.5pt;width:2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ω_l"/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7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8" w:name="_Toc14553"/>
      <w:r>
        <w:rPr>
          <w:rFonts w:hint="eastAsia"/>
          <w:kern w:val="2"/>
        </w:rPr>
        <w:t>外墙构造一</w:t>
      </w:r>
      <w:bookmarkEnd w:id="78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1.111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79" w:name="_Toc24891"/>
      <w:r>
        <w:rPr>
          <w:rFonts w:hint="eastAsia"/>
        </w:rPr>
        <w:t>冷凝计算界面至围护结构内表面之间的热阻</w:t>
      </w:r>
      <w:r>
        <w:pict>
          <v:shape id="_x0000_i1085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9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6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1.27</w:t>
      </w:r>
    </w:p>
    <w:p>
      <w:pPr>
        <w:pStyle w:val="5"/>
        <w:ind w:right="1470"/>
      </w:pPr>
      <w:bookmarkStart w:id="80" w:name="_Toc29265"/>
      <w:r>
        <w:rPr>
          <w:rFonts w:hint="eastAsia"/>
        </w:rPr>
        <w:t>冷凝计算界面温度</w:t>
      </w:r>
      <w:r>
        <w:rPr>
          <w:position w:val="-6"/>
        </w:rPr>
        <w:pict>
          <v:shape id="_x0000_i108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0"/>
    </w:p>
    <w:p>
      <w:pPr>
        <w:jc w:val="center"/>
      </w:pPr>
      <w:r>
        <w:pict>
          <v:shape id="_x0000_i1088" o:spt="75" type="#_x0000_t75" style="height:33pt;width:112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4.31</w:t>
      </w:r>
    </w:p>
    <w:p>
      <w:pPr>
        <w:pStyle w:val="5"/>
        <w:ind w:right="1470"/>
      </w:pPr>
      <w:bookmarkStart w:id="81" w:name="_Toc24910"/>
      <w:r>
        <w:rPr>
          <w:rStyle w:val="32"/>
          <w:rFonts w:hint="eastAsia"/>
          <w:b/>
          <w:bCs w:val="0"/>
        </w:rPr>
        <w:t>围护结构冷凝受潮验算</w:t>
      </w:r>
      <w:bookmarkEnd w:id="81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0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1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096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7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569.23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831.19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0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4" o:spt="75" type="#_x0000_t75" style="height:16.5pt;width:2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2" w:name="_Toc10958"/>
      <w:r>
        <w:rPr>
          <w:rFonts w:hint="eastAsia"/>
          <w:kern w:val="2"/>
        </w:rPr>
        <w:t>阳台隔墙构造一</w:t>
      </w:r>
      <w:bookmarkEnd w:id="61"/>
      <w:bookmarkEnd w:id="82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63"/>
    </w:tbl>
    <w:p>
      <w:pPr>
        <w:pStyle w:val="3"/>
        <w:ind w:left="1470" w:right="1470"/>
      </w:pPr>
    </w:p>
    <w:p>
      <w:pPr>
        <w:pStyle w:val="5"/>
      </w:pPr>
      <w:bookmarkStart w:id="83" w:name="_Toc21336"/>
      <w:r>
        <w:rPr>
          <w:rFonts w:hint="eastAsia"/>
        </w:rPr>
        <w:t>冷凝计算界面至围护结构内表面之间的热阻</w:t>
      </w:r>
      <w:r>
        <w:pict>
          <v:shape id="_x0000_i1115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3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6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5"/>
    </w:p>
    <w:p>
      <w:pPr>
        <w:pStyle w:val="5"/>
        <w:ind w:right="1470"/>
      </w:pPr>
      <w:bookmarkStart w:id="84" w:name="_Toc12620"/>
      <w:r>
        <w:rPr>
          <w:rFonts w:hint="eastAsia"/>
        </w:rPr>
        <w:t>冷凝计算界面温度</w:t>
      </w:r>
      <w:r>
        <w:rPr>
          <w:position w:val="-6"/>
        </w:rPr>
        <w:pict>
          <v:shape id="_x0000_i111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4"/>
    </w:p>
    <w:p>
      <w:pPr>
        <w:jc w:val="center"/>
      </w:pPr>
      <w:r>
        <w:pict>
          <v:shape id="_x0000_i1118" o:spt="75" type="#_x0000_t75" style="height:33pt;width:112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4.75</w:t>
      </w:r>
      <w:bookmarkEnd w:id="67"/>
    </w:p>
    <w:p>
      <w:pPr>
        <w:pStyle w:val="5"/>
        <w:ind w:right="1470"/>
      </w:pPr>
      <w:bookmarkStart w:id="85" w:name="_Toc7336"/>
      <w:r>
        <w:rPr>
          <w:rStyle w:val="32"/>
          <w:rFonts w:hint="eastAsia"/>
          <w:b/>
          <w:bCs w:val="0"/>
        </w:rPr>
        <w:t>围护结构冷凝受潮验算</w:t>
      </w:r>
      <w:bookmarkEnd w:id="85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0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1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14062.08</w:t>
            </w:r>
            <w:bookmarkEnd w:id="69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26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7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1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569.23</w:t>
            </w:r>
            <w:bookmarkEnd w:id="72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6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7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857.04</w:t>
            </w:r>
            <w:bookmarkEnd w:id="73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3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  <w:bookmarkEnd w:id="74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7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4" o:spt="75" type="#_x0000_t75" style="height:16.5pt;width:2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6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7"/>
          </w:p>
        </w:tc>
      </w:tr>
    </w:tbl>
    <w:p>
      <w:pPr>
        <w:widowControl/>
        <w:jc w:val="left"/>
      </w:pPr>
    </w:p>
    <w:bookmarkEnd w:id="62"/>
    <w:p>
      <w:pPr>
        <w:pStyle w:val="2"/>
        <w:widowControl/>
        <w:jc w:val="left"/>
      </w:pPr>
      <w:bookmarkStart w:id="86" w:name="_Toc26393"/>
      <w:r>
        <w:t>验算结论</w:t>
      </w:r>
      <w:bookmarkEnd w:id="86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112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5ZjZjN2Y4NzYzMDdlNTFjYzY4YTUyNDI0ZDhhNzMifQ=="/>
  </w:docVars>
  <w:rsids>
    <w:rsidRoot w:val="14866B6F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148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autoRedefine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autoRedefine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autoRedefine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autoRedefine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字符1"/>
    <w:link w:val="16"/>
    <w:autoRedefine/>
    <w:qFormat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autoRedefine/>
    <w:qFormat/>
    <w:uiPriority w:val="99"/>
    <w:rPr>
      <w:kern w:val="2"/>
      <w:sz w:val="18"/>
      <w:szCs w:val="18"/>
    </w:rPr>
  </w:style>
  <w:style w:type="character" w:customStyle="1" w:styleId="27">
    <w:name w:val="页眉 字符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autoRedefine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autoRedefine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autoRedefine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autoRedefine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autoRedefine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autoRedefine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autoRedefine/>
    <w:qFormat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autoRedefine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autoRedefine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numbering" Target="numbering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8</Pages>
  <Words>2337</Words>
  <Characters>3380</Characters>
  <Lines>27</Lines>
  <Paragraphs>7</Paragraphs>
  <TotalTime>0</TotalTime>
  <ScaleCrop>false</ScaleCrop>
  <LinksUpToDate>false</LinksUpToDate>
  <CharactersWithSpaces>3515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2023-12-26T06:58:00Z</dcterms:created>
  <dc:creator>那些年的往事！！！</dc:creator>
  <cp:lastModifiedBy>那些年的往事！！！</cp:lastModifiedBy>
  <dcterms:modified xsi:type="dcterms:W3CDTF">2023-12-26T06:58:54Z</dcterms:modified>
  <dc:title>防潮验算计算书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44AA557FD08641A6BE12E9692AEB6B2C_11</vt:lpwstr>
  </property>
  <property fmtid="{D5CDD505-2E9C-101B-9397-08002B2CF9AE}" pid="4" name="KSOProductBuildVer">
    <vt:lpwstr>2052-12.1.0.16120</vt:lpwstr>
  </property>
</Properties>
</file>