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0" w:name="工程名称"/>
            <w:r>
              <w:t>寻墨</w:t>
            </w:r>
            <w:bookmarkEnd w:id="0"/>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1" w:name="设计编号"/>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2" w:name="建设单位"/>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3" w:name="设计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4" w:name="审核人"/>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5" w:name="审定人"/>
            <w:bookmarkEnd w:id="5"/>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6" w:name="计算日期"/>
            <w:r>
              <w:t>2024年1月8日</w:t>
            </w:r>
            <w:bookmarkEnd w:id="6"/>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7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53b4e746449d2"/>
                    <a:stretch>
                      <a:fillRect/>
                    </a:stretch>
                  </pic:blipFill>
                  <pic:spPr>
                    <a:xfrm>
                      <a:off x="0" y="0"/>
                      <a:ext cx="2171928" cy="2171928"/>
                    </a:xfrm>
                    <a:prstGeom prst="rect">
                      <a:avLst/>
                    </a:prstGeom>
                  </pic:spPr>
                </pic:pic>
              </a:graphicData>
            </a:graphic>
          </wp:inline>
        </drawing>
      </w:r>
    </w:p>
    <w:p>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8" w:name="采用软件"/>
            <w:r w:rsidRPr="003B4EFE">
              <w:rPr>
                <w:rFonts w:hint="eastAsia"/>
              </w:rPr>
              <w:t>采光分析DALI2023</w:t>
            </w:r>
            <w:bookmarkEnd w:id="8"/>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9" w:name="软件版本"/>
            <w:r w:rsidRPr="003B4EFE">
              <w:rPr>
                <w:szCs w:val="18"/>
              </w:rPr>
              <w:t>20220808(SP1)</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1" w:name="正版授权码"/>
            <w:r>
              <w:t>T13782789271</w:t>
            </w:r>
            <w:bookmarkEnd w:id="11"/>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8"/>
          <w:footerReference w:type="default" r:id="rId9"/>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2" w:name="项目地点"/>
            <w:r>
              <w:rPr>
                <w:rFonts w:hint="eastAsia"/>
                <w:lang w:val="en-US"/>
              </w:rPr>
              <w:t xml:space="preserve">洛阳</w:t>
            </w:r>
            <w:bookmarkEnd w:id="12"/>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3" w:name="光气候分区"/>
            <w:r>
              <w:rPr>
                <w:lang w:val="en-US"/>
              </w:rPr>
              <w:t>III</w:t>
            </w:r>
            <w:bookmarkEnd w:id="13"/>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4" w:name="光气候系数K"/>
            <w:r>
              <w:rPr>
                <w:lang w:val="en-US"/>
              </w:rPr>
              <w:t>1.00</w:t>
            </w:r>
            <w:bookmarkEnd w:id="14"/>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5" w:name="地上建筑面积"/>
            <w:r w:rsidR="00352A28">
              <w:rPr>
                <w:lang w:val="en-US"/>
              </w:rPr>
              <w:t>4554.53</w:t>
            </w:r>
            <w:bookmarkEnd w:id="15"/>
            <w:r w:rsidRPr="0042654D">
              <w:rPr>
                <w:rFonts w:hint="eastAsia"/>
              </w:rPr>
              <w:t>㎡</w:t>
            </w:r>
            <w:r w:rsidRPr="0042654D">
              <w:rPr>
                <w:rFonts w:hint="eastAsia"/>
                <w:lang w:val="en-US"/>
              </w:rPr>
              <w:t xml:space="preserve">    地下  </w:t>
            </w:r>
            <w:bookmarkStart w:id="16" w:name="地下建筑面积"/>
            <w:r w:rsidR="00352A28">
              <w:rPr>
                <w:lang w:val="en-US"/>
              </w:rPr>
              <w:t>0.00</w:t>
            </w:r>
            <w:bookmarkEnd w:id="16"/>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7" w:name="地上建筑层数"/>
            <w:r w:rsidR="00352A28">
              <w:rPr>
                <w:lang w:val="en-US"/>
              </w:rPr>
              <w:t>3</w:t>
            </w:r>
            <w:bookmarkEnd w:id="17"/>
            <w:r w:rsidRPr="0042654D">
              <w:rPr>
                <w:rFonts w:hint="eastAsia"/>
                <w:lang w:val="en-US"/>
              </w:rPr>
              <w:t xml:space="preserve">          地下</w:t>
            </w:r>
            <w:r w:rsidR="00F972A6" w:rsidRPr="0042654D">
              <w:rPr>
                <w:rFonts w:hint="eastAsia"/>
                <w:lang w:val="en-US"/>
              </w:rPr>
              <w:t xml:space="preserve"> </w:t>
            </w:r>
            <w:bookmarkStart w:id="18" w:name="地下建筑层数"/>
            <w:r w:rsidR="00352A28">
              <w:rPr>
                <w:lang w:val="en-US"/>
              </w:rPr>
              <w:t>0</w:t>
            </w:r>
            <w:bookmarkEnd w:id="18"/>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9"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14.10</w:t>
              </w:r>
              <w:bookmarkEnd w:id="19"/>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0"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0"/>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1" w:name="备注"/>
            <w:bookmarkEnd w:id="21"/>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CF4FAF" w:rsidP="00A3571A">
      <w:pPr>
        <w:pStyle w:val="ab"/>
        <w:spacing w:line="360" w:lineRule="auto"/>
        <w:ind w:firstLine="420"/>
        <w:jc w:val="left"/>
        <w:rPr>
          <w:rFonts w:ascii="Times New Roman" w:hAnsi="Times New Roman"/>
          <w:sz w:val="21"/>
          <w:szCs w:val="21"/>
        </w:rPr>
      </w:pPr>
      <w:r>
        <w:rPr>
          <w:rFonts w:ascii="Times New Roman" w:hAnsi="Times New Roman"/>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84.75pt;height:35.25pt" o:allowoverlap="f">
            <v:imagedata r:id="rId10" o:title=""/>
          </v:shape>
        </w:pict>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0.75</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0.30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0.60</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0.50</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61" w:name="窗"/>
      <w:bookmarkStart w:id="62" w:name="_Toc422822727"/>
      <w:bookmarkEnd w:id="60"/>
      <w:r>
        <w:t>普通</w:t>
      </w:r>
      <w:r w:rsidRPr="005B290E">
        <w:rPr>
          <w:rFonts w:hint="eastAsia"/>
        </w:rPr>
        <w:t>窗</w:t>
      </w:r>
    </w:p>
    <w:bookmarkEnd w:id="61"/>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C0915</w:t>
            </w:r>
          </w:p>
        </w:tc>
        <w:tc>
          <w:tcPr>
            <w:vAlign w:val="center"/>
          </w:tcPr>
          <w:p>
            <w:pPr/>
            <w:r>
              <w:t>900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C11115</w:t>
            </w:r>
          </w:p>
        </w:tc>
        <w:tc>
          <w:tcPr>
            <w:vAlign w:val="center"/>
          </w:tcPr>
          <w:p>
            <w:pPr/>
            <w:r>
              <w:t>11196</w:t>
            </w:r>
          </w:p>
        </w:tc>
        <w:tc>
          <w:tcPr>
            <w:vAlign w:val="center"/>
          </w:tcPr>
          <w:p>
            <w:pPr/>
            <w:r>
              <w:t>3000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C12140</w:t>
            </w:r>
          </w:p>
        </w:tc>
        <w:tc>
          <w:tcPr>
            <w:vAlign w:val="center"/>
          </w:tcPr>
          <w:p>
            <w:pPr/>
            <w:r>
              <w:t>12100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C1218</w:t>
            </w:r>
          </w:p>
        </w:tc>
        <w:tc>
          <w:tcPr>
            <w:vAlign w:val="center"/>
          </w:tcPr>
          <w:p>
            <w:pPr/>
            <w:r>
              <w:t>1200</w:t>
            </w:r>
          </w:p>
        </w:tc>
        <w:tc>
          <w:tcPr>
            <w:vAlign w:val="center"/>
          </w:tcPr>
          <w:p>
            <w:pPr/>
            <w:r>
              <w:t>3000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C12940</w:t>
            </w:r>
          </w:p>
        </w:tc>
        <w:tc>
          <w:tcPr>
            <w:vAlign w:val="center"/>
          </w:tcPr>
          <w:p>
            <w:pPr/>
            <w:r>
              <w:t>12740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C1509</w:t>
            </w:r>
          </w:p>
        </w:tc>
        <w:tc>
          <w:tcPr>
            <w:vAlign w:val="center"/>
          </w:tcPr>
          <w:p>
            <w:pPr/>
            <w:r>
              <w:t>1500</w:t>
            </w:r>
          </w:p>
        </w:tc>
        <w:tc>
          <w:tcPr>
            <w:vAlign w:val="center"/>
          </w:tcPr>
          <w:p>
            <w:pPr/>
            <w:r>
              <w:t>900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C15222</w:t>
            </w:r>
          </w:p>
        </w:tc>
        <w:tc>
          <w:tcPr>
            <w:vAlign w:val="center"/>
          </w:tcPr>
          <w:p>
            <w:pPr/>
            <w:r>
              <w:t>15296</w:t>
            </w:r>
          </w:p>
        </w:tc>
        <w:tc>
          <w:tcPr>
            <w:vAlign w:val="center"/>
          </w:tcPr>
          <w:p>
            <w:pPr/>
            <w:r>
              <w:t>2200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C15722</w:t>
            </w:r>
          </w:p>
        </w:tc>
        <w:tc>
          <w:tcPr>
            <w:vAlign w:val="center"/>
          </w:tcPr>
          <w:p>
            <w:pPr/>
            <w:r>
              <w:t>15735</w:t>
            </w:r>
          </w:p>
        </w:tc>
        <w:tc>
          <w:tcPr>
            <w:vAlign w:val="center"/>
          </w:tcPr>
          <w:p>
            <w:pPr/>
            <w:r>
              <w:t>2200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C1615</w:t>
            </w:r>
          </w:p>
        </w:tc>
        <w:tc>
          <w:tcPr>
            <w:vAlign w:val="center"/>
          </w:tcPr>
          <w:p>
            <w:pPr/>
            <w:r>
              <w:t>1600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C1810</w:t>
            </w:r>
          </w:p>
        </w:tc>
        <w:tc>
          <w:tcPr>
            <w:vAlign w:val="center"/>
          </w:tcPr>
          <w:p>
            <w:pPr/>
            <w:r>
              <w:t>1800</w:t>
            </w:r>
          </w:p>
        </w:tc>
        <w:tc>
          <w:tcPr>
            <w:vAlign w:val="center"/>
          </w:tcPr>
          <w:p>
            <w:pPr/>
            <w:r>
              <w:t>1000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C2115</w:t>
            </w:r>
          </w:p>
        </w:tc>
        <w:tc>
          <w:tcPr>
            <w:vAlign w:val="center"/>
          </w:tcPr>
          <w:p>
            <w:pPr/>
            <w:r>
              <w:t>2100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C22415</w:t>
            </w:r>
          </w:p>
        </w:tc>
        <w:tc>
          <w:tcPr>
            <w:vAlign w:val="center"/>
          </w:tcPr>
          <w:p>
            <w:pPr/>
            <w:r>
              <w:t>22498</w:t>
            </w:r>
          </w:p>
        </w:tc>
        <w:tc>
          <w:tcPr>
            <w:vAlign w:val="center"/>
          </w:tcPr>
          <w:p>
            <w:pPr/>
            <w:r>
              <w:t>3000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C2415</w:t>
            </w:r>
          </w:p>
        </w:tc>
        <w:tc>
          <w:tcPr>
            <w:vAlign w:val="center"/>
          </w:tcPr>
          <w:p>
            <w:pPr/>
            <w:r>
              <w:t>2400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C2722</w:t>
            </w:r>
          </w:p>
        </w:tc>
        <w:tc>
          <w:tcPr>
            <w:vAlign w:val="center"/>
          </w:tcPr>
          <w:p>
            <w:pPr/>
            <w:r>
              <w:t>2799</w:t>
            </w:r>
          </w:p>
        </w:tc>
        <w:tc>
          <w:tcPr>
            <w:vAlign w:val="center"/>
          </w:tcPr>
          <w:p>
            <w:pPr/>
            <w:r>
              <w:t>2200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C3615</w:t>
            </w:r>
          </w:p>
        </w:tc>
        <w:tc>
          <w:tcPr>
            <w:vAlign w:val="center"/>
          </w:tcPr>
          <w:p>
            <w:pPr/>
            <w:r>
              <w:t>3600</w:t>
            </w:r>
          </w:p>
        </w:tc>
        <w:tc>
          <w:tcPr>
            <w:vAlign w:val="center"/>
          </w:tcPr>
          <w:p>
            <w:pPr/>
            <w:r>
              <w:t>1500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C3640</w:t>
            </w:r>
          </w:p>
        </w:tc>
        <w:tc>
          <w:tcPr>
            <w:vAlign w:val="center"/>
          </w:tcPr>
          <w:p>
            <w:pPr/>
            <w:r>
              <w:t>3600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C3940</w:t>
            </w:r>
          </w:p>
        </w:tc>
        <w:tc>
          <w:tcPr>
            <w:vAlign w:val="center"/>
          </w:tcPr>
          <w:p>
            <w:pPr/>
            <w:r>
              <w:t>3900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C4640</w:t>
            </w:r>
          </w:p>
        </w:tc>
        <w:tc>
          <w:tcPr>
            <w:vAlign w:val="center"/>
          </w:tcPr>
          <w:p>
            <w:pPr/>
            <w:r>
              <w:t>4600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C5440</w:t>
            </w:r>
          </w:p>
        </w:tc>
        <w:tc>
          <w:tcPr>
            <w:vAlign w:val="center"/>
          </w:tcPr>
          <w:p>
            <w:pPr/>
            <w:r>
              <w:t>5420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C5640</w:t>
            </w:r>
          </w:p>
        </w:tc>
        <w:tc>
          <w:tcPr>
            <w:vAlign w:val="center"/>
          </w:tcPr>
          <w:p>
            <w:pPr/>
            <w:r>
              <w:t>5580</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C5940</w:t>
            </w:r>
          </w:p>
        </w:tc>
        <w:tc>
          <w:tcPr>
            <w:vAlign w:val="center"/>
          </w:tcPr>
          <w:p>
            <w:pPr/>
            <w:r>
              <w:t>5898</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C6040</w:t>
            </w:r>
          </w:p>
        </w:tc>
        <w:tc>
          <w:tcPr>
            <w:vAlign w:val="center"/>
          </w:tcPr>
          <w:p>
            <w:pPr/>
            <w:r>
              <w:t>6001</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C6322</w:t>
            </w:r>
          </w:p>
        </w:tc>
        <w:tc>
          <w:tcPr>
            <w:vAlign w:val="center"/>
          </w:tcPr>
          <w:p>
            <w:pPr/>
            <w:r>
              <w:t>6383</w:t>
            </w:r>
          </w:p>
        </w:tc>
        <w:tc>
          <w:tcPr>
            <w:vAlign w:val="center"/>
          </w:tcPr>
          <w:p>
            <w:pPr/>
            <w:r>
              <w:t>2200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C7740</w:t>
            </w:r>
          </w:p>
        </w:tc>
        <w:tc>
          <w:tcPr>
            <w:vAlign w:val="center"/>
          </w:tcPr>
          <w:p>
            <w:pPr/>
            <w:r>
              <w:t>7739</w:t>
            </w:r>
          </w:p>
        </w:tc>
        <w:tc>
          <w:tcPr>
            <w:vAlign w:val="center"/>
          </w:tcPr>
          <w:p>
            <w:pPr/>
            <w:r>
              <w:t>4000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C7939</w:t>
            </w:r>
          </w:p>
        </w:tc>
        <w:tc>
          <w:tcPr>
            <w:vAlign w:val="center"/>
          </w:tcPr>
          <w:p>
            <w:pPr/>
            <w:r>
              <w:t>7939</w:t>
            </w:r>
          </w:p>
        </w:tc>
        <w:tc>
          <w:tcPr>
            <w:vAlign w:val="center"/>
          </w:tcPr>
          <w:p>
            <w:pPr/>
            <w:r>
              <w:t>3900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r>
        <w:tc>
          <w:tcPr>
            <w:vAlign w:val="center"/>
          </w:tcPr>
          <w:p>
            <w:pPr/>
            <w:r>
              <w:t>C9739</w:t>
            </w:r>
          </w:p>
        </w:tc>
        <w:tc>
          <w:tcPr>
            <w:vAlign w:val="center"/>
          </w:tcPr>
          <w:p>
            <w:pPr/>
            <w:r>
              <w:t>9724</w:t>
            </w:r>
          </w:p>
        </w:tc>
        <w:tc>
          <w:tcPr>
            <w:vAlign w:val="center"/>
          </w:tcPr>
          <w:p>
            <w:pPr/>
            <w:r>
              <w:t>3900</w:t>
            </w:r>
          </w:p>
        </w:tc>
        <w:tc>
          <w:tcPr>
            <w:vAlign w:val="center"/>
          </w:tcPr>
          <w:p>
            <w:pPr/>
            <w:r>
              <w:t>双层钢窗</w:t>
            </w:r>
          </w:p>
        </w:tc>
        <w:tc>
          <w:tcPr>
            <w:vAlign w:val="center"/>
          </w:tcPr>
          <w:p>
            <w:pPr/>
            <w:r>
              <w:t>普通玻璃</w:t>
            </w:r>
          </w:p>
        </w:tc>
        <w:tc>
          <w:tcPr>
            <w:vAlign w:val="center"/>
          </w:tcPr>
          <w:p>
            <w:pPr/>
            <w:r>
              <w:t>0.89</w:t>
            </w:r>
          </w:p>
        </w:tc>
        <w:tc>
          <w:tcPr>
            <w:vAlign w:val="center"/>
          </w:tcPr>
          <w:p>
            <w:pPr/>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Pr="005B290E" w:rsidRDefault="00497264" w:rsidP="00497264">
      <w:pPr>
        <w:pStyle w:val="3"/>
      </w:pPr>
      <w:bookmarkStart w:id="65" w:name="天窗"/>
      <w:r w:rsidRPr="005B290E">
        <w:rPr>
          <w:rFonts w:hint="eastAsia"/>
        </w:rPr>
        <w:t>天</w:t>
      </w:r>
      <w:r w:rsidR="0048790D">
        <w:rPr>
          <w:rFonts w:hint="eastAsia"/>
        </w:rPr>
        <w:t xml:space="preserve"> </w:t>
      </w:r>
      <w:r w:rsidR="0048790D">
        <w:t xml:space="preserve"> </w:t>
      </w:r>
      <w:r w:rsidRPr="005B290E">
        <w:rPr>
          <w:rFonts w:hint="eastAsia"/>
        </w:rPr>
        <w:t>窗</w:t>
      </w:r>
      <w:bookmarkEnd w:id="62"/>
    </w:p>
    <w:bookmarkEnd w:id="65"/>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2431</w:t>
            </w:r>
          </w:p>
        </w:tc>
        <w:tc>
          <w:tcPr>
            <w:vAlign w:val="center"/>
          </w:tcPr>
          <w:p>
            <w:pPr/>
            <w:r>
              <w:t>2400</w:t>
            </w:r>
          </w:p>
        </w:tc>
        <w:tc>
          <w:tcPr>
            <w:vAlign w:val="center"/>
          </w:tcPr>
          <w:p>
            <w:pPr/>
            <w:r>
              <w:t>5.482</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pPr>
        <w:pStyle w:val="a0"/>
        <w:ind w:firstLineChars="0" w:firstLine="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AD6FDC" w:rsidRDefault="00AD6FDC" w:rsidP="00497264">
      <w:pPr>
        <w:pStyle w:val="a0"/>
        <w:ind w:firstLineChars="0" w:firstLine="0"/>
        <w:rPr>
          <w:rFonts w:ascii="宋体" w:hAnsi="宋体"/>
          <w:sz w:val="18"/>
          <w:szCs w:val="18"/>
          <w:lang w:val="en-US"/>
        </w:rPr>
      </w:pPr>
      <w:bookmarkStart w:id="66" w:name="窗污染折减系数"/>
      <w:bookmarkEnd w:id="66"/>
    </w:p>
    <w:p w:rsidR="004608B2" w:rsidRDefault="004608B2" w:rsidP="00BB56AF">
      <w:pPr>
        <w:pStyle w:val="1"/>
      </w:pPr>
      <w:bookmarkStart w:id="67" w:name="_Toc422822729"/>
      <w:r>
        <w:rPr>
          <w:rFonts w:hint="eastAsia"/>
        </w:rPr>
        <w:t>分析统计结果</w:t>
      </w:r>
      <w:bookmarkEnd w:id="67"/>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Style w:val="TableGrid"/>
        <w:tblW w:w="9225.7995605468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75.3999328613281"/>
        <w:gridCol w:w="1103.7000274658203"/>
        <w:gridCol w:w="1075.3999328613281"/>
        <w:gridCol w:w="848.99993896484375"/>
        <w:gridCol w:w="848.99993896484375"/>
        <w:gridCol w:w="1131.9999694824219"/>
        <w:gridCol w:w="1075.3999328613281"/>
        <w:gridCol w:w="1075.3999328613281"/>
        <w:gridCol w:w="990.49995422363281"/>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采光系数</w:t>
            </w:r>
            <w:r>
              <w:br/>
            </w:r>
            <w:r>
              <w:t>要求(%)</w:t>
            </w:r>
          </w:p>
        </w:tc>
        <w:tc>
          <w:tcPr>
            <w:vAlign w:val="center"/>
            <w:shd w:val="clear" w:color="auto" w:fill="E6E6E6"/>
          </w:tcPr>
          <w:p>
            <w:pPr>
              <w:jc w:val="center"/>
            </w:pPr>
            <w:r>
              <w:t>内区面积</w:t>
            </w:r>
            <w:r>
              <w:br/>
            </w:r>
            <w:r>
              <w:t>(m2)</w:t>
            </w:r>
          </w:p>
        </w:tc>
        <w:tc>
          <w:tcPr>
            <w:vAlign w:val="center"/>
            <w:shd w:val="clear" w:color="auto" w:fill="E6E6E6"/>
          </w:tcPr>
          <w:p>
            <w:pPr>
              <w:jc w:val="center"/>
            </w:pPr>
            <w:r>
              <w:t>达标面积</w:t>
            </w:r>
            <w:r>
              <w:br/>
            </w:r>
            <w:r>
              <w:t>(m2)</w:t>
            </w:r>
          </w:p>
        </w:tc>
        <w:tc>
          <w:tcPr>
            <w:vAlign w:val="center"/>
            <w:shd w:val="clear" w:color="auto" w:fill="E6E6E6"/>
          </w:tcPr>
          <w:p>
            <w:pPr>
              <w:jc w:val="center"/>
            </w:pPr>
            <w:r>
              <w:t>达标率</w:t>
            </w:r>
            <w:r>
              <w:br/>
            </w:r>
            <w:r>
              <w:t>(%)</w:t>
            </w:r>
          </w:p>
        </w:tc>
      </w:tr>
      <w:tr>
        <w:tc>
          <w:tcPr>
            <w:vAlign w:val="center"/>
            <w:vMerge w:val="restart"/>
          </w:tcPr>
          <w:p>
            <w:pPr>
              <w:jc w:val="center"/>
            </w:pPr>
            <w:r>
              <w:t>1</w:t>
            </w:r>
          </w:p>
        </w:tc>
        <w:tc>
          <w:tcPr>
            <w:vAlign w:val="center"/>
          </w:tcPr>
          <w:p>
            <w:pPr>
              <w:jc w:val="center"/>
            </w:pPr>
            <w:r>
              <w:t>1001</w:t>
            </w:r>
          </w:p>
        </w:tc>
        <w:tc>
          <w:tcPr>
            <w:vAlign w:val="center"/>
          </w:tcPr>
          <w:p>
            <w:pPr>
              <w:jc w:val="center"/>
            </w:pPr>
            <w:r>
              <w:t>门厅</w:t>
            </w:r>
          </w:p>
        </w:tc>
        <w:tc>
          <w:tcPr>
            <w:vAlign w:val="center"/>
          </w:tcPr>
          <w:p>
            <w:pPr>
              <w:jc w:val="center"/>
            </w:pPr>
            <w:r>
              <w:t>IV</w:t>
            </w:r>
          </w:p>
        </w:tc>
        <w:tc>
          <w:tcPr>
            <w:vAlign w:val="center"/>
          </w:tcPr>
          <w:p>
            <w:pPr>
              <w:jc w:val="center"/>
            </w:pPr>
            <w:r>
              <w:t>混合</w:t>
            </w:r>
          </w:p>
        </w:tc>
        <w:tc>
          <w:tcPr>
            <w:vAlign w:val="center"/>
          </w:tcPr>
          <w:p>
            <w:pPr>
              <w:jc w:val="center"/>
            </w:pPr>
            <w:r>
              <w:t>1.00</w:t>
            </w:r>
          </w:p>
        </w:tc>
        <w:tc>
          <w:tcPr>
            <w:vAlign w:val="center"/>
          </w:tcPr>
          <w:p>
            <w:pPr>
              <w:jc w:val="center"/>
            </w:pPr>
            <w:r>
              <w:t>94.24</w:t>
            </w:r>
          </w:p>
        </w:tc>
        <w:tc>
          <w:tcPr>
            <w:vAlign w:val="center"/>
          </w:tcPr>
          <w:p>
            <w:pPr>
              <w:jc w:val="center"/>
            </w:pPr>
            <w:r>
              <w:t>94.24</w:t>
            </w:r>
          </w:p>
        </w:tc>
        <w:tc>
          <w:tcPr>
            <w:vAlign w:val="center"/>
          </w:tcPr>
          <w:p>
            <w:pPr>
              <w:jc w:val="center"/>
            </w:pPr>
            <w:r>
              <w:t>100</w:t>
            </w:r>
          </w:p>
        </w:tc>
      </w:tr>
      <w:tr>
        <w:tc>
          <w:tcPr>
            <w:vAlign w:val="center"/>
            <w:vMerge/>
          </w:tcPr>
          <w:p>
            <w:pPr>
              <w:jc w:val="center"/>
            </w:pPr>
          </w:p>
        </w:tc>
        <w:tc>
          <w:tcPr>
            <w:vAlign w:val="center"/>
          </w:tcPr>
          <w:p>
            <w:pPr>
              <w:jc w:val="center"/>
            </w:pPr>
            <w:r>
              <w:t>1002</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87.12</w:t>
            </w:r>
          </w:p>
        </w:tc>
        <w:tc>
          <w:tcPr>
            <w:vAlign w:val="center"/>
          </w:tcPr>
          <w:p>
            <w:pPr>
              <w:jc w:val="center"/>
            </w:pPr>
            <w:r>
              <w:t>87.12</w:t>
            </w:r>
          </w:p>
        </w:tc>
        <w:tc>
          <w:tcPr>
            <w:vAlign w:val="center"/>
          </w:tcPr>
          <w:p>
            <w:pPr>
              <w:jc w:val="center"/>
            </w:pPr>
            <w:r>
              <w:t>100</w:t>
            </w:r>
          </w:p>
        </w:tc>
      </w:tr>
      <w:tr>
        <w:tc>
          <w:tcPr>
            <w:vAlign w:val="center"/>
            <w:vMerge/>
          </w:tcPr>
          <w:p>
            <w:pPr>
              <w:jc w:val="center"/>
            </w:pPr>
          </w:p>
        </w:tc>
        <w:tc>
          <w:tcPr>
            <w:vAlign w:val="center"/>
          </w:tcPr>
          <w:p>
            <w:pPr>
              <w:jc w:val="center"/>
            </w:pPr>
            <w:r>
              <w:t>1003</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78.41</w:t>
            </w:r>
          </w:p>
        </w:tc>
        <w:tc>
          <w:tcPr>
            <w:vAlign w:val="center"/>
          </w:tcPr>
          <w:p>
            <w:pPr>
              <w:jc w:val="center"/>
            </w:pPr>
            <w:r>
              <w:t>78.41</w:t>
            </w:r>
          </w:p>
        </w:tc>
        <w:tc>
          <w:tcPr>
            <w:vAlign w:val="center"/>
          </w:tcPr>
          <w:p>
            <w:pPr>
              <w:jc w:val="center"/>
            </w:pPr>
            <w:r>
              <w:t>100</w:t>
            </w:r>
          </w:p>
        </w:tc>
      </w:tr>
      <w:tr>
        <w:tc>
          <w:tcPr>
            <w:vAlign w:val="center"/>
            <w:vMerge/>
          </w:tcPr>
          <w:p>
            <w:pPr>
              <w:jc w:val="center"/>
            </w:pPr>
          </w:p>
        </w:tc>
        <w:tc>
          <w:tcPr>
            <w:vAlign w:val="center"/>
          </w:tcPr>
          <w:p>
            <w:pPr>
              <w:jc w:val="center"/>
            </w:pPr>
            <w:r>
              <w:t>1006</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99.09</w:t>
            </w:r>
          </w:p>
        </w:tc>
        <w:tc>
          <w:tcPr>
            <w:vAlign w:val="center"/>
          </w:tcPr>
          <w:p>
            <w:pPr>
              <w:jc w:val="center"/>
            </w:pPr>
            <w:r>
              <w:t>99.09</w:t>
            </w:r>
          </w:p>
        </w:tc>
        <w:tc>
          <w:tcPr>
            <w:vAlign w:val="center"/>
          </w:tcPr>
          <w:p>
            <w:pPr>
              <w:jc w:val="center"/>
            </w:pPr>
            <w:r>
              <w:t>100</w:t>
            </w:r>
          </w:p>
        </w:tc>
      </w:tr>
      <w:tr>
        <w:tc>
          <w:tcPr>
            <w:vAlign w:val="center"/>
            <w:vMerge/>
          </w:tcPr>
          <w:p>
            <w:pPr>
              <w:jc w:val="center"/>
            </w:pPr>
          </w:p>
        </w:tc>
        <w:tc>
          <w:tcPr>
            <w:vAlign w:val="center"/>
          </w:tcPr>
          <w:p>
            <w:pPr>
              <w:jc w:val="center"/>
            </w:pPr>
            <w:r>
              <w:t>1008</w:t>
            </w:r>
          </w:p>
        </w:tc>
        <w:tc>
          <w:tcPr>
            <w:vAlign w:val="center"/>
          </w:tcPr>
          <w:p>
            <w:pPr>
              <w:jc w:val="center"/>
            </w:pPr>
            <w:r>
              <w:t>开架书库</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8.43</w:t>
            </w:r>
          </w:p>
        </w:tc>
        <w:tc>
          <w:tcPr>
            <w:vAlign w:val="center"/>
          </w:tcPr>
          <w:p>
            <w:pPr>
              <w:jc w:val="center"/>
            </w:pPr>
            <w:r>
              <w:t>1.79</w:t>
            </w:r>
          </w:p>
        </w:tc>
        <w:tc>
          <w:tcPr>
            <w:vAlign w:val="center"/>
          </w:tcPr>
          <w:p>
            <w:pPr>
              <w:jc w:val="center"/>
            </w:pPr>
            <w:r>
              <w:t>21</w:t>
            </w:r>
          </w:p>
        </w:tc>
      </w:tr>
      <w:tr>
        <w:tc>
          <w:tcPr>
            <w:vAlign w:val="center"/>
            <w:vMerge/>
          </w:tcPr>
          <w:p>
            <w:pPr>
              <w:jc w:val="center"/>
            </w:pPr>
          </w:p>
        </w:tc>
        <w:tc>
          <w:tcPr>
            <w:vAlign w:val="center"/>
          </w:tcPr>
          <w:p>
            <w:pPr>
              <w:jc w:val="center"/>
            </w:pPr>
            <w:r>
              <w:t>1009</w:t>
            </w:r>
          </w:p>
        </w:tc>
        <w:tc>
          <w:tcPr>
            <w:vAlign w:val="center"/>
          </w:tcPr>
          <w:p>
            <w:pPr>
              <w:jc w:val="center"/>
            </w:pPr>
            <w:r>
              <w:t>复印室</w:t>
            </w:r>
          </w:p>
        </w:tc>
        <w:tc>
          <w:tcPr>
            <w:vAlign w:val="center"/>
          </w:tcPr>
          <w:p>
            <w:pPr>
              <w:jc w:val="center"/>
            </w:pPr>
            <w:r>
              <w:t>IV</w:t>
            </w:r>
          </w:p>
        </w:tc>
        <w:tc>
          <w:tcPr>
            <w:vAlign w:val="center"/>
          </w:tcPr>
          <w:p>
            <w:pPr>
              <w:jc w:val="center"/>
            </w:pPr>
            <w:r>
              <w:t>混合</w:t>
            </w:r>
          </w:p>
        </w:tc>
        <w:tc>
          <w:tcPr>
            <w:vAlign w:val="center"/>
          </w:tcPr>
          <w:p>
            <w:pPr>
              <w:jc w:val="center"/>
            </w:pPr>
            <w:r>
              <w:t>1.00</w:t>
            </w:r>
          </w:p>
        </w:tc>
        <w:tc>
          <w:tcPr>
            <w:vAlign w:val="center"/>
          </w:tcPr>
          <w:p>
            <w:pPr>
              <w:jc w:val="center"/>
            </w:pPr>
            <w:r>
              <w:t>12.13</w:t>
            </w:r>
          </w:p>
        </w:tc>
        <w:tc>
          <w:tcPr>
            <w:vAlign w:val="center"/>
          </w:tcPr>
          <w:p>
            <w:pPr>
              <w:jc w:val="center"/>
            </w:pPr>
            <w:r>
              <w:t>12.13</w:t>
            </w:r>
          </w:p>
        </w:tc>
        <w:tc>
          <w:tcPr>
            <w:vAlign w:val="center"/>
          </w:tcPr>
          <w:p>
            <w:pPr>
              <w:jc w:val="center"/>
            </w:pPr>
            <w:r>
              <w:t>100</w:t>
            </w:r>
          </w:p>
        </w:tc>
      </w:tr>
      <w:tr>
        <w:tc>
          <w:tcPr>
            <w:vAlign w:val="center"/>
            <w:vMerge w:val="restart"/>
          </w:tcPr>
          <w:p>
            <w:pPr>
              <w:jc w:val="center"/>
            </w:pPr>
            <w:r>
              <w:t>2</w:t>
            </w:r>
          </w:p>
        </w:tc>
        <w:tc>
          <w:tcPr>
            <w:vAlign w:val="center"/>
          </w:tcPr>
          <w:p>
            <w:pPr>
              <w:jc w:val="center"/>
            </w:pPr>
            <w:r>
              <w:t>2002</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87.92</w:t>
            </w:r>
          </w:p>
        </w:tc>
        <w:tc>
          <w:tcPr>
            <w:vAlign w:val="center"/>
          </w:tcPr>
          <w:p>
            <w:pPr>
              <w:jc w:val="center"/>
            </w:pPr>
            <w:r>
              <w:t>87.92</w:t>
            </w:r>
          </w:p>
        </w:tc>
        <w:tc>
          <w:tcPr>
            <w:vAlign w:val="center"/>
          </w:tcPr>
          <w:p>
            <w:pPr>
              <w:jc w:val="center"/>
            </w:pPr>
            <w:r>
              <w:t>100</w:t>
            </w:r>
          </w:p>
        </w:tc>
      </w:tr>
      <w:tr>
        <w:tc>
          <w:tcPr>
            <w:vAlign w:val="center"/>
            <w:vMerge/>
          </w:tcPr>
          <w:p>
            <w:pPr>
              <w:jc w:val="center"/>
            </w:pPr>
          </w:p>
        </w:tc>
        <w:tc>
          <w:tcPr>
            <w:vAlign w:val="center"/>
          </w:tcPr>
          <w:p>
            <w:pPr>
              <w:jc w:val="center"/>
            </w:pPr>
            <w:r>
              <w:t>2004</w:t>
            </w:r>
          </w:p>
        </w:tc>
        <w:tc>
          <w:tcPr>
            <w:vAlign w:val="center"/>
          </w:tcPr>
          <w:p>
            <w:pPr>
              <w:jc w:val="center"/>
            </w:pPr>
            <w:r>
              <w:t>门厅</w:t>
            </w:r>
          </w:p>
        </w:tc>
        <w:tc>
          <w:tcPr>
            <w:vAlign w:val="center"/>
          </w:tcPr>
          <w:p>
            <w:pPr>
              <w:jc w:val="center"/>
            </w:pPr>
            <w:r>
              <w:t>IV</w:t>
            </w:r>
          </w:p>
        </w:tc>
        <w:tc>
          <w:tcPr>
            <w:vAlign w:val="center"/>
          </w:tcPr>
          <w:p>
            <w:pPr>
              <w:jc w:val="center"/>
            </w:pPr>
            <w:r>
              <w:t>混合</w:t>
            </w:r>
          </w:p>
        </w:tc>
        <w:tc>
          <w:tcPr>
            <w:vAlign w:val="center"/>
          </w:tcPr>
          <w:p>
            <w:pPr>
              <w:jc w:val="center"/>
            </w:pPr>
            <w:r>
              <w:t>1.00</w:t>
            </w:r>
          </w:p>
        </w:tc>
        <w:tc>
          <w:tcPr>
            <w:vAlign w:val="center"/>
          </w:tcPr>
          <w:p>
            <w:pPr>
              <w:jc w:val="center"/>
            </w:pPr>
            <w:r>
              <w:t>68.71</w:t>
            </w:r>
          </w:p>
        </w:tc>
        <w:tc>
          <w:tcPr>
            <w:vAlign w:val="center"/>
          </w:tcPr>
          <w:p>
            <w:pPr>
              <w:jc w:val="center"/>
            </w:pPr>
            <w:r>
              <w:t>68.71</w:t>
            </w:r>
          </w:p>
        </w:tc>
        <w:tc>
          <w:tcPr>
            <w:vAlign w:val="center"/>
          </w:tcPr>
          <w:p>
            <w:pPr>
              <w:jc w:val="center"/>
            </w:pPr>
            <w:r>
              <w:t>100</w:t>
            </w:r>
          </w:p>
        </w:tc>
      </w:tr>
      <w:tr>
        <w:tc>
          <w:tcPr>
            <w:vAlign w:val="center"/>
            <w:vMerge/>
          </w:tcPr>
          <w:p>
            <w:pPr>
              <w:jc w:val="center"/>
            </w:pPr>
          </w:p>
        </w:tc>
        <w:tc>
          <w:tcPr>
            <w:vAlign w:val="center"/>
          </w:tcPr>
          <w:p>
            <w:pPr>
              <w:jc w:val="center"/>
            </w:pPr>
            <w:r>
              <w:t>2005</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120.86</w:t>
            </w:r>
          </w:p>
        </w:tc>
        <w:tc>
          <w:tcPr>
            <w:vAlign w:val="center"/>
          </w:tcPr>
          <w:p>
            <w:pPr>
              <w:jc w:val="center"/>
            </w:pPr>
            <w:r>
              <w:t>120.86</w:t>
            </w:r>
          </w:p>
        </w:tc>
        <w:tc>
          <w:tcPr>
            <w:vAlign w:val="center"/>
          </w:tcPr>
          <w:p>
            <w:pPr>
              <w:jc w:val="center"/>
            </w:pPr>
            <w:r>
              <w:t>100</w:t>
            </w:r>
          </w:p>
        </w:tc>
      </w:tr>
      <w:tr>
        <w:tc>
          <w:tcPr>
            <w:vAlign w:val="center"/>
            <w:vMerge/>
          </w:tcPr>
          <w:p>
            <w:pPr>
              <w:jc w:val="center"/>
            </w:pPr>
          </w:p>
        </w:tc>
        <w:tc>
          <w:tcPr>
            <w:vAlign w:val="center"/>
          </w:tcPr>
          <w:p>
            <w:pPr>
              <w:jc w:val="center"/>
            </w:pPr>
            <w:r>
              <w:t>2007</w:t>
            </w:r>
          </w:p>
        </w:tc>
        <w:tc>
          <w:tcPr>
            <w:vAlign w:val="center"/>
          </w:tcPr>
          <w:p>
            <w:pPr>
              <w:jc w:val="center"/>
            </w:pPr>
            <w:r>
              <w:t>展厅（单层及顶层）</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29.18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2008</w:t>
            </w:r>
          </w:p>
        </w:tc>
        <w:tc>
          <w:tcPr>
            <w:vAlign w:val="center"/>
          </w:tcPr>
          <w:p>
            <w:pPr>
              <w:jc w:val="center"/>
            </w:pPr>
            <w:r>
              <w:t>设计室</w:t>
            </w:r>
          </w:p>
        </w:tc>
        <w:tc>
          <w:tcPr>
            <w:vAlign w:val="center"/>
          </w:tcPr>
          <w:p>
            <w:pPr>
              <w:jc w:val="center"/>
            </w:pPr>
            <w:r>
              <w:t>II</w:t>
            </w:r>
          </w:p>
        </w:tc>
        <w:tc>
          <w:tcPr>
            <w:vAlign w:val="center"/>
          </w:tcPr>
          <w:p>
            <w:pPr>
              <w:jc w:val="center"/>
            </w:pPr>
            <w:r>
              <w:t>混合</w:t>
            </w:r>
          </w:p>
        </w:tc>
        <w:tc>
          <w:tcPr>
            <w:vAlign w:val="center"/>
          </w:tcPr>
          <w:p>
            <w:pPr>
              <w:jc w:val="center"/>
            </w:pPr>
            <w:r>
              <w:t>3.00</w:t>
            </w:r>
          </w:p>
        </w:tc>
        <w:tc>
          <w:tcPr>
            <w:vAlign w:val="center"/>
          </w:tcPr>
          <w:p>
            <w:pPr>
              <w:jc w:val="center"/>
            </w:pPr>
            <w:r>
              <w:t>41.70</w:t>
            </w:r>
          </w:p>
        </w:tc>
        <w:tc>
          <w:tcPr>
            <w:vAlign w:val="center"/>
          </w:tcPr>
          <w:p>
            <w:pPr>
              <w:jc w:val="center"/>
            </w:pPr>
            <w:r>
              <w:t>41.70</w:t>
            </w:r>
          </w:p>
        </w:tc>
        <w:tc>
          <w:tcPr>
            <w:vAlign w:val="center"/>
          </w:tcPr>
          <w:p>
            <w:pPr>
              <w:jc w:val="center"/>
            </w:pPr>
            <w:r>
              <w:t>100</w:t>
            </w:r>
          </w:p>
        </w:tc>
      </w:tr>
      <w:tr>
        <w:tc>
          <w:tcPr>
            <w:vAlign w:val="center"/>
            <w:vMerge/>
          </w:tcPr>
          <w:p>
            <w:pPr>
              <w:jc w:val="center"/>
            </w:pPr>
          </w:p>
        </w:tc>
        <w:tc>
          <w:tcPr>
            <w:vAlign w:val="center"/>
          </w:tcPr>
          <w:p>
            <w:pPr>
              <w:jc w:val="center"/>
            </w:pPr>
            <w:r>
              <w:t>2009</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58.93</w:t>
            </w:r>
          </w:p>
        </w:tc>
        <w:tc>
          <w:tcPr>
            <w:vAlign w:val="center"/>
          </w:tcPr>
          <w:p>
            <w:pPr>
              <w:jc w:val="center"/>
            </w:pPr>
            <w:r>
              <w:t>58.93</w:t>
            </w:r>
          </w:p>
        </w:tc>
        <w:tc>
          <w:tcPr>
            <w:vAlign w:val="center"/>
          </w:tcPr>
          <w:p>
            <w:pPr>
              <w:jc w:val="center"/>
            </w:pPr>
            <w:r>
              <w:t>100</w:t>
            </w:r>
          </w:p>
        </w:tc>
      </w:tr>
      <w:tr>
        <w:tc>
          <w:tcPr>
            <w:vAlign w:val="center"/>
            <w:vMerge/>
          </w:tcPr>
          <w:p>
            <w:pPr>
              <w:jc w:val="center"/>
            </w:pPr>
          </w:p>
        </w:tc>
        <w:tc>
          <w:tcPr>
            <w:vAlign w:val="center"/>
          </w:tcPr>
          <w:p>
            <w:pPr>
              <w:jc w:val="center"/>
            </w:pPr>
            <w:r>
              <w:t>2010</w:t>
            </w:r>
          </w:p>
        </w:tc>
        <w:tc>
          <w:tcPr>
            <w:vAlign w:val="center"/>
          </w:tcPr>
          <w:p>
            <w:pPr>
              <w:jc w:val="center"/>
            </w:pPr>
            <w:r>
              <w:t>展厅（单层及顶层）</w:t>
            </w:r>
          </w:p>
        </w:tc>
        <w:tc>
          <w:tcPr>
            <w:vAlign w:val="center"/>
          </w:tcPr>
          <w:p>
            <w:pPr>
              <w:jc w:val="center"/>
            </w:pPr>
            <w:r>
              <w:t>III</w:t>
            </w:r>
          </w:p>
        </w:tc>
        <w:tc>
          <w:tcPr>
            <w:vAlign w:val="center"/>
          </w:tcPr>
          <w:p>
            <w:pPr>
              <w:jc w:val="center"/>
            </w:pPr>
            <w:r>
              <w:t>顶部</w:t>
            </w:r>
          </w:p>
        </w:tc>
        <w:tc>
          <w:tcPr>
            <w:vAlign w:val="center"/>
          </w:tcPr>
          <w:p>
            <w:pPr>
              <w:jc w:val="center"/>
            </w:pPr>
            <w:r>
              <w:t>2.00</w:t>
            </w:r>
          </w:p>
        </w:tc>
        <w:tc>
          <w:tcPr>
            <w:vAlign w:val="center"/>
          </w:tcPr>
          <w:p>
            <w:pPr>
              <w:jc w:val="center"/>
            </w:pPr>
            <w:r>
              <w:t>57.79</w:t>
            </w:r>
          </w:p>
        </w:tc>
        <w:tc>
          <w:tcPr>
            <w:vAlign w:val="center"/>
          </w:tcPr>
          <w:p>
            <w:pPr>
              <w:jc w:val="center"/>
            </w:pPr>
            <w:r>
              <w:t>57.79</w:t>
            </w:r>
          </w:p>
        </w:tc>
        <w:tc>
          <w:tcPr>
            <w:vAlign w:val="center"/>
          </w:tcPr>
          <w:p>
            <w:pPr>
              <w:jc w:val="center"/>
            </w:pPr>
            <w:r>
              <w:t>100</w:t>
            </w:r>
          </w:p>
        </w:tc>
      </w:tr>
      <w:tr>
        <w:tc>
          <w:tcPr>
            <w:vAlign w:val="center"/>
            <w:vMerge/>
          </w:tcPr>
          <w:p>
            <w:pPr>
              <w:jc w:val="center"/>
            </w:pPr>
          </w:p>
        </w:tc>
        <w:tc>
          <w:tcPr>
            <w:vAlign w:val="center"/>
          </w:tcPr>
          <w:p>
            <w:pPr>
              <w:jc w:val="center"/>
            </w:pPr>
            <w:r>
              <w:t>2011</w:t>
            </w:r>
          </w:p>
        </w:tc>
        <w:tc>
          <w:tcPr>
            <w:vAlign w:val="center"/>
          </w:tcPr>
          <w:p>
            <w:pPr>
              <w:jc w:val="center"/>
            </w:pPr>
            <w:r>
              <w:t>设计室</w:t>
            </w:r>
          </w:p>
        </w:tc>
        <w:tc>
          <w:tcPr>
            <w:vAlign w:val="center"/>
          </w:tcPr>
          <w:p>
            <w:pPr>
              <w:jc w:val="center"/>
            </w:pPr>
            <w:r>
              <w:t>II</w:t>
            </w:r>
          </w:p>
        </w:tc>
        <w:tc>
          <w:tcPr>
            <w:vAlign w:val="center"/>
          </w:tcPr>
          <w:p>
            <w:pPr>
              <w:jc w:val="center"/>
            </w:pPr>
            <w:r>
              <w:t>混合</w:t>
            </w:r>
          </w:p>
        </w:tc>
        <w:tc>
          <w:tcPr>
            <w:vAlign w:val="center"/>
          </w:tcPr>
          <w:p>
            <w:pPr>
              <w:jc w:val="center"/>
            </w:pPr>
            <w:r>
              <w:t>3.00</w:t>
            </w:r>
          </w:p>
        </w:tc>
        <w:tc>
          <w:tcPr>
            <w:vAlign w:val="center"/>
          </w:tcPr>
          <w:p>
            <w:pPr>
              <w:jc w:val="center"/>
            </w:pPr>
            <w:r>
              <w:t>10.42</w:t>
            </w:r>
          </w:p>
        </w:tc>
        <w:tc>
          <w:tcPr>
            <w:vAlign w:val="center"/>
          </w:tcPr>
          <w:p>
            <w:pPr>
              <w:jc w:val="center"/>
            </w:pPr>
            <w:r>
              <w:t>10.42</w:t>
            </w:r>
          </w:p>
        </w:tc>
        <w:tc>
          <w:tcPr>
            <w:vAlign w:val="center"/>
          </w:tcPr>
          <w:p>
            <w:pPr>
              <w:jc w:val="center"/>
            </w:pPr>
            <w:r>
              <w:t>100</w:t>
            </w:r>
          </w:p>
        </w:tc>
      </w:tr>
      <w:tr>
        <w:tc>
          <w:tcPr>
            <w:vAlign w:val="center"/>
            <w:vMerge/>
          </w:tcPr>
          <w:p>
            <w:pPr>
              <w:jc w:val="center"/>
            </w:pPr>
          </w:p>
        </w:tc>
        <w:tc>
          <w:tcPr>
            <w:vAlign w:val="center"/>
          </w:tcPr>
          <w:p>
            <w:pPr>
              <w:jc w:val="center"/>
            </w:pPr>
            <w:r>
              <w:t>2015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9.24</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4.78</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2029</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5.59</w:t>
            </w:r>
          </w:p>
        </w:tc>
        <w:tc>
          <w:tcPr>
            <w:vAlign w:val="center"/>
          </w:tcPr>
          <w:p>
            <w:pPr>
              <w:jc w:val="center"/>
            </w:pPr>
            <w:r>
              <w:t>0.00</w:t>
            </w:r>
          </w:p>
        </w:tc>
        <w:tc>
          <w:tcPr>
            <w:vAlign w:val="center"/>
          </w:tcPr>
          <w:p>
            <w:pPr>
              <w:jc w:val="center"/>
            </w:pPr>
            <w:r>
              <w:t>0</w:t>
            </w:r>
          </w:p>
        </w:tc>
      </w:tr>
      <w:tr>
        <w:tc>
          <w:tcPr>
            <w:vAlign w:val="center"/>
            <w:vMerge/>
          </w:tcPr>
          <w:p>
            <w:pPr>
              <w:jc w:val="center"/>
            </w:pPr>
          </w:p>
        </w:tc>
        <w:tc>
          <w:tcPr>
            <w:vAlign w:val="center"/>
          </w:tcPr>
          <w:p>
            <w:pPr>
              <w:jc w:val="center"/>
            </w:pPr>
            <w:r>
              <w:t>2031</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2.00</w:t>
            </w:r>
          </w:p>
        </w:tc>
        <w:tc>
          <w:tcPr>
            <w:vAlign w:val="center"/>
          </w:tcPr>
          <w:p>
            <w:pPr>
              <w:jc w:val="center"/>
            </w:pPr>
            <w:r>
              <w:t>5.25</w:t>
            </w:r>
          </w:p>
        </w:tc>
        <w:tc>
          <w:tcPr>
            <w:vAlign w:val="center"/>
          </w:tcPr>
          <w:p>
            <w:pPr>
              <w:jc w:val="center"/>
            </w:pPr>
            <w:r>
              <w:t>0.00</w:t>
            </w:r>
          </w:p>
        </w:tc>
        <w:tc>
          <w:tcPr>
            <w:vAlign w:val="center"/>
          </w:tcPr>
          <w:p>
            <w:pPr>
              <w:jc w:val="center"/>
            </w:pPr>
            <w:r>
              <w:t>0</w:t>
            </w:r>
          </w:p>
        </w:tc>
      </w:tr>
    </w:tbl>
    <w:tbl>
      <w:tblPr>
        <w:tblStyle w:val="TableGrid"/>
        <w:tblW w:w="9225.79963684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86.6999816894531"/>
        <w:gridCol w:w="1301.7999267578125"/>
        <w:gridCol w:w="1358.3999633789063"/>
        <w:gridCol w:w="1443.2998657226563"/>
        <w:gridCol w:w="1245.1999664306641"/>
        <w:gridCol w:w="1245.1999664306641"/>
        <w:gridCol w:w="1245.1999664306641"/>
      </w:tblGrid>
      <w:tr>
        <w:tc>
          <w:tcPr>
            <w:vAlign w:val="center"/>
            <w:shd w:val="clear" w:color="auto" w:fill="E6E6E6"/>
            <w:vMerge w:val="restart"/>
          </w:tcPr>
          <w:p>
            <w:pPr>
              <w:jc w:val="center"/>
            </w:pPr>
            <w:r>
              <w:t>房间类型</w:t>
            </w:r>
          </w:p>
        </w:tc>
        <w:tc>
          <w:tcPr>
            <w:vAlign w:val="center"/>
            <w:shd w:val="clear" w:color="auto" w:fill="E6E6E6"/>
            <w:vMerge w:val="restart"/>
          </w:tcPr>
          <w:p>
            <w:pPr>
              <w:jc w:val="center"/>
            </w:pPr>
            <w:r>
              <w:t>采光类型</w:t>
            </w:r>
          </w:p>
        </w:tc>
        <w:tc>
          <w:tcPr>
            <w:vAlign w:val="center"/>
            <w:shd w:val="clear" w:color="auto" w:fill="E6E6E6"/>
            <w:gridSpan w:val="2"/>
          </w:tcPr>
          <w:p>
            <w:pPr>
              <w:jc w:val="center"/>
            </w:pPr>
            <w:r>
              <w:t>标准值</w:t>
            </w:r>
          </w:p>
        </w:tc>
        <w:tc>
          <w:tcPr>
            <w:vAlign w:val="center"/>
            <w:shd w:val="clear" w:color="auto" w:fill="E6E6E6"/>
            <w:gridSpan w:val="2"/>
          </w:tcPr>
          <w:p>
            <w:pPr>
              <w:jc w:val="center"/>
            </w:pPr>
            <w:r>
              <w:t>面积(m2)</w:t>
            </w:r>
          </w:p>
        </w:tc>
        <w:tc>
          <w:tcPr>
            <w:vAlign w:val="center"/>
            <w:shd w:val="clear" w:color="auto" w:fill="E6E6E6"/>
            <w:vMerge w:val="restart"/>
          </w:tcPr>
          <w:p>
            <w:pPr>
              <w:jc w:val="center"/>
            </w:pPr>
            <w:r>
              <w:t>达标率</w:t>
            </w:r>
            <w:r>
              <w:br/>
            </w:r>
            <w:r>
              <w:t>(%)</w:t>
            </w:r>
          </w:p>
        </w:tc>
      </w:tr>
      <w:tr>
        <w:tc>
          <w:tcPr>
            <w:vAlign w:val="center"/>
            <w:shd w:val="clear" w:color="auto" w:fill="E6E6E6"/>
            <w:vMerge/>
          </w:tcPr>
          <w:p>
            <w:pPr>
              <w:jc w:val="center"/>
            </w:pPr>
          </w:p>
        </w:tc>
        <w:tc>
          <w:tcPr>
            <w:vAlign w:val="center"/>
            <w:shd w:val="clear" w:color="auto" w:fill="E6E6E6"/>
            <w:vMerge/>
          </w:tcPr>
          <w:p>
            <w:pPr>
              <w:jc w:val="center"/>
            </w:pPr>
          </w:p>
        </w:tc>
        <w:tc>
          <w:tcPr>
            <w:vAlign w:val="center"/>
            <w:shd w:val="clear" w:color="auto" w:fill="E6E6E6"/>
          </w:tcPr>
          <w:p>
            <w:pPr>
              <w:jc w:val="center"/>
            </w:pPr>
            <w:r>
              <w:t>平均采光</w:t>
            </w:r>
            <w:r>
              <w:br/>
            </w:r>
            <w:r>
              <w:t>系数(%)</w:t>
            </w:r>
          </w:p>
        </w:tc>
        <w:tc>
          <w:tcPr>
            <w:vAlign w:val="center"/>
            <w:shd w:val="clear" w:color="auto" w:fill="E6E6E6"/>
          </w:tcPr>
          <w:p>
            <w:pPr>
              <w:jc w:val="center"/>
            </w:pPr>
            <w:r>
              <w:t>室内天然光</w:t>
            </w:r>
            <w:r>
              <w:br/>
            </w:r>
            <w:r>
              <w:t>设计照度(Lx)</w:t>
            </w:r>
          </w:p>
        </w:tc>
        <w:tc>
          <w:tcPr>
            <w:vAlign w:val="center"/>
            <w:shd w:val="clear" w:color="auto" w:fill="E6E6E6"/>
          </w:tcPr>
          <w:p>
            <w:pPr>
              <w:jc w:val="center"/>
            </w:pPr>
            <w:r>
              <w:t>总面积</w:t>
            </w:r>
          </w:p>
        </w:tc>
        <w:tc>
          <w:tcPr>
            <w:vAlign w:val="center"/>
            <w:shd w:val="clear" w:color="auto" w:fill="E6E6E6"/>
          </w:tcPr>
          <w:p>
            <w:pPr>
              <w:jc w:val="center"/>
            </w:pPr>
            <w:r>
              <w:t>达标面积</w:t>
            </w:r>
          </w:p>
        </w:tc>
        <w:tc>
          <w:tcPr>
            <w:vAlign w:val="center"/>
            <w:shd w:val="clear" w:color="auto" w:fill="E6E6E6"/>
            <w:vMerge/>
          </w:tcPr>
          <w:p>
            <w:pPr>
              <w:jc w:val="center"/>
            </w:pPr>
          </w:p>
        </w:tc>
      </w:tr>
      <w:tr>
        <w:tc>
          <w:tcPr>
            <w:vAlign w:val="center"/>
          </w:tcPr>
          <w:p>
            <w:pPr/>
            <w:r>
              <w:t>门厅</w:t>
            </w:r>
          </w:p>
        </w:tc>
        <w:tc>
          <w:tcPr>
            <w:vAlign w:val="center"/>
          </w:tcPr>
          <w:p>
            <w:pPr/>
            <w:r>
              <w:t>混合</w:t>
            </w:r>
          </w:p>
        </w:tc>
        <w:tc>
          <w:tcPr>
            <w:vAlign w:val="center"/>
          </w:tcPr>
          <w:p>
            <w:pPr/>
            <w:r>
              <w:t>1.00</w:t>
            </w:r>
          </w:p>
        </w:tc>
        <w:tc>
          <w:tcPr>
            <w:vAlign w:val="center"/>
          </w:tcPr>
          <w:p>
            <w:pPr/>
            <w:r>
              <w:t>－</w:t>
            </w:r>
          </w:p>
        </w:tc>
        <w:tc>
          <w:tcPr>
            <w:vAlign w:val="center"/>
          </w:tcPr>
          <w:p>
            <w:pPr/>
            <w:r>
              <w:t>162.96</w:t>
            </w:r>
          </w:p>
        </w:tc>
        <w:tc>
          <w:tcPr>
            <w:vAlign w:val="center"/>
          </w:tcPr>
          <w:p>
            <w:pPr/>
            <w:r>
              <w:t>162.96</w:t>
            </w:r>
          </w:p>
        </w:tc>
        <w:tc>
          <w:tcPr>
            <w:vAlign w:val="center"/>
          </w:tcPr>
          <w:p>
            <w:pPr/>
            <w:r>
              <w:t>100</w:t>
            </w:r>
          </w:p>
        </w:tc>
      </w:tr>
      <w:tr>
        <w:tc>
          <w:tcPr>
            <w:vAlign w:val="center"/>
          </w:tcPr>
          <w:p>
            <w:pPr/>
            <w:r>
              <w:t>展厅（单层及顶层）</w:t>
            </w:r>
          </w:p>
        </w:tc>
        <w:tc>
          <w:tcPr>
            <w:vAlign w:val="center"/>
          </w:tcPr>
          <w:p>
            <w:pPr/>
            <w:r>
              <w:t>顶部</w:t>
            </w:r>
          </w:p>
        </w:tc>
        <w:tc>
          <w:tcPr>
            <w:vAlign w:val="center"/>
          </w:tcPr>
          <w:p>
            <w:pPr/>
            <w:r>
              <w:t>2.00</w:t>
            </w:r>
          </w:p>
        </w:tc>
        <w:tc>
          <w:tcPr>
            <w:vAlign w:val="center"/>
          </w:tcPr>
          <w:p>
            <w:pPr/>
            <w:r>
              <w:t>300</w:t>
            </w:r>
          </w:p>
        </w:tc>
        <w:tc>
          <w:tcPr>
            <w:vAlign w:val="center"/>
          </w:tcPr>
          <w:p>
            <w:pPr/>
            <w:r>
              <w:t>590.12</w:t>
            </w:r>
          </w:p>
        </w:tc>
        <w:tc>
          <w:tcPr>
            <w:vAlign w:val="center"/>
          </w:tcPr>
          <w:p>
            <w:pPr/>
            <w:r>
              <w:t>590.12</w:t>
            </w:r>
          </w:p>
        </w:tc>
        <w:tc>
          <w:tcPr>
            <w:vAlign w:val="center"/>
          </w:tcPr>
          <w:p>
            <w:pPr/>
            <w:r>
              <w:t>100</w:t>
            </w:r>
          </w:p>
        </w:tc>
      </w:tr>
      <w:tr>
        <w:tc>
          <w:tcPr>
            <w:vAlign w:val="center"/>
          </w:tcPr>
          <w:p>
            <w:pPr/>
            <w:r>
              <w:t>开架书库</w:t>
            </w:r>
          </w:p>
        </w:tc>
        <w:tc>
          <w:tcPr>
            <w:vAlign w:val="center"/>
          </w:tcPr>
          <w:p>
            <w:pPr/>
            <w:r>
              <w:t>混合</w:t>
            </w:r>
          </w:p>
        </w:tc>
        <w:tc>
          <w:tcPr>
            <w:vAlign w:val="center"/>
          </w:tcPr>
          <w:p>
            <w:pPr/>
            <w:r>
              <w:t>2.00</w:t>
            </w:r>
          </w:p>
        </w:tc>
        <w:tc>
          <w:tcPr>
            <w:vAlign w:val="center"/>
          </w:tcPr>
          <w:p>
            <w:pPr/>
            <w:r>
              <w:t>－</w:t>
            </w:r>
          </w:p>
        </w:tc>
        <w:tc>
          <w:tcPr>
            <w:vAlign w:val="center"/>
          </w:tcPr>
          <w:p>
            <w:pPr/>
            <w:r>
              <w:t>8.43</w:t>
            </w:r>
          </w:p>
        </w:tc>
        <w:tc>
          <w:tcPr>
            <w:vAlign w:val="center"/>
          </w:tcPr>
          <w:p>
            <w:pPr/>
            <w:r>
              <w:t>1.79</w:t>
            </w:r>
          </w:p>
        </w:tc>
        <w:tc>
          <w:tcPr>
            <w:vAlign w:val="center"/>
          </w:tcPr>
          <w:p>
            <w:pPr/>
            <w:r>
              <w:t>21</w:t>
            </w:r>
          </w:p>
        </w:tc>
      </w:tr>
      <w:tr>
        <w:tc>
          <w:tcPr>
            <w:vAlign w:val="center"/>
          </w:tcPr>
          <w:p>
            <w:pPr/>
            <w:r>
              <w:t>复印室</w:t>
            </w:r>
          </w:p>
        </w:tc>
        <w:tc>
          <w:tcPr>
            <w:vAlign w:val="center"/>
          </w:tcPr>
          <w:p>
            <w:pPr/>
            <w:r>
              <w:t>混合</w:t>
            </w:r>
          </w:p>
        </w:tc>
        <w:tc>
          <w:tcPr>
            <w:vAlign w:val="center"/>
          </w:tcPr>
          <w:p>
            <w:pPr/>
            <w:r>
              <w:t>1.00</w:t>
            </w:r>
          </w:p>
        </w:tc>
        <w:tc>
          <w:tcPr>
            <w:vAlign w:val="center"/>
          </w:tcPr>
          <w:p>
            <w:pPr/>
            <w:r>
              <w:t>－</w:t>
            </w:r>
          </w:p>
        </w:tc>
        <w:tc>
          <w:tcPr>
            <w:vAlign w:val="center"/>
          </w:tcPr>
          <w:p>
            <w:pPr/>
            <w:r>
              <w:t>12.13</w:t>
            </w:r>
          </w:p>
        </w:tc>
        <w:tc>
          <w:tcPr>
            <w:vAlign w:val="center"/>
          </w:tcPr>
          <w:p>
            <w:pPr/>
            <w:r>
              <w:t>12.13</w:t>
            </w:r>
          </w:p>
        </w:tc>
        <w:tc>
          <w:tcPr>
            <w:vAlign w:val="center"/>
          </w:tcPr>
          <w:p>
            <w:pPr/>
            <w:r>
              <w:t>100</w:t>
            </w:r>
          </w:p>
        </w:tc>
      </w:tr>
      <w:tr>
        <w:tc>
          <w:tcPr>
            <w:vAlign w:val="center"/>
          </w:tcPr>
          <w:p>
            <w:pPr/>
            <w:r>
              <w:t>展厅（单层及顶层）</w:t>
            </w:r>
          </w:p>
        </w:tc>
        <w:tc>
          <w:tcPr>
            <w:vAlign w:val="center"/>
          </w:tcPr>
          <w:p>
            <w:pPr/>
            <w:r>
              <w:t>混合</w:t>
            </w:r>
          </w:p>
        </w:tc>
        <w:tc>
          <w:tcPr>
            <w:vAlign w:val="center"/>
          </w:tcPr>
          <w:p>
            <w:pPr/>
            <w:r>
              <w:t>2.00</w:t>
            </w:r>
          </w:p>
        </w:tc>
        <w:tc>
          <w:tcPr>
            <w:vAlign w:val="center"/>
          </w:tcPr>
          <w:p>
            <w:pPr/>
            <w:r>
              <w:t>－</w:t>
            </w:r>
          </w:p>
        </w:tc>
        <w:tc>
          <w:tcPr>
            <w:vAlign w:val="center"/>
          </w:tcPr>
          <w:p>
            <w:pPr/>
            <w:r>
              <w:t>29.18</w:t>
            </w:r>
          </w:p>
        </w:tc>
        <w:tc>
          <w:tcPr>
            <w:vAlign w:val="center"/>
          </w:tcPr>
          <w:p>
            <w:pPr/>
            <w:r>
              <w:t>0.00</w:t>
            </w:r>
          </w:p>
        </w:tc>
        <w:tc>
          <w:tcPr>
            <w:vAlign w:val="center"/>
          </w:tcPr>
          <w:p>
            <w:pPr/>
            <w:r>
              <w:t>0</w:t>
            </w:r>
          </w:p>
        </w:tc>
      </w:tr>
      <w:tr>
        <w:tc>
          <w:tcPr>
            <w:vAlign w:val="center"/>
          </w:tcPr>
          <w:p>
            <w:pPr/>
            <w:r>
              <w:t>设计室</w:t>
            </w:r>
          </w:p>
        </w:tc>
        <w:tc>
          <w:tcPr>
            <w:vAlign w:val="center"/>
          </w:tcPr>
          <w:p>
            <w:pPr/>
            <w:r>
              <w:t>混合</w:t>
            </w:r>
          </w:p>
        </w:tc>
        <w:tc>
          <w:tcPr>
            <w:vAlign w:val="center"/>
          </w:tcPr>
          <w:p>
            <w:pPr/>
            <w:r>
              <w:t>3.00</w:t>
            </w:r>
          </w:p>
        </w:tc>
        <w:tc>
          <w:tcPr>
            <w:vAlign w:val="center"/>
          </w:tcPr>
          <w:p>
            <w:pPr/>
            <w:r>
              <w:t>－</w:t>
            </w:r>
          </w:p>
        </w:tc>
        <w:tc>
          <w:tcPr>
            <w:vAlign w:val="center"/>
          </w:tcPr>
          <w:p>
            <w:pPr/>
            <w:r>
              <w:t>52.12</w:t>
            </w:r>
          </w:p>
        </w:tc>
        <w:tc>
          <w:tcPr>
            <w:vAlign w:val="center"/>
          </w:tcPr>
          <w:p>
            <w:pPr/>
            <w:r>
              <w:t>52.12</w:t>
            </w:r>
          </w:p>
        </w:tc>
        <w:tc>
          <w:tcPr>
            <w:vAlign w:val="center"/>
          </w:tcPr>
          <w:p>
            <w:pPr/>
            <w:r>
              <w:t>100</w:t>
            </w:r>
          </w:p>
        </w:tc>
      </w:tr>
      <w:tr>
        <w:tc>
          <w:tcPr>
            <w:vAlign w:val="center"/>
          </w:tcPr>
          <w:p>
            <w:pPr/>
            <w:r>
              <w:t>办公室</w:t>
            </w:r>
          </w:p>
        </w:tc>
        <w:tc>
          <w:tcPr>
            <w:vAlign w:val="center"/>
          </w:tcPr>
          <w:p>
            <w:pPr/>
            <w:r>
              <w:t>混合</w:t>
            </w:r>
          </w:p>
        </w:tc>
        <w:tc>
          <w:tcPr>
            <w:vAlign w:val="center"/>
          </w:tcPr>
          <w:p>
            <w:pPr/>
            <w:r>
              <w:t>2.00</w:t>
            </w:r>
          </w:p>
        </w:tc>
        <w:tc>
          <w:tcPr>
            <w:vAlign w:val="center"/>
          </w:tcPr>
          <w:p>
            <w:pPr/>
            <w:r>
              <w:t>－</w:t>
            </w:r>
          </w:p>
        </w:tc>
        <w:tc>
          <w:tcPr>
            <w:vAlign w:val="center"/>
          </w:tcPr>
          <w:p>
            <w:pPr/>
            <w:r>
              <w:t>24.86</w:t>
            </w:r>
          </w:p>
        </w:tc>
        <w:tc>
          <w:tcPr>
            <w:vAlign w:val="center"/>
          </w:tcPr>
          <w:p>
            <w:pPr/>
            <w:r>
              <w:t>0.00</w:t>
            </w:r>
          </w:p>
        </w:tc>
        <w:tc>
          <w:tcPr>
            <w:vAlign w:val="center"/>
          </w:tcPr>
          <w:p>
            <w:pPr/>
            <w:r>
              <w:t>0</w:t>
            </w:r>
          </w:p>
        </w:tc>
      </w:tr>
      <w:tr>
        <w:tc>
          <w:tcPr>
            <w:vAlign w:val="center"/>
            <w:gridSpan w:val="4"/>
          </w:tcPr>
          <w:p>
            <w:pPr/>
            <w:r>
              <w:t>总计达标面积比例(%)</w:t>
            </w:r>
          </w:p>
        </w:tc>
        <w:tc>
          <w:tcPr>
            <w:vAlign w:val="center"/>
            <w:gridSpan w:val="3"/>
          </w:tcPr>
          <w:p>
            <w:pPr/>
            <w:r>
              <w:t>93</w:t>
            </w:r>
          </w:p>
        </w:tc>
      </w:tr>
    </w:tbl>
    <w:p w:rsidR="0053349C" w:rsidRDefault="0053349C" w:rsidP="00A3571A">
      <w:pPr>
        <w:rPr>
          <w:lang w:val="en-US"/>
        </w:rPr>
      </w:pPr>
      <w:bookmarkStart w:id="68" w:name="达标率表格"/>
      <w:bookmarkEnd w:id="68"/>
    </w:p>
    <w:p w:rsidR="00497264" w:rsidRDefault="00497264" w:rsidP="00BB56AF">
      <w:pPr>
        <w:pStyle w:val="1"/>
      </w:pPr>
      <w:bookmarkStart w:id="69" w:name="_Toc422822730"/>
      <w:r>
        <w:rPr>
          <w:rFonts w:hint="eastAsia"/>
        </w:rPr>
        <w:t>达标率彩图</w:t>
      </w:r>
      <w:bookmarkEnd w:id="69"/>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bookmarkStart w:id="70" w:name="_GoBack"/>
      <w:bookmarkEnd w:id="70"/>
      <w:r>
        <w:rPr>
          <w:rFonts w:hint="eastAsia"/>
          <w:lang w:val="en-US"/>
        </w:rPr>
        <w:t>。</w:t>
      </w:r>
    </w:p>
    <w:p w:rsidR="007E4D37" w:rsidRDefault="007E4D37" w:rsidP="00E11010">
      <w:pPr>
        <w:rPr>
          <w:lang w:val="en-US"/>
        </w:rPr>
      </w:pPr>
      <w:bookmarkStart w:id="71" w:name="达标图"/>
      <w:bookmarkEnd w:id="71"/>
    </w:p>
    <w:p w:rsidR="0053349C" w:rsidRPr="006B4857" w:rsidRDefault="0053349C" w:rsidP="00E11010">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5210175"/>
            <wp:effectExtent l="0" t="0" r="0" b="0"/>
            <wp:docPr id="7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fb9b65fc704b1c"/>
                    <a:stretch>
                      <a:fillRect/>
                    </a:stretch>
                  </pic:blipFill>
                  <pic:spPr>
                    <a:xfrm>
                      <a:off x="0" y="0"/>
                      <a:ext cx="5667375" cy="5210175"/>
                    </a:xfrm>
                    <a:prstGeom prst="rect">
                      <a:avLst/>
                    </a:prstGeom>
                  </pic:spPr>
                </pic:pic>
              </a:graphicData>
            </a:graphic>
          </wp:inline>
        </drawing>
      </w:r>
    </w:p>
    <w:p>
      <w:pPr>
        <w:rPr>
          <w:sz w:val="18"/>
          <w:lang w:val="en-US"/>
        </w:rPr>
      </w:pPr>
      <w:r>
        <w:rPr>
          <w:sz w:val="18"/>
          <w:lang w:val="en-US"/>
        </w:rPr>
        <w:t>1层</w:t>
      </w:r>
    </w:p>
    <w:p>
      <w:pPr>
        <w:rPr>
          <w:sz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6315075"/>
            <wp:effectExtent l="0" t="0" r="0" b="0"/>
            <wp:docPr id="7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52bc2e188747fa"/>
                    <a:stretch>
                      <a:fillRect/>
                    </a:stretch>
                  </pic:blipFill>
                  <pic:spPr>
                    <a:xfrm>
                      <a:off x="0" y="0"/>
                      <a:ext cx="5667375" cy="6315075"/>
                    </a:xfrm>
                    <a:prstGeom prst="rect">
                      <a:avLst/>
                    </a:prstGeom>
                  </pic:spPr>
                </pic:pic>
              </a:graphicData>
            </a:graphic>
          </wp:inline>
        </drawing>
      </w:r>
    </w:p>
    <w:p>
      <w:pPr>
        <w:rPr>
          <w:sz w:val="18"/>
          <w:lang w:val="en-US"/>
        </w:rPr>
      </w:pPr>
      <w:r>
        <w:rPr>
          <w:sz w:val="18"/>
          <w:lang w:val="en-US"/>
        </w:rPr>
        <w:t>2层</w:t>
      </w:r>
    </w:p>
    <w:p>
      <w:pPr>
        <w:rPr>
          <w:sz w:val="18"/>
          <w:lang w:val="en-US"/>
        </w:rPr>
      </w:pPr>
    </w:p>
    <w:p w:rsidR="00497264" w:rsidRPr="00F42DDB" w:rsidRDefault="00497264" w:rsidP="00BB56AF">
      <w:pPr>
        <w:pStyle w:val="1"/>
      </w:pPr>
      <w:bookmarkStart w:id="72" w:name="_Toc422822731"/>
      <w:r>
        <w:rPr>
          <w:rFonts w:hint="eastAsia"/>
        </w:rPr>
        <w:t>评价结论</w:t>
      </w:r>
      <w:bookmarkEnd w:id="72"/>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73" w:name="采光面积"/>
            <w:r>
              <w:rPr>
                <w:rFonts w:hint="eastAsia"/>
              </w:rPr>
              <w:t>879.81</w:t>
            </w:r>
            <w:bookmarkEnd w:id="73"/>
          </w:p>
        </w:tc>
        <w:tc>
          <w:tcPr>
            <w:tcW w:w="3420" w:type="dxa"/>
            <w:vAlign w:val="center"/>
          </w:tcPr>
          <w:p w:rsidR="00497264" w:rsidRPr="00531BC0" w:rsidRDefault="00497264" w:rsidP="003308B0">
            <w:bookmarkStart w:id="74" w:name="达标面积"/>
            <w:r>
              <w:rPr>
                <w:rFonts w:hint="eastAsia"/>
              </w:rPr>
              <w:t>819.12</w:t>
            </w:r>
            <w:bookmarkEnd w:id="74"/>
          </w:p>
        </w:tc>
        <w:tc>
          <w:tcPr>
            <w:tcW w:w="1980" w:type="dxa"/>
            <w:vAlign w:val="center"/>
          </w:tcPr>
          <w:p w:rsidR="00497264" w:rsidRPr="00531BC0" w:rsidRDefault="00497264" w:rsidP="003308B0">
            <w:bookmarkStart w:id="75" w:name="达标率"/>
            <w:r>
              <w:rPr>
                <w:rFonts w:hint="eastAsia"/>
              </w:rPr>
              <w:t>93</w:t>
            </w:r>
            <w:bookmarkEnd w:id="75"/>
          </w:p>
        </w:tc>
        <w:tc>
          <w:tcPr>
            <w:tcW w:w="1260" w:type="dxa"/>
            <w:vAlign w:val="center"/>
          </w:tcPr>
          <w:p w:rsidR="00497264" w:rsidRPr="00531BC0" w:rsidRDefault="00497264" w:rsidP="003308B0">
            <w:bookmarkStart w:id="76" w:name="达标率得分"/>
            <w:r>
              <w:rPr>
                <w:rFonts w:hint="eastAsia"/>
              </w:rPr>
              <w:t>3</w:t>
            </w:r>
            <w:bookmarkEnd w:id="76"/>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AF" w:rsidRDefault="00CF4FAF" w:rsidP="00203A7D">
      <w:r>
        <w:separator/>
      </w:r>
    </w:p>
  </w:endnote>
  <w:endnote w:type="continuationSeparator" w:id="0">
    <w:p w:rsidR="00CF4FAF" w:rsidRDefault="00CF4F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84" w:rsidRDefault="00CF4FAF"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48790D">
      <w:rPr>
        <w:noProof/>
      </w:rPr>
      <w:t>6</w:t>
    </w:r>
    <w:r w:rsidR="00A03C84">
      <w:fldChar w:fldCharType="end"/>
    </w:r>
    <w:r w:rsidR="00A03C84">
      <w:rPr>
        <w:b/>
      </w:rPr>
      <w:t>/</w:t>
    </w:r>
    <w:fldSimple w:instr=" NUMPAGES  \* Arabic  \* MERGEFORMAT ">
      <w:r w:rsidR="0048790D">
        <w:rPr>
          <w:noProof/>
        </w:rPr>
        <w:t>6</w:t>
      </w:r>
    </w:fldSimple>
    <w:r w:rsidR="0048790D">
      <w:tab/>
      <w:t>Dali</w:t>
    </w:r>
  </w:p>
  <w:p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AF" w:rsidRDefault="00CF4FAF" w:rsidP="00203A7D">
      <w:r>
        <w:separator/>
      </w:r>
    </w:p>
  </w:footnote>
  <w:footnote w:type="continuationSeparator" w:id="0">
    <w:p w:rsidR="00CF4FAF" w:rsidRDefault="00CF4F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BE" w:rsidRPr="00764052" w:rsidRDefault="00CF4FAF" w:rsidP="0053349C">
    <w:pPr>
      <w:pStyle w:val="a4"/>
      <w:tabs>
        <w:tab w:val="clear" w:pos="8306"/>
        <w:tab w:val="right" w:pos="9214"/>
      </w:tabs>
      <w:ind w:right="-1"/>
      <w:jc w:val="right"/>
      <w:rPr>
        <w:szCs w:val="21"/>
      </w:rPr>
    </w:pPr>
    <w:r>
      <w:rPr>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85pt;margin-top:-6.35pt;width:88.7pt;height:23.25pt;z-index:1">
          <v:imagedata r:id="rId1" o:title=""/>
          <w10:wrap type="square"/>
        </v:shape>
      </w:pict>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d665a9cd-b359-4878-a276-a837c77cb741.png" Id="R6d153b4e746449d2" /><Relationship Type="http://schemas.openxmlformats.org/officeDocument/2006/relationships/image" Target="/word/media/ca51e624-6acf-4a3b-99cd-d3af643ef10b.png" Id="R7bfb9b65fc704b1c" /><Relationship Type="http://schemas.openxmlformats.org/officeDocument/2006/relationships/image" Target="/word/media/822204bc-19c8-4736-b266-600b312018c0.png" Id="R9f52bc2e188747fa"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7B5C1-5358-491D-81B1-DFD9DDE3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公建内区采光分析报告书.dotx</Template>
  <TotalTime>168</TotalTime>
  <Pages>6</Pages>
  <Words>456</Words>
  <Characters>2602</Characters>
  <Application>Microsoft Office Word</Application>
  <DocSecurity>0</DocSecurity>
  <Lines>21</Lines>
  <Paragraphs>6</Paragraphs>
  <ScaleCrop>false</ScaleCrop>
  <Company>ths</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LiuQY</dc:creator>
  <cp:keywords/>
  <cp:lastModifiedBy>Windows 用户</cp:lastModifiedBy>
  <cp:revision>31</cp:revision>
  <cp:lastPrinted>1899-12-31T16:00:00Z</cp:lastPrinted>
  <dcterms:created xsi:type="dcterms:W3CDTF">2016-12-05T07:50:00Z</dcterms:created>
  <dcterms:modified xsi:type="dcterms:W3CDTF">2021-12-07T07:46:00Z</dcterms:modified>
</cp:coreProperties>
</file>