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r>
              <w:rPr>
                <w:rFonts w:hint="eastAsia"/>
                <w:b/>
                <w:bCs/>
                <w:sz w:val="21"/>
                <w:szCs w:val="18"/>
                <w:lang w:val="en-US" w:eastAsia="zh-CN"/>
              </w:rPr>
              <w:t>琳琅珠玉“零碳”艺术馆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鞍山</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2023年12月16日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T18842551439</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_Toc9742 </w:instrText>
      </w:r>
      <w:r>
        <w:rPr>
          <w:rFonts w:ascii="宋体" w:hAnsi="宋体"/>
          <w:bCs w:val="0"/>
          <w:caps/>
        </w:rPr>
        <w:fldChar w:fldCharType="separate"/>
      </w:r>
      <w:r>
        <w:rPr>
          <w:rFonts w:hint="eastAsia"/>
        </w:rPr>
        <w:t>1 住区概况</w:t>
      </w:r>
      <w:r>
        <w:tab/>
      </w:r>
      <w:r>
        <w:fldChar w:fldCharType="begin"/>
      </w:r>
      <w:r>
        <w:instrText xml:space="preserve"> PAGEREF _Toc9742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_Toc23951 </w:instrText>
      </w:r>
      <w:r>
        <w:fldChar w:fldCharType="separate"/>
      </w:r>
      <w:r>
        <w:rPr>
          <w:rFonts w:hint="eastAsia"/>
        </w:rPr>
        <w:t>2 设计依据</w:t>
      </w:r>
      <w:r>
        <w:tab/>
      </w:r>
      <w:r>
        <w:fldChar w:fldCharType="begin"/>
      </w:r>
      <w:r>
        <w:instrText xml:space="preserve"> PAGEREF _Toc23951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_Toc23074 </w:instrText>
      </w:r>
      <w:r>
        <w:fldChar w:fldCharType="separate"/>
      </w:r>
      <w:r>
        <w:rPr>
          <w:rFonts w:hint="eastAsia"/>
        </w:rPr>
        <w:t>3 计算规定</w:t>
      </w:r>
      <w:r>
        <w:tab/>
      </w:r>
      <w:r>
        <w:fldChar w:fldCharType="begin"/>
      </w:r>
      <w:r>
        <w:instrText xml:space="preserve"> PAGEREF _Toc23074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_Toc6554 </w:instrText>
      </w:r>
      <w:r>
        <w:fldChar w:fldCharType="separate"/>
      </w:r>
      <w:r>
        <w:rPr>
          <w:rFonts w:hint="eastAsia"/>
          <w:lang w:val="en-GB"/>
        </w:rPr>
        <w:t xml:space="preserve">3.1 </w:t>
      </w:r>
      <w:r>
        <w:rPr>
          <w:rFonts w:hint="eastAsia"/>
        </w:rPr>
        <w:t>强制条文</w:t>
      </w:r>
      <w:r>
        <w:tab/>
      </w:r>
      <w:r>
        <w:fldChar w:fldCharType="begin"/>
      </w:r>
      <w:r>
        <w:instrText xml:space="preserve"> PAGEREF _Toc6554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_Toc8268 </w:instrText>
      </w:r>
      <w:r>
        <w:fldChar w:fldCharType="separate"/>
      </w:r>
      <w:r>
        <w:rPr>
          <w:rFonts w:hint="eastAsia"/>
          <w:lang w:val="en-GB"/>
        </w:rPr>
        <w:t xml:space="preserve">3.2 </w:t>
      </w:r>
      <w:r>
        <w:rPr>
          <w:rFonts w:hint="eastAsia"/>
        </w:rPr>
        <w:t>评价性设计</w:t>
      </w:r>
      <w:r>
        <w:tab/>
      </w:r>
      <w:r>
        <w:fldChar w:fldCharType="begin"/>
      </w:r>
      <w:r>
        <w:instrText xml:space="preserve"> PAGEREF _Toc8268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_Toc20180 </w:instrText>
      </w:r>
      <w:r>
        <w:fldChar w:fldCharType="separate"/>
      </w:r>
      <w:r>
        <w:rPr>
          <w:rFonts w:hint="eastAsia"/>
        </w:rPr>
        <w:t>4 计算方法</w:t>
      </w:r>
      <w:r>
        <w:tab/>
      </w:r>
      <w:r>
        <w:fldChar w:fldCharType="begin"/>
      </w:r>
      <w:r>
        <w:instrText xml:space="preserve"> PAGEREF _Toc20180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_Toc1429 </w:instrText>
      </w:r>
      <w:r>
        <w:fldChar w:fldCharType="separate"/>
      </w:r>
      <w:r>
        <w:rPr>
          <w:rFonts w:hint="eastAsia"/>
        </w:rPr>
        <w:t>5 计算参数</w:t>
      </w:r>
      <w:r>
        <w:tab/>
      </w:r>
      <w:r>
        <w:fldChar w:fldCharType="begin"/>
      </w:r>
      <w:r>
        <w:instrText xml:space="preserve"> PAGEREF _Toc1429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_Toc15285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_Toc15285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_Toc26075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_Toc26075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_Toc11973 </w:instrText>
      </w:r>
      <w:r>
        <w:fldChar w:fldCharType="separate"/>
      </w:r>
      <w:r>
        <w:rPr>
          <w:rFonts w:hint="eastAsia"/>
        </w:rPr>
        <w:t>6 指标概览</w:t>
      </w:r>
      <w:r>
        <w:tab/>
      </w:r>
      <w:r>
        <w:fldChar w:fldCharType="begin"/>
      </w:r>
      <w:r>
        <w:instrText xml:space="preserve"> PAGEREF _Toc11973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_Toc14114 </w:instrText>
      </w:r>
      <w:r>
        <w:fldChar w:fldCharType="separate"/>
      </w:r>
      <w:r>
        <w:rPr>
          <w:rFonts w:hint="eastAsia"/>
          <w:lang w:val="en-GB"/>
        </w:rPr>
        <w:t xml:space="preserve">6.1 </w:t>
      </w:r>
      <w:r>
        <w:rPr>
          <w:rFonts w:hint="eastAsia"/>
        </w:rPr>
        <w:t>建筑列表</w:t>
      </w:r>
      <w:r>
        <w:tab/>
      </w:r>
      <w:r>
        <w:fldChar w:fldCharType="begin"/>
      </w:r>
      <w:r>
        <w:instrText xml:space="preserve"> PAGEREF _Toc14114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_Toc2349 </w:instrText>
      </w:r>
      <w:r>
        <w:fldChar w:fldCharType="separate"/>
      </w:r>
      <w:r>
        <w:rPr>
          <w:rFonts w:hint="eastAsia"/>
          <w:lang w:val="en-GB"/>
        </w:rPr>
        <w:t xml:space="preserve">6.2 </w:t>
      </w:r>
      <w:r>
        <w:rPr>
          <w:rFonts w:hint="eastAsia"/>
        </w:rPr>
        <w:t>住区指标</w:t>
      </w:r>
      <w:r>
        <w:tab/>
      </w:r>
      <w:r>
        <w:fldChar w:fldCharType="begin"/>
      </w:r>
      <w:r>
        <w:instrText xml:space="preserve"> PAGEREF _Toc2349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_Toc21593 </w:instrText>
      </w:r>
      <w:r>
        <w:fldChar w:fldCharType="separate"/>
      </w:r>
      <w:r>
        <w:rPr>
          <w:rFonts w:hint="eastAsia"/>
        </w:rPr>
        <w:t>7 强条</w:t>
      </w:r>
      <w:r>
        <w:t>检查</w:t>
      </w:r>
      <w:r>
        <w:tab/>
      </w:r>
      <w:r>
        <w:fldChar w:fldCharType="begin"/>
      </w:r>
      <w:r>
        <w:instrText xml:space="preserve"> PAGEREF _Toc21593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_Toc26333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_Toc26333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_Toc27495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_Toc27495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_Toc8437 </w:instrText>
      </w:r>
      <w:r>
        <w:fldChar w:fldCharType="separate"/>
      </w:r>
      <w:r>
        <w:rPr>
          <w:rFonts w:hint="eastAsia"/>
        </w:rPr>
        <w:t>8 评价性设计</w:t>
      </w:r>
      <w:r>
        <w:tab/>
      </w:r>
      <w:r>
        <w:fldChar w:fldCharType="begin"/>
      </w:r>
      <w:r>
        <w:instrText xml:space="preserve"> PAGEREF _Toc8437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_Toc4219 </w:instrText>
      </w:r>
      <w:r>
        <w:fldChar w:fldCharType="separate"/>
      </w:r>
      <w:r>
        <w:rPr>
          <w:rFonts w:hint="eastAsia"/>
          <w:lang w:val="en-GB"/>
        </w:rPr>
        <w:t xml:space="preserve">8.1 </w:t>
      </w:r>
      <w:r>
        <w:rPr>
          <w:rFonts w:hint="eastAsia"/>
        </w:rPr>
        <w:t>平均热岛强度</w:t>
      </w:r>
      <w:r>
        <w:tab/>
      </w:r>
      <w:r>
        <w:fldChar w:fldCharType="begin"/>
      </w:r>
      <w:r>
        <w:instrText xml:space="preserve"> PAGEREF _Toc4219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_Toc17481 </w:instrText>
      </w:r>
      <w:r>
        <w:fldChar w:fldCharType="separate"/>
      </w:r>
      <w:r>
        <w:rPr>
          <w:rFonts w:hint="eastAsia"/>
          <w:lang w:val="en-GB"/>
        </w:rPr>
        <w:t xml:space="preserve">8.2 </w:t>
      </w:r>
      <w:r>
        <w:rPr>
          <w:rFonts w:hint="eastAsia"/>
        </w:rPr>
        <w:t>湿球黑球温度</w:t>
      </w:r>
      <w:r>
        <w:tab/>
      </w:r>
      <w:r>
        <w:fldChar w:fldCharType="begin"/>
      </w:r>
      <w:r>
        <w:instrText xml:space="preserve"> PAGEREF _Toc17481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_Toc18672 </w:instrText>
      </w:r>
      <w:r>
        <w:fldChar w:fldCharType="separate"/>
      </w:r>
      <w:r>
        <w:rPr>
          <w:rFonts w:hint="eastAsia"/>
        </w:rPr>
        <w:t>9 结论</w:t>
      </w:r>
      <w:r>
        <w:tab/>
      </w:r>
      <w:r>
        <w:fldChar w:fldCharType="begin"/>
      </w:r>
      <w:r>
        <w:instrText xml:space="preserve"> PAGEREF _Toc18672 \h </w:instrText>
      </w:r>
      <w:r>
        <w:fldChar w:fldCharType="separate"/>
      </w:r>
      <w:r>
        <w:t>10</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9742"/>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鞍山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41.12</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122.95</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ID</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23951"/>
      <w:bookmarkStart w:id="23" w:name="TitleFormat"/>
      <w:r>
        <w:rPr>
          <w:rFonts w:hint="eastAsia"/>
        </w:rPr>
        <w:t>设计依据</w:t>
      </w:r>
      <w:bookmarkEnd w:id="22"/>
    </w:p>
    <w:p>
      <w:pPr>
        <w:widowControl w:val="0"/>
        <w:spacing w:line="360" w:lineRule="auto"/>
        <w:jc w:val="left"/>
        <w:rPr>
          <w:kern w:val="2"/>
          <w:szCs w:val="24"/>
          <w:lang w:val="en-US"/>
        </w:rPr>
      </w:pPr>
      <w:bookmarkStart w:id="24" w:name="计算依据"/>
      <w:r>
        <w:t>1. 《绿色建筑评价标准》GB/T 50378-2019</w:t>
      </w:r>
      <w:r>
        <w:br w:type="textWrapping"/>
      </w:r>
      <w:r>
        <w:t>2. 《城市居住区热环境设计标准》JGJ 286-2013</w:t>
      </w:r>
      <w:bookmarkEnd w:id="23"/>
      <w:bookmarkEnd w:id="24"/>
    </w:p>
    <w:p>
      <w:pPr>
        <w:pStyle w:val="2"/>
      </w:pPr>
      <w:bookmarkStart w:id="25" w:name="_Toc23074"/>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6494769"/>
      <w:bookmarkStart w:id="27" w:name="_Toc6554"/>
      <w:r>
        <w:rPr>
          <w:rFonts w:hint="eastAsia"/>
        </w:rPr>
        <w:t>强制条文</w:t>
      </w:r>
      <w:bookmarkEnd w:id="26"/>
      <w:bookmarkEnd w:id="27"/>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8" w:name="_Toc16494771"/>
      <w:bookmarkStart w:id="29" w:name="_Toc8268"/>
      <w:r>
        <w:rPr>
          <w:rFonts w:hint="eastAsia"/>
        </w:rPr>
        <w:t>评价性设计</w:t>
      </w:r>
      <w:bookmarkEnd w:id="28"/>
      <w:bookmarkEnd w:id="29"/>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0" w:name="_Toc20180"/>
      <w:r>
        <w:rPr>
          <w:rFonts w:hint="eastAsia"/>
        </w:rPr>
        <w:t>计算方法</w:t>
      </w:r>
      <w:bookmarkEnd w:id="30"/>
    </w:p>
    <w:p>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6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6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6pt;width:295.2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6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4pt;width:7.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6pt;width:28.8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6pt;width:28.8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6pt;width:43.2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6pt;width:43.2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6pt;width:28.8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6pt;width:43.2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6pt;width:64.8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6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6pt;width:28.8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4pt;width:14.4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2pt;width:7.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6pt;width:28.8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4pt;width:7.2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4pt;width:7.2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2pt;width:21.6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2" w:name="_Toc1429"/>
      <w:r>
        <w:rPr>
          <w:rFonts w:hint="eastAsia"/>
        </w:rPr>
        <w:t>计算参数</w:t>
      </w:r>
      <w:bookmarkEnd w:id="32"/>
    </w:p>
    <w:p>
      <w:pPr>
        <w:pStyle w:val="4"/>
      </w:pPr>
      <w:bookmarkStart w:id="33" w:name="_Toc15285"/>
      <w:r>
        <w:rPr>
          <w:rFonts w:hint="eastAsia"/>
        </w:rPr>
        <w:t>典型气象日气象参数</w:t>
      </w:r>
      <w:bookmarkEnd w:id="3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18.1</w:t>
            </w:r>
          </w:p>
        </w:tc>
        <w:tc>
          <w:tcPr>
            <w:vAlign w:val="center"/>
          </w:tcPr>
          <w:p>
            <w:pPr>
              <w:jc w:val="center"/>
            </w:pPr>
            <w:r>
              <w:t>55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restart"/>
            <w:vAlign w:val="center"/>
          </w:tcPr>
          <w:p>
            <w:pPr>
              <w:jc w:val="center"/>
            </w:pPr>
            <w:r>
              <w:t>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17.5</w:t>
            </w:r>
          </w:p>
        </w:tc>
        <w:tc>
          <w:tcPr>
            <w:vAlign w:val="center"/>
          </w:tcPr>
          <w:p>
            <w:pPr>
              <w:jc w:val="center"/>
            </w:pPr>
            <w:r>
              <w:t>56</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17.2</w:t>
            </w:r>
          </w:p>
        </w:tc>
        <w:tc>
          <w:tcPr>
            <w:vAlign w:val="center"/>
          </w:tcPr>
          <w:p>
            <w:pPr>
              <w:jc w:val="center"/>
            </w:pPr>
            <w:r>
              <w:t>56</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17.1</w:t>
            </w:r>
          </w:p>
        </w:tc>
        <w:tc>
          <w:tcPr>
            <w:vAlign w:val="center"/>
          </w:tcPr>
          <w:p>
            <w:pPr>
              <w:jc w:val="center"/>
            </w:pPr>
            <w:r>
              <w:t>56</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17.3</w:t>
            </w:r>
          </w:p>
        </w:tc>
        <w:tc>
          <w:tcPr>
            <w:vAlign w:val="center"/>
          </w:tcPr>
          <w:p>
            <w:pPr>
              <w:jc w:val="center"/>
            </w:pPr>
            <w:r>
              <w:t>55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17.8</w:t>
            </w:r>
          </w:p>
        </w:tc>
        <w:tc>
          <w:tcPr>
            <w:vAlign w:val="center"/>
          </w:tcPr>
          <w:p>
            <w:pPr>
              <w:jc w:val="center"/>
            </w:pPr>
            <w:r>
              <w:t>54</w:t>
            </w:r>
          </w:p>
        </w:tc>
        <w:tc>
          <w:tcPr>
            <w:vAlign w:val="center"/>
          </w:tcPr>
          <w:p>
            <w:pPr>
              <w:jc w:val="center"/>
            </w:pPr>
            <w:r>
              <w:t>25.00</w:t>
            </w:r>
          </w:p>
        </w:tc>
        <w:tc>
          <w:tcPr>
            <w:vAlign w:val="center"/>
          </w:tcPr>
          <w:p>
            <w:pPr>
              <w:jc w:val="center"/>
            </w:pPr>
            <w:r>
              <w:t>13.89</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18.5</w:t>
            </w:r>
          </w:p>
        </w:tc>
        <w:tc>
          <w:tcPr>
            <w:vAlign w:val="center"/>
          </w:tcPr>
          <w:p>
            <w:pPr>
              <w:jc w:val="center"/>
            </w:pPr>
            <w:r>
              <w:t>52</w:t>
            </w:r>
          </w:p>
        </w:tc>
        <w:tc>
          <w:tcPr>
            <w:vAlign w:val="center"/>
          </w:tcPr>
          <w:p>
            <w:pPr>
              <w:jc w:val="center"/>
            </w:pPr>
            <w:r>
              <w:t>127.78</w:t>
            </w:r>
          </w:p>
        </w:tc>
        <w:tc>
          <w:tcPr>
            <w:vAlign w:val="center"/>
          </w:tcPr>
          <w:p>
            <w:pPr>
              <w:jc w:val="center"/>
            </w:pPr>
            <w:r>
              <w:t>52.78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19.4</w:t>
            </w:r>
          </w:p>
        </w:tc>
        <w:tc>
          <w:tcPr>
            <w:vAlign w:val="center"/>
          </w:tcPr>
          <w:p>
            <w:pPr>
              <w:jc w:val="center"/>
            </w:pPr>
            <w:r>
              <w:t>49</w:t>
            </w:r>
          </w:p>
        </w:tc>
        <w:tc>
          <w:tcPr>
            <w:vAlign w:val="center"/>
          </w:tcPr>
          <w:p>
            <w:pPr>
              <w:jc w:val="center"/>
            </w:pPr>
            <w:r>
              <w:t>252.78</w:t>
            </w:r>
          </w:p>
        </w:tc>
        <w:tc>
          <w:tcPr>
            <w:vAlign w:val="center"/>
          </w:tcPr>
          <w:p>
            <w:pPr>
              <w:jc w:val="center"/>
            </w:pPr>
            <w:r>
              <w:t>100.00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20.5</w:t>
            </w:r>
          </w:p>
        </w:tc>
        <w:tc>
          <w:tcPr>
            <w:vAlign w:val="center"/>
          </w:tcPr>
          <w:p>
            <w:pPr>
              <w:jc w:val="center"/>
            </w:pPr>
            <w:r>
              <w:t>46</w:t>
            </w:r>
          </w:p>
        </w:tc>
        <w:tc>
          <w:tcPr>
            <w:vAlign w:val="center"/>
          </w:tcPr>
          <w:p>
            <w:pPr>
              <w:jc w:val="center"/>
            </w:pPr>
            <w:r>
              <w:t>383.33</w:t>
            </w:r>
          </w:p>
        </w:tc>
        <w:tc>
          <w:tcPr>
            <w:vAlign w:val="center"/>
          </w:tcPr>
          <w:p>
            <w:pPr>
              <w:jc w:val="center"/>
            </w:pPr>
            <w:r>
              <w:t>136.11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21.7</w:t>
            </w:r>
          </w:p>
        </w:tc>
        <w:tc>
          <w:tcPr>
            <w:vAlign w:val="center"/>
          </w:tcPr>
          <w:p>
            <w:pPr>
              <w:jc w:val="center"/>
            </w:pPr>
            <w:r>
              <w:t>43</w:t>
            </w:r>
          </w:p>
        </w:tc>
        <w:tc>
          <w:tcPr>
            <w:vAlign w:val="center"/>
          </w:tcPr>
          <w:p>
            <w:pPr>
              <w:jc w:val="center"/>
            </w:pPr>
            <w:r>
              <w:t>513.89</w:t>
            </w:r>
          </w:p>
        </w:tc>
        <w:tc>
          <w:tcPr>
            <w:vAlign w:val="center"/>
          </w:tcPr>
          <w:p>
            <w:pPr>
              <w:jc w:val="center"/>
            </w:pPr>
            <w:r>
              <w:t>175.00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22.9</w:t>
            </w:r>
          </w:p>
        </w:tc>
        <w:tc>
          <w:tcPr>
            <w:vAlign w:val="center"/>
          </w:tcPr>
          <w:p>
            <w:pPr>
              <w:jc w:val="center"/>
            </w:pPr>
            <w:r>
              <w:t>40</w:t>
            </w:r>
          </w:p>
        </w:tc>
        <w:tc>
          <w:tcPr>
            <w:vAlign w:val="center"/>
          </w:tcPr>
          <w:p>
            <w:pPr>
              <w:jc w:val="center"/>
            </w:pPr>
            <w:r>
              <w:t>619.44</w:t>
            </w:r>
          </w:p>
        </w:tc>
        <w:tc>
          <w:tcPr>
            <w:vAlign w:val="center"/>
          </w:tcPr>
          <w:p>
            <w:pPr>
              <w:jc w:val="center"/>
            </w:pPr>
            <w:r>
              <w:t>200.00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24.0</w:t>
            </w:r>
          </w:p>
        </w:tc>
        <w:tc>
          <w:tcPr>
            <w:vAlign w:val="center"/>
          </w:tcPr>
          <w:p>
            <w:pPr>
              <w:jc w:val="center"/>
            </w:pPr>
            <w:r>
              <w:t>37</w:t>
            </w:r>
          </w:p>
        </w:tc>
        <w:tc>
          <w:tcPr>
            <w:vAlign w:val="center"/>
          </w:tcPr>
          <w:p>
            <w:pPr>
              <w:jc w:val="center"/>
            </w:pPr>
            <w:r>
              <w:t>694.44</w:t>
            </w:r>
          </w:p>
        </w:tc>
        <w:tc>
          <w:tcPr>
            <w:vAlign w:val="center"/>
          </w:tcPr>
          <w:p>
            <w:pPr>
              <w:jc w:val="center"/>
            </w:pPr>
            <w:r>
              <w:t>222.22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25.0</w:t>
            </w:r>
          </w:p>
        </w:tc>
        <w:tc>
          <w:tcPr>
            <w:vAlign w:val="center"/>
          </w:tcPr>
          <w:p>
            <w:pPr>
              <w:jc w:val="center"/>
            </w:pPr>
            <w:r>
              <w:t>34</w:t>
            </w:r>
          </w:p>
        </w:tc>
        <w:tc>
          <w:tcPr>
            <w:vAlign w:val="center"/>
          </w:tcPr>
          <w:p>
            <w:pPr>
              <w:jc w:val="center"/>
            </w:pPr>
            <w:r>
              <w:t>719.44</w:t>
            </w:r>
          </w:p>
        </w:tc>
        <w:tc>
          <w:tcPr>
            <w:vAlign w:val="center"/>
          </w:tcPr>
          <w:p>
            <w:pPr>
              <w:jc w:val="center"/>
            </w:pPr>
            <w:r>
              <w:t>227.78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25.8</w:t>
            </w:r>
          </w:p>
        </w:tc>
        <w:tc>
          <w:tcPr>
            <w:vAlign w:val="center"/>
          </w:tcPr>
          <w:p>
            <w:pPr>
              <w:jc w:val="center"/>
            </w:pPr>
            <w:r>
              <w:t>33</w:t>
            </w:r>
          </w:p>
        </w:tc>
        <w:tc>
          <w:tcPr>
            <w:vAlign w:val="center"/>
          </w:tcPr>
          <w:p>
            <w:pPr>
              <w:jc w:val="center"/>
            </w:pPr>
            <w:r>
              <w:t>697.22</w:t>
            </w:r>
          </w:p>
        </w:tc>
        <w:tc>
          <w:tcPr>
            <w:vAlign w:val="center"/>
          </w:tcPr>
          <w:p>
            <w:pPr>
              <w:jc w:val="center"/>
            </w:pPr>
            <w:r>
              <w:t>225.00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26.3</w:t>
            </w:r>
          </w:p>
        </w:tc>
        <w:tc>
          <w:tcPr>
            <w:vAlign w:val="center"/>
          </w:tcPr>
          <w:p>
            <w:pPr>
              <w:jc w:val="center"/>
            </w:pPr>
            <w:r>
              <w:t>33</w:t>
            </w:r>
          </w:p>
        </w:tc>
        <w:tc>
          <w:tcPr>
            <w:vAlign w:val="center"/>
          </w:tcPr>
          <w:p>
            <w:pPr>
              <w:jc w:val="center"/>
            </w:pPr>
            <w:r>
              <w:t>630.56</w:t>
            </w:r>
          </w:p>
        </w:tc>
        <w:tc>
          <w:tcPr>
            <w:vAlign w:val="center"/>
          </w:tcPr>
          <w:p>
            <w:pPr>
              <w:jc w:val="center"/>
            </w:pPr>
            <w:r>
              <w:t>211.11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26.4</w:t>
            </w:r>
          </w:p>
        </w:tc>
        <w:tc>
          <w:tcPr>
            <w:vAlign w:val="center"/>
          </w:tcPr>
          <w:p>
            <w:pPr>
              <w:jc w:val="center"/>
            </w:pPr>
            <w:r>
              <w:t>33</w:t>
            </w:r>
          </w:p>
        </w:tc>
        <w:tc>
          <w:tcPr>
            <w:vAlign w:val="center"/>
          </w:tcPr>
          <w:p>
            <w:pPr>
              <w:jc w:val="center"/>
            </w:pPr>
            <w:r>
              <w:t>525.00</w:t>
            </w:r>
          </w:p>
        </w:tc>
        <w:tc>
          <w:tcPr>
            <w:vAlign w:val="center"/>
          </w:tcPr>
          <w:p>
            <w:pPr>
              <w:jc w:val="center"/>
            </w:pPr>
            <w:r>
              <w:t>183.33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26.3</w:t>
            </w:r>
          </w:p>
        </w:tc>
        <w:tc>
          <w:tcPr>
            <w:vAlign w:val="center"/>
          </w:tcPr>
          <w:p>
            <w:pPr>
              <w:jc w:val="center"/>
            </w:pPr>
            <w:r>
              <w:t>35</w:t>
            </w:r>
          </w:p>
        </w:tc>
        <w:tc>
          <w:tcPr>
            <w:vAlign w:val="center"/>
          </w:tcPr>
          <w:p>
            <w:pPr>
              <w:jc w:val="center"/>
            </w:pPr>
            <w:r>
              <w:t>397.22</w:t>
            </w:r>
          </w:p>
        </w:tc>
        <w:tc>
          <w:tcPr>
            <w:vAlign w:val="center"/>
          </w:tcPr>
          <w:p>
            <w:pPr>
              <w:jc w:val="center"/>
            </w:pPr>
            <w:r>
              <w:t>150.00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26.0</w:t>
            </w:r>
          </w:p>
        </w:tc>
        <w:tc>
          <w:tcPr>
            <w:vAlign w:val="center"/>
          </w:tcPr>
          <w:p>
            <w:pPr>
              <w:jc w:val="center"/>
            </w:pPr>
            <w:r>
              <w:t>37</w:t>
            </w:r>
          </w:p>
        </w:tc>
        <w:tc>
          <w:tcPr>
            <w:vAlign w:val="center"/>
          </w:tcPr>
          <w:p>
            <w:pPr>
              <w:jc w:val="center"/>
            </w:pPr>
            <w:r>
              <w:t>263.89</w:t>
            </w:r>
          </w:p>
        </w:tc>
        <w:tc>
          <w:tcPr>
            <w:vAlign w:val="center"/>
          </w:tcPr>
          <w:p>
            <w:pPr>
              <w:jc w:val="center"/>
            </w:pPr>
            <w:r>
              <w:t>108.33</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25.4</w:t>
            </w:r>
          </w:p>
        </w:tc>
        <w:tc>
          <w:tcPr>
            <w:vAlign w:val="center"/>
          </w:tcPr>
          <w:p>
            <w:pPr>
              <w:jc w:val="center"/>
            </w:pPr>
            <w:r>
              <w:t>39</w:t>
            </w:r>
          </w:p>
        </w:tc>
        <w:tc>
          <w:tcPr>
            <w:vAlign w:val="center"/>
          </w:tcPr>
          <w:p>
            <w:pPr>
              <w:jc w:val="center"/>
            </w:pPr>
            <w:r>
              <w:t>138.89</w:t>
            </w:r>
          </w:p>
        </w:tc>
        <w:tc>
          <w:tcPr>
            <w:vAlign w:val="center"/>
          </w:tcPr>
          <w:p>
            <w:pPr>
              <w:jc w:val="center"/>
            </w:pPr>
            <w:r>
              <w:t>63.89</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24.7</w:t>
            </w:r>
          </w:p>
        </w:tc>
        <w:tc>
          <w:tcPr>
            <w:vAlign w:val="center"/>
          </w:tcPr>
          <w:p>
            <w:pPr>
              <w:jc w:val="center"/>
            </w:pPr>
            <w:r>
              <w:t>41</w:t>
            </w:r>
          </w:p>
        </w:tc>
        <w:tc>
          <w:tcPr>
            <w:vAlign w:val="center"/>
          </w:tcPr>
          <w:p>
            <w:pPr>
              <w:jc w:val="center"/>
            </w:pPr>
            <w:r>
              <w:t>33.33</w:t>
            </w:r>
          </w:p>
        </w:tc>
        <w:tc>
          <w:tcPr>
            <w:vAlign w:val="center"/>
          </w:tcPr>
          <w:p>
            <w:pPr>
              <w:jc w:val="center"/>
            </w:pPr>
            <w:r>
              <w:t>19.44</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23.8</w:t>
            </w:r>
          </w:p>
        </w:tc>
        <w:tc>
          <w:tcPr>
            <w:vAlign w:val="center"/>
          </w:tcPr>
          <w:p>
            <w:pPr>
              <w:jc w:val="center"/>
            </w:pPr>
            <w:r>
              <w:t>43</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22.8</w:t>
            </w:r>
          </w:p>
        </w:tc>
        <w:tc>
          <w:tcPr>
            <w:vAlign w:val="center"/>
          </w:tcPr>
          <w:p>
            <w:pPr>
              <w:jc w:val="center"/>
            </w:pPr>
            <w:r>
              <w:t>45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21.8</w:t>
            </w:r>
          </w:p>
        </w:tc>
        <w:tc>
          <w:tcPr>
            <w:vAlign w:val="center"/>
          </w:tcPr>
          <w:p>
            <w:pPr>
              <w:jc w:val="center"/>
            </w:pPr>
            <w:r>
              <w:t>47</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20.9</w:t>
            </w:r>
          </w:p>
        </w:tc>
        <w:tc>
          <w:tcPr>
            <w:vAlign w:val="center"/>
          </w:tcPr>
          <w:p>
            <w:pPr>
              <w:jc w:val="center"/>
            </w:pPr>
            <w:r>
              <w:t>49</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22.0</w:t>
            </w:r>
          </w:p>
        </w:tc>
        <w:tc>
          <w:tcPr>
            <w:vAlign w:val="center"/>
          </w:tcPr>
          <w:p>
            <w:pPr>
              <w:jc w:val="center"/>
            </w:pPr>
            <w:r>
              <w:t>45</w:t>
            </w:r>
          </w:p>
        </w:tc>
        <w:tc>
          <w:tcPr>
            <w:vAlign w:val="center"/>
          </w:tcPr>
          <w:p>
            <w:pPr>
              <w:jc w:val="center"/>
            </w:pPr>
            <w:r>
              <w:t>250.93</w:t>
            </w:r>
          </w:p>
        </w:tc>
        <w:tc>
          <w:tcPr>
            <w:vAlign w:val="center"/>
          </w:tcPr>
          <w:p>
            <w:pPr>
              <w:jc w:val="center"/>
            </w:pPr>
            <w:r>
              <w:t>87.04</w:t>
            </w:r>
          </w:p>
        </w:tc>
        <w:tc>
          <w:tcPr>
            <w:vAlign w:val="center"/>
          </w:tcPr>
          <w:p>
            <w:pPr>
              <w:jc w:val="center"/>
            </w:pPr>
            <w:r>
              <w:t>1.8</w:t>
            </w:r>
          </w:p>
        </w:tc>
        <w:tc>
          <w:tcPr>
            <w:vMerge w:val="continue"/>
            <w:vAlign w:val="center"/>
          </w:tcPr>
          <w:p>
            <w:pPr>
              <w:jc w:val="center"/>
            </w:pPr>
          </w:p>
        </w:tc>
      </w:tr>
    </w:tbl>
    <w:p>
      <w:pPr>
        <w:pStyle w:val="3"/>
        <w:ind w:firstLine="0" w:firstLineChars="0"/>
        <w:rPr>
          <w:lang w:val="en-US"/>
        </w:rPr>
      </w:pPr>
      <w:bookmarkStart w:id="34" w:name="气象参数"/>
      <w:bookmarkEnd w:id="34"/>
    </w:p>
    <w:p>
      <w:pPr>
        <w:pStyle w:val="4"/>
      </w:pPr>
      <w:bookmarkStart w:id="35" w:name="_Toc26075"/>
      <w:r>
        <w:rPr>
          <w:rFonts w:hint="eastAsia"/>
        </w:rPr>
        <w:t>渗透面夏季逐时蒸发量</w:t>
      </w:r>
      <w:bookmarkEnd w:id="3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6" w:name="蒸发量参数"/>
      <w:bookmarkEnd w:id="36"/>
    </w:p>
    <w:p>
      <w:pPr>
        <w:pStyle w:val="2"/>
      </w:pPr>
      <w:bookmarkStart w:id="37" w:name="_Toc11973"/>
      <w:r>
        <w:rPr>
          <w:rFonts w:hint="eastAsia"/>
        </w:rPr>
        <w:t>指标概览</w:t>
      </w:r>
      <w:bookmarkEnd w:id="37"/>
    </w:p>
    <w:p>
      <w:pPr>
        <w:pStyle w:val="4"/>
      </w:pPr>
      <w:bookmarkStart w:id="38" w:name="_Toc14114"/>
      <w:r>
        <w:rPr>
          <w:rFonts w:hint="eastAsia"/>
        </w:rPr>
        <w:t>建筑列表</w:t>
      </w:r>
      <w:bookmarkEnd w:id="3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9" w:name="建筑列表"/>
      <w:bookmarkEnd w:id="39"/>
    </w:p>
    <w:p>
      <w:pPr>
        <w:pStyle w:val="4"/>
      </w:pPr>
      <w:bookmarkStart w:id="40" w:name="_Toc2349"/>
      <w:r>
        <w:rPr>
          <w:rFonts w:hint="eastAsia"/>
        </w:rPr>
        <w:t>住区指标</w:t>
      </w:r>
      <w:bookmarkEnd w:id="4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25735.13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24191.47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255.95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663.82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50.79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61.59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828.65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18437.80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418.77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41" w:name="住区指标概览"/>
      <w:bookmarkEnd w:id="41"/>
    </w:p>
    <w:p>
      <w:pPr>
        <w:pStyle w:val="2"/>
      </w:pPr>
      <w:bookmarkStart w:id="42" w:name="_Toc16494776"/>
      <w:bookmarkStart w:id="43" w:name="_Toc21593"/>
      <w:r>
        <w:rPr>
          <w:rFonts w:hint="eastAsia"/>
        </w:rPr>
        <w:t>强</w:t>
      </w:r>
      <w:bookmarkEnd w:id="42"/>
      <w:r>
        <w:rPr>
          <w:rFonts w:hint="eastAsia"/>
        </w:rPr>
        <w:t>条</w:t>
      </w:r>
      <w:r>
        <w:t>检查</w:t>
      </w:r>
      <w:bookmarkEnd w:id="43"/>
    </w:p>
    <w:p>
      <w:pPr>
        <w:pStyle w:val="4"/>
      </w:pPr>
      <w:bookmarkStart w:id="44" w:name="_Toc16494777"/>
      <w:bookmarkStart w:id="45" w:name="_Toc26333"/>
      <w:r>
        <w:rPr>
          <w:rFonts w:hint="eastAsia"/>
        </w:rPr>
        <w:t>平均迎风面积比</w:t>
      </w:r>
      <w:bookmarkEnd w:id="44"/>
      <w:bookmarkEnd w:id="4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r>
              <w:rPr>
                <w:b/>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6" w:name="平均迎风面积比"/>
      <w:bookmarkEnd w:id="46"/>
    </w:p>
    <w:p>
      <w:pPr>
        <w:pStyle w:val="4"/>
      </w:pPr>
      <w:bookmarkStart w:id="47" w:name="_Toc16494778"/>
      <w:bookmarkStart w:id="48" w:name="_Toc27495"/>
      <w:r>
        <w:rPr>
          <w:rFonts w:hint="eastAsia"/>
        </w:rPr>
        <w:t>活动场地遮阳覆盖率</w:t>
      </w:r>
      <w:bookmarkEnd w:id="47"/>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40.2</w:t>
            </w:r>
          </w:p>
        </w:tc>
        <w:tc>
          <w:tcPr>
            <w:vAlign w:val="center"/>
          </w:tcPr>
          <w:p>
            <w:r>
              <w:t>194.3</w:t>
            </w:r>
          </w:p>
        </w:tc>
        <w:tc>
          <w:tcPr>
            <w:vAlign w:val="center"/>
          </w:tcPr>
          <w:p>
            <w:r>
              <w:t>21</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58.5</w:t>
            </w:r>
          </w:p>
        </w:tc>
        <w:tc>
          <w:tcPr>
            <w:vAlign w:val="center"/>
          </w:tcPr>
          <w:p>
            <w:r>
              <w:t>162.8</w:t>
            </w:r>
          </w:p>
        </w:tc>
        <w:tc>
          <w:tcPr>
            <w:vAlign w:val="center"/>
          </w:tcPr>
          <w:p>
            <w:r>
              <w:t>36</w:t>
            </w:r>
          </w:p>
        </w:tc>
        <w:tc>
          <w:tcPr>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9" w:name="活动场地遮阳覆盖率"/>
      <w:bookmarkEnd w:id="49"/>
    </w:p>
    <w:p>
      <w:pPr>
        <w:pStyle w:val="3"/>
        <w:ind w:firstLine="420"/>
        <w:rPr>
          <w:lang w:val="en-US"/>
        </w:rPr>
      </w:pPr>
    </w:p>
    <w:p>
      <w:pPr>
        <w:pStyle w:val="2"/>
      </w:pPr>
      <w:bookmarkStart w:id="50" w:name="_Toc16494783"/>
      <w:bookmarkStart w:id="51" w:name="_Toc8437"/>
      <w:r>
        <w:rPr>
          <w:rFonts w:hint="eastAsia"/>
        </w:rPr>
        <w:t>评价性设计</w:t>
      </w:r>
      <w:bookmarkEnd w:id="50"/>
      <w:bookmarkEnd w:id="51"/>
    </w:p>
    <w:p>
      <w:pPr>
        <w:pStyle w:val="4"/>
      </w:pPr>
      <w:bookmarkStart w:id="52" w:name="_Toc16494784"/>
      <w:bookmarkStart w:id="53" w:name="_Toc4219"/>
      <w:r>
        <w:rPr>
          <w:rFonts w:hint="eastAsia"/>
        </w:rPr>
        <w:t>平均热岛强度</w:t>
      </w:r>
      <w:bookmarkEnd w:id="52"/>
      <w:bookmarkEnd w:id="5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22.0</w:t>
            </w:r>
          </w:p>
        </w:tc>
        <w:tc>
          <w:tcPr>
            <w:vAlign w:val="center"/>
          </w:tcPr>
          <w:p>
            <w:r>
              <w:t>2.8</w:t>
            </w:r>
          </w:p>
        </w:tc>
        <w:tc>
          <w:tcPr>
            <w:vAlign w:val="center"/>
          </w:tcPr>
          <w:p>
            <w:r>
              <w:t>6.4</w:t>
            </w:r>
          </w:p>
        </w:tc>
        <w:tc>
          <w:tcPr>
            <w:vAlign w:val="center"/>
          </w:tcPr>
          <w:p>
            <w:r>
              <w:t>0.1</w:t>
            </w:r>
          </w:p>
        </w:tc>
        <w:tc>
          <w:tcPr>
            <w:vAlign w:val="center"/>
          </w:tcPr>
          <w:p>
            <w:r>
              <w:t>18.3</w:t>
            </w:r>
          </w:p>
        </w:tc>
        <w:tc>
          <w:tcPr>
            <w:vAlign w:val="center"/>
          </w:tcPr>
          <w:p>
            <w:r>
              <w:t>20.5</w:t>
            </w:r>
          </w:p>
        </w:tc>
        <w:tc>
          <w:tcPr>
            <w:vAlign w:val="center"/>
          </w:tcPr>
          <w:p>
            <w:r>
              <w:t>-2.239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22.0</w:t>
            </w:r>
          </w:p>
        </w:tc>
        <w:tc>
          <w:tcPr>
            <w:vAlign w:val="center"/>
          </w:tcPr>
          <w:p>
            <w:r>
              <w:t>4.5</w:t>
            </w:r>
          </w:p>
        </w:tc>
        <w:tc>
          <w:tcPr>
            <w:vAlign w:val="center"/>
          </w:tcPr>
          <w:p>
            <w:r>
              <w:t>6.5</w:t>
            </w:r>
          </w:p>
        </w:tc>
        <w:tc>
          <w:tcPr>
            <w:vAlign w:val="center"/>
          </w:tcPr>
          <w:p>
            <w:r>
              <w:t>0.1</w:t>
            </w:r>
          </w:p>
        </w:tc>
        <w:tc>
          <w:tcPr>
            <w:vAlign w:val="center"/>
          </w:tcPr>
          <w:p>
            <w:r>
              <w:t>19.9</w:t>
            </w:r>
          </w:p>
        </w:tc>
        <w:tc>
          <w:tcPr>
            <w:vAlign w:val="center"/>
          </w:tcPr>
          <w:p>
            <w:r>
              <w:t>21.7</w:t>
            </w:r>
          </w:p>
        </w:tc>
        <w:tc>
          <w:tcPr>
            <w:vAlign w:val="center"/>
          </w:tcPr>
          <w:p>
            <w:r>
              <w:t>-1.828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22.0</w:t>
            </w:r>
          </w:p>
        </w:tc>
        <w:tc>
          <w:tcPr>
            <w:vAlign w:val="center"/>
          </w:tcPr>
          <w:p>
            <w:r>
              <w:t>6.5</w:t>
            </w:r>
          </w:p>
        </w:tc>
        <w:tc>
          <w:tcPr>
            <w:vAlign w:val="center"/>
          </w:tcPr>
          <w:p>
            <w:r>
              <w:t>6.6</w:t>
            </w:r>
          </w:p>
        </w:tc>
        <w:tc>
          <w:tcPr>
            <w:vAlign w:val="center"/>
          </w:tcPr>
          <w:p>
            <w:r>
              <w:t>0.1</w:t>
            </w:r>
          </w:p>
        </w:tc>
        <w:tc>
          <w:tcPr>
            <w:vAlign w:val="center"/>
          </w:tcPr>
          <w:p>
            <w:r>
              <w:t>21.7</w:t>
            </w:r>
          </w:p>
        </w:tc>
        <w:tc>
          <w:tcPr>
            <w:vAlign w:val="center"/>
          </w:tcPr>
          <w:p>
            <w:r>
              <w:t>22.9</w:t>
            </w:r>
          </w:p>
        </w:tc>
        <w:tc>
          <w:tcPr>
            <w:vAlign w:val="center"/>
          </w:tcPr>
          <w:p>
            <w:r>
              <w:t>-1.161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22.0</w:t>
            </w:r>
          </w:p>
        </w:tc>
        <w:tc>
          <w:tcPr>
            <w:vAlign w:val="center"/>
          </w:tcPr>
          <w:p>
            <w:r>
              <w:t>8.6</w:t>
            </w:r>
          </w:p>
        </w:tc>
        <w:tc>
          <w:tcPr>
            <w:vAlign w:val="center"/>
          </w:tcPr>
          <w:p>
            <w:r>
              <w:t>6.7</w:t>
            </w:r>
          </w:p>
        </w:tc>
        <w:tc>
          <w:tcPr>
            <w:vAlign w:val="center"/>
          </w:tcPr>
          <w:p>
            <w:r>
              <w:t>0.1</w:t>
            </w:r>
          </w:p>
        </w:tc>
        <w:tc>
          <w:tcPr>
            <w:vAlign w:val="center"/>
          </w:tcPr>
          <w:p>
            <w:r>
              <w:t>23.7</w:t>
            </w:r>
          </w:p>
        </w:tc>
        <w:tc>
          <w:tcPr>
            <w:vAlign w:val="center"/>
          </w:tcPr>
          <w:p>
            <w:r>
              <w:t>24.0</w:t>
            </w:r>
          </w:p>
        </w:tc>
        <w:tc>
          <w:tcPr>
            <w:vAlign w:val="center"/>
          </w:tcPr>
          <w:p>
            <w:r>
              <w:t>-0.284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22.0</w:t>
            </w:r>
          </w:p>
        </w:tc>
        <w:tc>
          <w:tcPr>
            <w:vAlign w:val="center"/>
          </w:tcPr>
          <w:p>
            <w:r>
              <w:t>10.6</w:t>
            </w:r>
          </w:p>
        </w:tc>
        <w:tc>
          <w:tcPr>
            <w:vAlign w:val="center"/>
          </w:tcPr>
          <w:p>
            <w:r>
              <w:t>6.9</w:t>
            </w:r>
          </w:p>
        </w:tc>
        <w:tc>
          <w:tcPr>
            <w:vAlign w:val="center"/>
          </w:tcPr>
          <w:p>
            <w:r>
              <w:t>0.1</w:t>
            </w:r>
          </w:p>
        </w:tc>
        <w:tc>
          <w:tcPr>
            <w:vAlign w:val="center"/>
          </w:tcPr>
          <w:p>
            <w:r>
              <w:t>25.6</w:t>
            </w:r>
          </w:p>
        </w:tc>
        <w:tc>
          <w:tcPr>
            <w:vAlign w:val="center"/>
          </w:tcPr>
          <w:p>
            <w:r>
              <w:t>25.0</w:t>
            </w:r>
          </w:p>
        </w:tc>
        <w:tc>
          <w:tcPr>
            <w:vAlign w:val="center"/>
          </w:tcPr>
          <w:p>
            <w:r>
              <w:t>0.591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22.0</w:t>
            </w:r>
          </w:p>
        </w:tc>
        <w:tc>
          <w:tcPr>
            <w:vAlign w:val="center"/>
          </w:tcPr>
          <w:p>
            <w:r>
              <w:t>12.3</w:t>
            </w:r>
          </w:p>
        </w:tc>
        <w:tc>
          <w:tcPr>
            <w:vAlign w:val="center"/>
          </w:tcPr>
          <w:p>
            <w:r>
              <w:t>6.9</w:t>
            </w:r>
          </w:p>
        </w:tc>
        <w:tc>
          <w:tcPr>
            <w:vAlign w:val="center"/>
          </w:tcPr>
          <w:p>
            <w:r>
              <w:t>0.1</w:t>
            </w:r>
          </w:p>
        </w:tc>
        <w:tc>
          <w:tcPr>
            <w:vAlign w:val="center"/>
          </w:tcPr>
          <w:p>
            <w:r>
              <w:t>27.3</w:t>
            </w:r>
          </w:p>
        </w:tc>
        <w:tc>
          <w:tcPr>
            <w:vAlign w:val="center"/>
          </w:tcPr>
          <w:p>
            <w:r>
              <w:t>25.8</w:t>
            </w:r>
          </w:p>
        </w:tc>
        <w:tc>
          <w:tcPr>
            <w:vAlign w:val="center"/>
          </w:tcPr>
          <w:p>
            <w:r>
              <w:t>1.518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22.0</w:t>
            </w:r>
          </w:p>
        </w:tc>
        <w:tc>
          <w:tcPr>
            <w:vAlign w:val="center"/>
          </w:tcPr>
          <w:p>
            <w:r>
              <w:t>13.7</w:t>
            </w:r>
          </w:p>
        </w:tc>
        <w:tc>
          <w:tcPr>
            <w:vAlign w:val="center"/>
          </w:tcPr>
          <w:p>
            <w:r>
              <w:t>6.9</w:t>
            </w:r>
          </w:p>
        </w:tc>
        <w:tc>
          <w:tcPr>
            <w:vAlign w:val="center"/>
          </w:tcPr>
          <w:p>
            <w:r>
              <w:t>0.1</w:t>
            </w:r>
          </w:p>
        </w:tc>
        <w:tc>
          <w:tcPr>
            <w:vAlign w:val="center"/>
          </w:tcPr>
          <w:p>
            <w:r>
              <w:t>28.7</w:t>
            </w:r>
          </w:p>
        </w:tc>
        <w:tc>
          <w:tcPr>
            <w:vAlign w:val="center"/>
          </w:tcPr>
          <w:p>
            <w:r>
              <w:t>26.3</w:t>
            </w:r>
          </w:p>
        </w:tc>
        <w:tc>
          <w:tcPr>
            <w:vAlign w:val="center"/>
          </w:tcPr>
          <w:p>
            <w:r>
              <w:t>2.393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22.0</w:t>
            </w:r>
          </w:p>
        </w:tc>
        <w:tc>
          <w:tcPr>
            <w:vAlign w:val="center"/>
          </w:tcPr>
          <w:p>
            <w:r>
              <w:t>14.5</w:t>
            </w:r>
          </w:p>
        </w:tc>
        <w:tc>
          <w:tcPr>
            <w:vAlign w:val="center"/>
          </w:tcPr>
          <w:p>
            <w:r>
              <w:t>6.9</w:t>
            </w:r>
          </w:p>
        </w:tc>
        <w:tc>
          <w:tcPr>
            <w:vAlign w:val="center"/>
          </w:tcPr>
          <w:p>
            <w:r>
              <w:t>0.1</w:t>
            </w:r>
          </w:p>
        </w:tc>
        <w:tc>
          <w:tcPr>
            <w:vAlign w:val="center"/>
          </w:tcPr>
          <w:p>
            <w:r>
              <w:t>29.5</w:t>
            </w:r>
          </w:p>
        </w:tc>
        <w:tc>
          <w:tcPr>
            <w:vAlign w:val="center"/>
          </w:tcPr>
          <w:p>
            <w:r>
              <w:t>26.4</w:t>
            </w:r>
          </w:p>
        </w:tc>
        <w:tc>
          <w:tcPr>
            <w:vAlign w:val="center"/>
          </w:tcPr>
          <w:p>
            <w:r>
              <w:t>3.112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22.0</w:t>
            </w:r>
          </w:p>
        </w:tc>
        <w:tc>
          <w:tcPr>
            <w:vAlign w:val="center"/>
          </w:tcPr>
          <w:p>
            <w:r>
              <w:t>14.7</w:t>
            </w:r>
          </w:p>
        </w:tc>
        <w:tc>
          <w:tcPr>
            <w:vAlign w:val="center"/>
          </w:tcPr>
          <w:p>
            <w:r>
              <w:t>6.7</w:t>
            </w:r>
          </w:p>
        </w:tc>
        <w:tc>
          <w:tcPr>
            <w:vAlign w:val="center"/>
          </w:tcPr>
          <w:p>
            <w:r>
              <w:t>0.0</w:t>
            </w:r>
          </w:p>
        </w:tc>
        <w:tc>
          <w:tcPr>
            <w:vAlign w:val="center"/>
          </w:tcPr>
          <w:p>
            <w:r>
              <w:t>29.9</w:t>
            </w:r>
          </w:p>
        </w:tc>
        <w:tc>
          <w:tcPr>
            <w:vAlign w:val="center"/>
          </w:tcPr>
          <w:p>
            <w:r>
              <w:t>26.3</w:t>
            </w:r>
          </w:p>
        </w:tc>
        <w:tc>
          <w:tcPr>
            <w:vAlign w:val="center"/>
          </w:tcPr>
          <w:p>
            <w:r>
              <w:t>3.604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22.0</w:t>
            </w:r>
          </w:p>
        </w:tc>
        <w:tc>
          <w:tcPr>
            <w:vAlign w:val="center"/>
          </w:tcPr>
          <w:p>
            <w:r>
              <w:t>14.4</w:t>
            </w:r>
          </w:p>
        </w:tc>
        <w:tc>
          <w:tcPr>
            <w:vAlign w:val="center"/>
          </w:tcPr>
          <w:p>
            <w:r>
              <w:t>7.7</w:t>
            </w:r>
          </w:p>
        </w:tc>
        <w:tc>
          <w:tcPr>
            <w:vAlign w:val="center"/>
          </w:tcPr>
          <w:p>
            <w:r>
              <w:t>0.0</w:t>
            </w:r>
          </w:p>
        </w:tc>
        <w:tc>
          <w:tcPr>
            <w:vAlign w:val="center"/>
          </w:tcPr>
          <w:p>
            <w:r>
              <w:t>28.7</w:t>
            </w:r>
          </w:p>
        </w:tc>
        <w:tc>
          <w:tcPr>
            <w:vAlign w:val="center"/>
          </w:tcPr>
          <w:p>
            <w:r>
              <w:t>26.0</w:t>
            </w:r>
          </w:p>
        </w:tc>
        <w:tc>
          <w:tcPr>
            <w:vAlign w:val="center"/>
          </w:tcPr>
          <w:p>
            <w:r>
              <w:t>2.665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22.0</w:t>
            </w:r>
          </w:p>
        </w:tc>
        <w:tc>
          <w:tcPr>
            <w:vAlign w:val="center"/>
          </w:tcPr>
          <w:p>
            <w:r>
              <w:t>13.6</w:t>
            </w:r>
          </w:p>
        </w:tc>
        <w:tc>
          <w:tcPr>
            <w:vAlign w:val="center"/>
          </w:tcPr>
          <w:p>
            <w:r>
              <w:t>7.6</w:t>
            </w:r>
          </w:p>
        </w:tc>
        <w:tc>
          <w:tcPr>
            <w:vAlign w:val="center"/>
          </w:tcPr>
          <w:p>
            <w:r>
              <w:t>0.0</w:t>
            </w:r>
          </w:p>
        </w:tc>
        <w:tc>
          <w:tcPr>
            <w:vAlign w:val="center"/>
          </w:tcPr>
          <w:p>
            <w:r>
              <w:t>28.0</w:t>
            </w:r>
          </w:p>
        </w:tc>
        <w:tc>
          <w:tcPr>
            <w:vAlign w:val="center"/>
          </w:tcPr>
          <w:p>
            <w:r>
              <w:t>25.4</w:t>
            </w:r>
          </w:p>
        </w:tc>
        <w:tc>
          <w:tcPr>
            <w:vAlign w:val="center"/>
          </w:tcPr>
          <w:p>
            <w:r>
              <w:t>2.558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54" w:name="平均热岛强度"/>
      <w:bookmarkEnd w:id="54"/>
    </w:p>
    <w:p>
      <w:pPr>
        <w:pStyle w:val="3"/>
        <w:ind w:firstLine="0" w:firstLineChars="0"/>
        <w:rPr>
          <w:lang w:val="en-US"/>
        </w:rPr>
      </w:pPr>
      <w:bookmarkStart w:id="55" w:name="平均热岛强度图片"/>
      <w:bookmarkEnd w:id="55"/>
    </w:p>
    <w:p>
      <w:pPr>
        <w:pStyle w:val="4"/>
      </w:pPr>
      <w:bookmarkStart w:id="56" w:name="_Toc16494785"/>
      <w:bookmarkStart w:id="57" w:name="_Toc17481"/>
      <w:r>
        <w:rPr>
          <w:rFonts w:hint="eastAsia"/>
        </w:rPr>
        <w:t>湿球黑球温度</w:t>
      </w:r>
      <w:bookmarkEnd w:id="56"/>
      <w:bookmarkEnd w:id="5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18.3</w:t>
            </w:r>
          </w:p>
        </w:tc>
        <w:tc>
          <w:tcPr>
            <w:vAlign w:val="center"/>
          </w:tcPr>
          <w:p>
            <w:r>
              <w:t>0.5</w:t>
            </w:r>
          </w:p>
        </w:tc>
        <w:tc>
          <w:tcPr>
            <w:vAlign w:val="center"/>
          </w:tcPr>
          <w:p>
            <w:r>
              <w:t>305.9</w:t>
            </w:r>
          </w:p>
        </w:tc>
        <w:tc>
          <w:tcPr>
            <w:vAlign w:val="center"/>
          </w:tcPr>
          <w:p>
            <w:r>
              <w:t>67.6</w:t>
            </w:r>
          </w:p>
        </w:tc>
        <w:tc>
          <w:tcPr>
            <w:vAlign w:val="center"/>
          </w:tcPr>
          <w:p>
            <w:r>
              <w:t>10.7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19.9</w:t>
            </w:r>
          </w:p>
        </w:tc>
        <w:tc>
          <w:tcPr>
            <w:vAlign w:val="center"/>
          </w:tcPr>
          <w:p>
            <w:r>
              <w:t>0.5</w:t>
            </w:r>
          </w:p>
        </w:tc>
        <w:tc>
          <w:tcPr>
            <w:vAlign w:val="center"/>
          </w:tcPr>
          <w:p>
            <w:r>
              <w:t>412.6</w:t>
            </w:r>
          </w:p>
        </w:tc>
        <w:tc>
          <w:tcPr>
            <w:vAlign w:val="center"/>
          </w:tcPr>
          <w:p>
            <w:r>
              <w:t>91.3</w:t>
            </w:r>
          </w:p>
        </w:tc>
        <w:tc>
          <w:tcPr>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21.7</w:t>
            </w:r>
          </w:p>
        </w:tc>
        <w:tc>
          <w:tcPr>
            <w:vAlign w:val="center"/>
          </w:tcPr>
          <w:p>
            <w:r>
              <w:t>0.4</w:t>
            </w:r>
          </w:p>
        </w:tc>
        <w:tc>
          <w:tcPr>
            <w:vAlign w:val="center"/>
          </w:tcPr>
          <w:p>
            <w:r>
              <w:t>499.5</w:t>
            </w:r>
          </w:p>
        </w:tc>
        <w:tc>
          <w:tcPr>
            <w:vAlign w:val="center"/>
          </w:tcPr>
          <w:p>
            <w:r>
              <w:t>110.5</w:t>
            </w:r>
          </w:p>
        </w:tc>
        <w:tc>
          <w:tcPr>
            <w:vAlign w:val="center"/>
          </w:tcPr>
          <w:p>
            <w:r>
              <w:t>13.6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23.7</w:t>
            </w:r>
          </w:p>
        </w:tc>
        <w:tc>
          <w:tcPr>
            <w:vAlign w:val="center"/>
          </w:tcPr>
          <w:p>
            <w:r>
              <w:t>0.4</w:t>
            </w:r>
          </w:p>
        </w:tc>
        <w:tc>
          <w:tcPr>
            <w:vAlign w:val="center"/>
          </w:tcPr>
          <w:p>
            <w:r>
              <w:t>560.7</w:t>
            </w:r>
          </w:p>
        </w:tc>
        <w:tc>
          <w:tcPr>
            <w:vAlign w:val="center"/>
          </w:tcPr>
          <w:p>
            <w:r>
              <w:t>124.0</w:t>
            </w:r>
          </w:p>
        </w:tc>
        <w:tc>
          <w:tcPr>
            <w:vAlign w:val="center"/>
          </w:tcPr>
          <w:p>
            <w:r>
              <w:t>15.1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25.6</w:t>
            </w:r>
          </w:p>
        </w:tc>
        <w:tc>
          <w:tcPr>
            <w:vAlign w:val="center"/>
          </w:tcPr>
          <w:p>
            <w:r>
              <w:t>0.3</w:t>
            </w:r>
          </w:p>
        </w:tc>
        <w:tc>
          <w:tcPr>
            <w:vAlign w:val="center"/>
          </w:tcPr>
          <w:p>
            <w:r>
              <w:t>581.6</w:t>
            </w:r>
          </w:p>
        </w:tc>
        <w:tc>
          <w:tcPr>
            <w:vAlign w:val="center"/>
          </w:tcPr>
          <w:p>
            <w:r>
              <w:t>128.6</w:t>
            </w:r>
          </w:p>
        </w:tc>
        <w:tc>
          <w:tcPr>
            <w:vAlign w:val="center"/>
          </w:tcPr>
          <w:p>
            <w:r>
              <w:t>16.5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27.3</w:t>
            </w:r>
          </w:p>
        </w:tc>
        <w:tc>
          <w:tcPr>
            <w:vAlign w:val="center"/>
          </w:tcPr>
          <w:p>
            <w:r>
              <w:t>0.3</w:t>
            </w:r>
          </w:p>
        </w:tc>
        <w:tc>
          <w:tcPr>
            <w:vAlign w:val="center"/>
          </w:tcPr>
          <w:p>
            <w:r>
              <w:t>563.4</w:t>
            </w:r>
          </w:p>
        </w:tc>
        <w:tc>
          <w:tcPr>
            <w:vAlign w:val="center"/>
          </w:tcPr>
          <w:p>
            <w:r>
              <w:t>124.6</w:t>
            </w:r>
          </w:p>
        </w:tc>
        <w:tc>
          <w:tcPr>
            <w:vAlign w:val="center"/>
          </w:tcPr>
          <w:p>
            <w:r>
              <w:t>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28.7</w:t>
            </w:r>
          </w:p>
        </w:tc>
        <w:tc>
          <w:tcPr>
            <w:vAlign w:val="center"/>
          </w:tcPr>
          <w:p>
            <w:r>
              <w:t>0.3</w:t>
            </w:r>
          </w:p>
        </w:tc>
        <w:tc>
          <w:tcPr>
            <w:vAlign w:val="center"/>
          </w:tcPr>
          <w:p>
            <w:r>
              <w:t>507.9</w:t>
            </w:r>
          </w:p>
        </w:tc>
        <w:tc>
          <w:tcPr>
            <w:vAlign w:val="center"/>
          </w:tcPr>
          <w:p>
            <w:r>
              <w:t>112.3</w:t>
            </w:r>
          </w:p>
        </w:tc>
        <w:tc>
          <w:tcPr>
            <w:vAlign w:val="center"/>
          </w:tcPr>
          <w:p>
            <w:r>
              <w:t>19.1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29.5</w:t>
            </w:r>
          </w:p>
        </w:tc>
        <w:tc>
          <w:tcPr>
            <w:vAlign w:val="center"/>
          </w:tcPr>
          <w:p>
            <w:r>
              <w:t>0.3</w:t>
            </w:r>
          </w:p>
        </w:tc>
        <w:tc>
          <w:tcPr>
            <w:vAlign w:val="center"/>
          </w:tcPr>
          <w:p>
            <w:r>
              <w:t>421.3</w:t>
            </w:r>
          </w:p>
        </w:tc>
        <w:tc>
          <w:tcPr>
            <w:vAlign w:val="center"/>
          </w:tcPr>
          <w:p>
            <w:r>
              <w:t>93.2</w:t>
            </w:r>
          </w:p>
        </w:tc>
        <w:tc>
          <w:tcPr>
            <w:vAlign w:val="center"/>
          </w:tcPr>
          <w:p>
            <w:r>
              <w:t>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29.9</w:t>
            </w:r>
          </w:p>
        </w:tc>
        <w:tc>
          <w:tcPr>
            <w:vAlign w:val="center"/>
          </w:tcPr>
          <w:p>
            <w:r>
              <w:t>0.3</w:t>
            </w:r>
          </w:p>
        </w:tc>
        <w:tc>
          <w:tcPr>
            <w:vAlign w:val="center"/>
          </w:tcPr>
          <w:p>
            <w:r>
              <w:t>317.1</w:t>
            </w:r>
          </w:p>
        </w:tc>
        <w:tc>
          <w:tcPr>
            <w:vAlign w:val="center"/>
          </w:tcPr>
          <w:p>
            <w:r>
              <w:t>70.1</w:t>
            </w:r>
          </w:p>
        </w:tc>
        <w:tc>
          <w:tcPr>
            <w:vAlign w:val="center"/>
          </w:tcPr>
          <w:p>
            <w: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28.7</w:t>
            </w:r>
          </w:p>
        </w:tc>
        <w:tc>
          <w:tcPr>
            <w:vAlign w:val="center"/>
          </w:tcPr>
          <w:p>
            <w:r>
              <w:t>0.3</w:t>
            </w:r>
          </w:p>
        </w:tc>
        <w:tc>
          <w:tcPr>
            <w:vAlign w:val="center"/>
          </w:tcPr>
          <w:p>
            <w:r>
              <w:t>209.1</w:t>
            </w:r>
          </w:p>
        </w:tc>
        <w:tc>
          <w:tcPr>
            <w:vAlign w:val="center"/>
          </w:tcPr>
          <w:p>
            <w:r>
              <w:t>46.3</w:t>
            </w:r>
          </w:p>
        </w:tc>
        <w:tc>
          <w:tcPr>
            <w:vAlign w:val="center"/>
          </w:tcPr>
          <w:p>
            <w:r>
              <w:t>18.7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28.0</w:t>
            </w:r>
          </w:p>
        </w:tc>
        <w:tc>
          <w:tcPr>
            <w:vAlign w:val="center"/>
          </w:tcPr>
          <w:p>
            <w:r>
              <w:t>0.3</w:t>
            </w:r>
          </w:p>
        </w:tc>
        <w:tc>
          <w:tcPr>
            <w:vAlign w:val="center"/>
          </w:tcPr>
          <w:p>
            <w:r>
              <w:t>108.5</w:t>
            </w:r>
          </w:p>
        </w:tc>
        <w:tc>
          <w:tcPr>
            <w:vAlign w:val="center"/>
          </w:tcPr>
          <w:p>
            <w:r>
              <w:t>24.0</w:t>
            </w:r>
          </w:p>
        </w:tc>
        <w:tc>
          <w:tcPr>
            <w:vAlign w:val="center"/>
          </w:tcPr>
          <w:p>
            <w:r>
              <w:t>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19.93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0" w:firstLineChars="0"/>
        <w:rPr>
          <w:lang w:val="en-US"/>
        </w:rPr>
      </w:pPr>
      <w:bookmarkStart w:id="68" w:name="_GoBack"/>
      <w:bookmarkEnd w:id="68"/>
      <w:bookmarkStart w:id="58" w:name="湿球黑球温度"/>
      <w:bookmarkEnd w:id="58"/>
      <w:bookmarkStart w:id="59" w:name="湿球黑球温度图片"/>
      <w:bookmarkEnd w:id="59"/>
    </w:p>
    <w:p>
      <w:pPr>
        <w:pStyle w:val="2"/>
      </w:pPr>
      <w:bookmarkStart w:id="60" w:name="_Toc16494786"/>
      <w:bookmarkStart w:id="61" w:name="_Toc18672"/>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2" w:name="结论"/>
            <w:bookmarkEnd w:id="6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3" w:name="平均迎风面积比结论"/>
            <w:r>
              <w:rPr>
                <w:rFonts w:hint="eastAsia"/>
                <w:b/>
              </w:rPr>
              <w:t>满足</w:t>
            </w:r>
            <w:bookmarkEnd w:id="63"/>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4" w:name="活动场地遮阳覆盖率结论"/>
            <w:r>
              <w:rPr>
                <w:rFonts w:hint="eastAsia"/>
                <w:b/>
              </w:rPr>
              <w:t>满足</w:t>
            </w:r>
            <w:bookmarkEnd w:id="6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5" w:name="平均热岛强度结论"/>
            <w:r>
              <w:t>满足</w:t>
            </w:r>
            <w:bookmarkEnd w:id="65"/>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6" w:name="湿球黑球温度结论"/>
            <w:r>
              <w:t>满足</w:t>
            </w:r>
            <w:bookmarkEnd w:id="66"/>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7" w:name="总结论"/>
            <w:r>
              <w:rPr>
                <w:rFonts w:hint="eastAsia"/>
                <w:b/>
              </w:rPr>
              <w:t>满足</w:t>
            </w:r>
            <w:bookmarkEnd w:id="67"/>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Light">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2"/>
  </w:compat>
  <w:docVars>
    <w:docVar w:name="commondata" w:val="eyJoZGlkIjoiMGRiOWIxZGIwNGNkOGNjZmJjN2I0ZWI3N2ZkMzhkYzQifQ=="/>
  </w:docVars>
  <w:rsids>
    <w:rsidRoot w:val="00217F62"/>
    <w:rsid w:val="001915A3"/>
    <w:rsid w:val="00217F62"/>
    <w:rsid w:val="00A906D8"/>
    <w:rsid w:val="00AB5A74"/>
    <w:rsid w:val="00F071AE"/>
    <w:rsid w:val="4BA06467"/>
    <w:rsid w:val="692E4D1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住区热环境(评价性设计)计算书.dotx</Template>
  <Company>ths</Company>
  <Pages>7</Pages>
  <Words>503</Words>
  <Characters>2872</Characters>
  <Lines>23</Lines>
  <Paragraphs>6</Paragraphs>
  <TotalTime>0</TotalTime>
  <ScaleCrop>false</ScaleCrop>
  <LinksUpToDate>false</LinksUpToDate>
  <CharactersWithSpaces>3369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2020-03-23T09:14:00Z</dcterms:created>
  <dc:creator>human</dc:creator>
  <cp:lastModifiedBy>呂慧潔</cp:lastModifiedBy>
  <cp:lastPrinted>2411-12-31T16:00:00Z</cp:lastPrinted>
  <dcterms:modified xsi:type="dcterms:W3CDTF">2023-12-18T03:26:10Z</dcterms:modified>
  <dc:title>住区热环境评价性设计计算书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FB9CC00976764FECAE4727F70BE86FE3_12</vt:lpwstr>
  </property>
</Properties>
</file>