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bookmarkEnd w:id="0"/>
            <w:r>
              <w:rPr>
                <w:rFonts w:hint="eastAsia"/>
                <w:b/>
                <w:bCs/>
                <w:sz w:val="21"/>
                <w:szCs w:val="18"/>
                <w:lang w:val="en-US" w:eastAsia="zh-CN"/>
              </w:rPr>
              <w:t>琳琅珠玉“零碳”艺术馆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rFonts w:hint="eastAsia" w:eastAsia="宋体"/>
                <w:szCs w:val="21"/>
                <w:lang w:eastAsia="zh-CN"/>
              </w:rPr>
            </w:pPr>
            <w:r>
              <w:rPr>
                <w:rFonts w:hint="eastAsia"/>
                <w:lang w:eastAsia="zh-CN"/>
              </w:rPr>
              <w:t>鞍山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4" w:name="报告日期"/>
            <w:r>
              <w:rPr>
                <w:rFonts w:hint="eastAsia"/>
                <w:szCs w:val="21"/>
              </w:rPr>
              <w:t>2023年12月11日</w:t>
            </w:r>
            <w:bookmarkEnd w:id="4"/>
          </w:p>
        </w:tc>
      </w:tr>
    </w:tbl>
    <w:p>
      <w:pPr>
        <w:jc w:val="center"/>
        <w:rPr>
          <w:b/>
          <w:sz w:val="56"/>
        </w:rPr>
      </w:pPr>
      <w:bookmarkStart w:id="5" w:name="二维码"/>
      <w:bookmarkEnd w:id="5"/>
      <w:r>
        <w:drawing>
          <wp:inline distT="0" distB="0" distL="0" distR="0">
            <wp:extent cx="1628775" cy="1628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1628946" cy="1628946"/>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6" w:name="采用软件"/>
            <w:r>
              <w:t>建筑通风Vent2023</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7" w:name="软件版本"/>
            <w:r>
              <w:rPr>
                <w:rFonts w:cs="Times New Roman"/>
                <w:kern w:val="0"/>
                <w:sz w:val="18"/>
                <w:szCs w:val="18"/>
                <w:lang w:val="en-GB"/>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8" w:name="加密锁号"/>
            <w:r>
              <w:t>T18842551439</w:t>
            </w:r>
            <w:bookmarkEnd w:id="8"/>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9"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_Toc31046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_Toc31046 \h </w:instrText>
      </w:r>
      <w:r>
        <w:fldChar w:fldCharType="separate"/>
      </w:r>
      <w:r>
        <w:t>3</w:t>
      </w:r>
      <w:r>
        <w:fldChar w:fldCharType="end"/>
      </w:r>
      <w:r>
        <w:rPr>
          <w:rFonts w:ascii="Calibri" w:hAnsi="Calibri"/>
          <w:caps/>
          <w:szCs w:val="20"/>
        </w:rPr>
        <w:fldChar w:fldCharType="end"/>
      </w:r>
    </w:p>
    <w:p>
      <w:pPr>
        <w:pStyle w:val="17"/>
        <w:tabs>
          <w:tab w:val="right" w:leader="dot" w:pos="7910"/>
        </w:tabs>
      </w:pPr>
      <w:r>
        <w:rPr>
          <w:bCs/>
          <w:lang w:val="zh-CN"/>
        </w:rPr>
        <w:fldChar w:fldCharType="begin"/>
      </w:r>
      <w:r>
        <w:rPr>
          <w:bCs/>
          <w:lang w:val="zh-CN"/>
        </w:rPr>
        <w:instrText xml:space="preserve"> HYPERLINK \l _Toc22958 </w:instrText>
      </w:r>
      <w:r>
        <w:rPr>
          <w:bCs/>
          <w:lang w:val="zh-CN"/>
        </w:rPr>
        <w:fldChar w:fldCharType="separate"/>
      </w:r>
      <w:r>
        <w:rPr>
          <w:rFonts w:hint="eastAsia"/>
          <w:szCs w:val="24"/>
        </w:rPr>
        <w:t>1.1 建筑基本信息</w:t>
      </w:r>
      <w:r>
        <w:tab/>
      </w:r>
      <w:r>
        <w:fldChar w:fldCharType="begin"/>
      </w:r>
      <w:r>
        <w:instrText xml:space="preserve"> PAGEREF _Toc22958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_Toc30059 </w:instrText>
      </w:r>
      <w:r>
        <w:rPr>
          <w:bCs/>
          <w:lang w:val="zh-CN"/>
        </w:rPr>
        <w:fldChar w:fldCharType="separate"/>
      </w:r>
      <w:r>
        <w:rPr>
          <w:rFonts w:hint="eastAsia"/>
          <w:szCs w:val="24"/>
        </w:rPr>
        <w:t>1.2 建筑</w:t>
      </w:r>
      <w:r>
        <w:rPr>
          <w:rFonts w:hint="eastAsia"/>
          <w:szCs w:val="24"/>
          <w:lang w:eastAsia="zh-CN"/>
        </w:rPr>
        <w:t>平面</w:t>
      </w:r>
      <w:r>
        <w:rPr>
          <w:rFonts w:hint="eastAsia"/>
          <w:szCs w:val="24"/>
        </w:rPr>
        <w:t>图</w:t>
      </w:r>
      <w:r>
        <w:tab/>
      </w:r>
      <w:r>
        <w:fldChar w:fldCharType="begin"/>
      </w:r>
      <w:r>
        <w:instrText xml:space="preserve"> PAGEREF _Toc30059 \h </w:instrText>
      </w:r>
      <w:r>
        <w:fldChar w:fldCharType="separate"/>
      </w:r>
      <w:r>
        <w:t>3</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_Toc17864 </w:instrText>
      </w:r>
      <w:r>
        <w:rPr>
          <w:bCs/>
          <w:lang w:val="zh-CN"/>
        </w:rPr>
        <w:fldChar w:fldCharType="separate"/>
      </w:r>
      <w:r>
        <w:rPr>
          <w:rFonts w:hint="eastAsia" w:ascii="黑体" w:hAnsi="黑体"/>
          <w:kern w:val="32"/>
          <w:szCs w:val="28"/>
        </w:rPr>
        <w:t>1.3 参考标准</w:t>
      </w:r>
      <w:r>
        <w:tab/>
      </w:r>
      <w:r>
        <w:fldChar w:fldCharType="begin"/>
      </w:r>
      <w:r>
        <w:instrText xml:space="preserve"> PAGEREF _Toc17864 \h </w:instrText>
      </w:r>
      <w:r>
        <w:fldChar w:fldCharType="separate"/>
      </w:r>
      <w:r>
        <w:t>4</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_Toc6820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评价标准</w:t>
      </w:r>
      <w:r>
        <w:tab/>
      </w:r>
      <w:r>
        <w:fldChar w:fldCharType="begin"/>
      </w:r>
      <w:r>
        <w:instrText xml:space="preserve"> PAGEREF _Toc6820 \h </w:instrText>
      </w:r>
      <w:r>
        <w:fldChar w:fldCharType="separate"/>
      </w:r>
      <w:r>
        <w:t>4</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_Toc30761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计算原理</w:t>
      </w:r>
      <w:r>
        <w:tab/>
      </w:r>
      <w:r>
        <w:fldChar w:fldCharType="begin"/>
      </w:r>
      <w:r>
        <w:instrText xml:space="preserve"> PAGEREF _Toc30761 \h </w:instrText>
      </w:r>
      <w:r>
        <w:fldChar w:fldCharType="separate"/>
      </w:r>
      <w:r>
        <w:t>4</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_Toc387 </w:instrText>
      </w:r>
      <w:r>
        <w:rPr>
          <w:bCs/>
          <w:lang w:val="zh-CN"/>
        </w:rPr>
        <w:fldChar w:fldCharType="separate"/>
      </w:r>
      <w:r>
        <w:rPr>
          <w:rFonts w:hint="default" w:ascii="Arial" w:hAnsi="Arial"/>
          <w:kern w:val="32"/>
          <w:szCs w:val="28"/>
        </w:rPr>
        <w:t xml:space="preserve">4 </w:t>
      </w:r>
      <w:r>
        <w:rPr>
          <w:rFonts w:hint="eastAsia"/>
          <w:kern w:val="32"/>
          <w:szCs w:val="28"/>
        </w:rPr>
        <w:t>计算参数</w:t>
      </w:r>
      <w:r>
        <w:tab/>
      </w:r>
      <w:r>
        <w:fldChar w:fldCharType="begin"/>
      </w:r>
      <w:r>
        <w:instrText xml:space="preserve"> PAGEREF _Toc387 \h </w:instrText>
      </w:r>
      <w:r>
        <w:fldChar w:fldCharType="separate"/>
      </w:r>
      <w:r>
        <w:t>5</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_Toc7466 </w:instrText>
      </w:r>
      <w:r>
        <w:rPr>
          <w:bCs/>
          <w:lang w:val="zh-CN"/>
        </w:rPr>
        <w:fldChar w:fldCharType="separate"/>
      </w:r>
      <w:r>
        <w:rPr>
          <w:rFonts w:hint="eastAsia"/>
          <w:szCs w:val="24"/>
        </w:rPr>
        <w:t>4.1 渗透风量</w:t>
      </w:r>
      <w:r>
        <w:tab/>
      </w:r>
      <w:r>
        <w:fldChar w:fldCharType="begin"/>
      </w:r>
      <w:r>
        <w:instrText xml:space="preserve"> PAGEREF _Toc7466 \h </w:instrText>
      </w:r>
      <w:r>
        <w:fldChar w:fldCharType="separate"/>
      </w:r>
      <w:r>
        <w:t>6</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_Toc2753 </w:instrText>
      </w:r>
      <w:r>
        <w:rPr>
          <w:bCs/>
          <w:lang w:val="zh-CN"/>
        </w:rPr>
        <w:fldChar w:fldCharType="separate"/>
      </w:r>
      <w:r>
        <w:rPr>
          <w:rFonts w:hint="eastAsia"/>
          <w:szCs w:val="24"/>
        </w:rPr>
        <w:t>4.2 室内颗粒物源强</w:t>
      </w:r>
      <w:r>
        <w:tab/>
      </w:r>
      <w:r>
        <w:fldChar w:fldCharType="begin"/>
      </w:r>
      <w:r>
        <w:instrText xml:space="preserve"> PAGEREF _Toc2753 \h </w:instrText>
      </w:r>
      <w:r>
        <w:fldChar w:fldCharType="separate"/>
      </w:r>
      <w:r>
        <w:t>6</w:t>
      </w:r>
      <w:r>
        <w:fldChar w:fldCharType="end"/>
      </w:r>
      <w:r>
        <w:rPr>
          <w:bCs/>
          <w:lang w:val="zh-CN"/>
        </w:rPr>
        <w:fldChar w:fldCharType="end"/>
      </w:r>
    </w:p>
    <w:p>
      <w:pPr>
        <w:pStyle w:val="17"/>
        <w:tabs>
          <w:tab w:val="right" w:leader="dot" w:pos="7910"/>
        </w:tabs>
      </w:pPr>
      <w:r>
        <w:rPr>
          <w:bCs/>
          <w:lang w:val="zh-CN"/>
        </w:rPr>
        <w:fldChar w:fldCharType="begin"/>
      </w:r>
      <w:r>
        <w:rPr>
          <w:bCs/>
          <w:lang w:val="zh-CN"/>
        </w:rPr>
        <w:instrText xml:space="preserve"> HYPERLINK \l _Toc2371 </w:instrText>
      </w:r>
      <w:r>
        <w:rPr>
          <w:bCs/>
          <w:lang w:val="zh-CN"/>
        </w:rPr>
        <w:fldChar w:fldCharType="separate"/>
      </w:r>
      <w:r>
        <w:rPr>
          <w:rFonts w:hint="eastAsia"/>
        </w:rPr>
        <w:t xml:space="preserve">4.3 </w:t>
      </w:r>
      <w:r>
        <w:rPr>
          <w:rFonts w:hint="eastAsia"/>
          <w:szCs w:val="24"/>
        </w:rPr>
        <w:t>房间通风净化</w:t>
      </w:r>
      <w:r>
        <w:tab/>
      </w:r>
      <w:r>
        <w:fldChar w:fldCharType="begin"/>
      </w:r>
      <w:r>
        <w:instrText xml:space="preserve"> PAGEREF _Toc2371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_Toc23831 </w:instrText>
      </w:r>
      <w:r>
        <w:rPr>
          <w:bCs/>
          <w:lang w:val="zh-CN"/>
        </w:rPr>
        <w:fldChar w:fldCharType="separate"/>
      </w:r>
      <w:r>
        <w:rPr>
          <w:rFonts w:hint="default" w:ascii="Arial" w:hAnsi="Arial" w:eastAsia="黑体"/>
          <w:kern w:val="32"/>
          <w:szCs w:val="28"/>
        </w:rPr>
        <w:t xml:space="preserve">5 </w:t>
      </w:r>
      <w:r>
        <w:rPr>
          <w:rFonts w:hint="eastAsia" w:ascii="黑体" w:hAnsi="黑体" w:eastAsia="黑体"/>
          <w:kern w:val="32"/>
          <w:szCs w:val="28"/>
        </w:rPr>
        <w:t>计算结果</w:t>
      </w:r>
      <w:r>
        <w:tab/>
      </w:r>
      <w:r>
        <w:fldChar w:fldCharType="begin"/>
      </w:r>
      <w:r>
        <w:instrText xml:space="preserve"> PAGEREF _Toc23831 \h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_Toc17408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结论</w:t>
      </w:r>
      <w:r>
        <w:tab/>
      </w:r>
      <w:r>
        <w:fldChar w:fldCharType="begin"/>
      </w:r>
      <w:r>
        <w:instrText xml:space="preserve"> PAGEREF _Toc17408 \h </w:instrText>
      </w:r>
      <w:r>
        <w:fldChar w:fldCharType="separate"/>
      </w:r>
      <w:r>
        <w:t>7</w:t>
      </w:r>
      <w:r>
        <w:fldChar w:fldCharType="end"/>
      </w:r>
      <w:r>
        <w:rPr>
          <w:bCs/>
          <w:lang w:val="zh-CN"/>
        </w:rP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9"/>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0" w:name="_Toc31046"/>
      <w:r>
        <w:rPr>
          <w:rFonts w:hint="eastAsia" w:ascii="黑体" w:hAnsi="黑体" w:eastAsia="黑体"/>
          <w:kern w:val="32"/>
          <w:sz w:val="28"/>
          <w:szCs w:val="28"/>
        </w:rPr>
        <w:t>项目概况</w:t>
      </w:r>
      <w:bookmarkEnd w:id="10"/>
    </w:p>
    <w:p>
      <w:pPr>
        <w:pStyle w:val="3"/>
        <w:rPr>
          <w:sz w:val="24"/>
          <w:szCs w:val="24"/>
        </w:rPr>
      </w:pPr>
      <w:bookmarkStart w:id="11" w:name="_Toc22958"/>
      <w:r>
        <w:rPr>
          <w:rFonts w:hint="eastAsia"/>
          <w:sz w:val="24"/>
          <w:szCs w:val="24"/>
        </w:rPr>
        <w:t>建筑基本信息</w:t>
      </w:r>
      <w:bookmarkEnd w:id="11"/>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hint="eastAsia" w:cs="新宋体"/>
                <w:color w:val="000000"/>
                <w:kern w:val="0"/>
                <w:sz w:val="19"/>
                <w:szCs w:val="19"/>
                <w:lang w:eastAsia="zh-CN"/>
              </w:rPr>
              <w:t>艺术馆</w:t>
            </w: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hint="eastAsia" w:eastAsia="宋体" w:cs="新宋体"/>
                <w:color w:val="000000"/>
                <w:kern w:val="0"/>
                <w:sz w:val="19"/>
                <w:szCs w:val="19"/>
                <w:lang w:eastAsia="zh-CN"/>
              </w:rPr>
            </w:pPr>
            <w:r>
              <w:rPr>
                <w:rFonts w:hint="eastAsia" w:cs="新宋体"/>
                <w:color w:val="000000"/>
                <w:kern w:val="0"/>
                <w:sz w:val="19"/>
                <w:szCs w:val="19"/>
                <w:lang w:eastAsia="zh-CN"/>
              </w:rPr>
              <w:t>鞍山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2" w:name="建筑面积"/>
            <w:r>
              <w:t>842.33</w:t>
            </w:r>
            <w:bookmarkEnd w:id="12"/>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3" w:name="建筑层高"/>
            <w:r>
              <w:t>9.000</w:t>
            </w:r>
            <w:bookmarkEnd w:id="13"/>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4" w:name="_Toc30059"/>
      <w:r>
        <w:rPr>
          <w:rFonts w:hint="eastAsia"/>
          <w:sz w:val="24"/>
          <w:szCs w:val="24"/>
        </w:rPr>
        <w:t>建筑</w:t>
      </w:r>
      <w:r>
        <w:rPr>
          <w:rFonts w:hint="eastAsia"/>
          <w:sz w:val="24"/>
          <w:szCs w:val="24"/>
          <w:lang w:eastAsia="zh-CN"/>
        </w:rPr>
        <w:t>平面</w:t>
      </w:r>
      <w:r>
        <w:rPr>
          <w:rFonts w:hint="eastAsia"/>
          <w:sz w:val="24"/>
          <w:szCs w:val="24"/>
        </w:rPr>
        <w:t>图</w:t>
      </w:r>
      <w:bookmarkEnd w:id="14"/>
      <w:bookmarkStart w:id="36" w:name="_GoBack"/>
      <w:bookmarkEnd w:id="3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5" w:name="平面图"/>
      <w:bookmarkEnd w:id="15"/>
      <w:r>
        <w:drawing>
          <wp:inline distT="0" distB="0" distL="0" distR="0">
            <wp:extent cx="5667375" cy="518414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rcRect b="12497"/>
                    <a:stretch>
                      <a:fillRect/>
                    </a:stretch>
                  </pic:blipFill>
                  <pic:spPr>
                    <a:xfrm>
                      <a:off x="0" y="0"/>
                      <a:ext cx="5667375" cy="518414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p>
    <w:p>
      <w:pPr>
        <w:pStyle w:val="3"/>
        <w:rPr>
          <w:rFonts w:ascii="黑体" w:hAnsi="黑体"/>
          <w:kern w:val="32"/>
          <w:sz w:val="28"/>
          <w:szCs w:val="28"/>
        </w:rPr>
      </w:pPr>
      <w:bookmarkStart w:id="16" w:name="_Toc17864"/>
      <w:r>
        <w:rPr>
          <w:rFonts w:hint="eastAsia" w:ascii="黑体" w:hAnsi="黑体"/>
          <w:kern w:val="32"/>
          <w:sz w:val="28"/>
          <w:szCs w:val="28"/>
        </w:rPr>
        <w:t>参考标准</w:t>
      </w:r>
      <w:bookmarkEnd w:id="16"/>
    </w:p>
    <w:p>
      <w:pPr>
        <w:pStyle w:val="37"/>
        <w:numPr>
          <w:ilvl w:val="2"/>
          <w:numId w:val="3"/>
        </w:numPr>
        <w:spacing w:line="400" w:lineRule="exact"/>
        <w:ind w:firstLineChars="0"/>
        <w:rPr>
          <w:rFonts w:ascii="Times New Roman" w:hAnsi="Times New Roman"/>
        </w:rPr>
      </w:pPr>
      <w:r>
        <w:rPr>
          <w:rFonts w:ascii="Times New Roman" w:hAnsi="Times New Roman"/>
        </w:rPr>
        <w:t xml:space="preserve"> </w:t>
      </w:r>
      <w:bookmarkStart w:id="17" w:name="标准名称"/>
      <w:r>
        <w:t>《绿色建筑评价标准》GB/T 50378-2019</w:t>
      </w:r>
      <w:bookmarkEnd w:id="17"/>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8" w:name="_Toc6820"/>
      <w:r>
        <w:rPr>
          <w:rFonts w:hint="eastAsia" w:ascii="黑体" w:hAnsi="黑体" w:eastAsia="黑体"/>
          <w:kern w:val="32"/>
          <w:sz w:val="28"/>
          <w:szCs w:val="28"/>
        </w:rPr>
        <w:t>评价标准</w:t>
      </w:r>
      <w:bookmarkEnd w:id="18"/>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19" w:name="标准名称1"/>
      <w:r>
        <w:t>《绿色建筑评价标准》GB/T 50378-2019</w:t>
      </w:r>
      <w:bookmarkEnd w:id="19"/>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污染物浓度日均值的限值为0.15 mg/m</w:t>
      </w:r>
      <w:r>
        <w:rPr>
          <w:rFonts w:ascii="Times New Roman" w:hAnsi="Times New Roman" w:cs="Times New Roman"/>
          <w:color w:val="000000"/>
          <w:kern w:val="0"/>
          <w:szCs w:val="21"/>
          <w:vertAlign w:val="superscript"/>
        </w:rPr>
        <w:t xml:space="preserve">3 </w:t>
      </w:r>
      <w:r>
        <w:rPr>
          <w:rFonts w:ascii="Times New Roman" w:hAnsi="Times New Roman" w:cs="Times New Roman"/>
          <w:color w:val="000000"/>
          <w:kern w:val="0"/>
          <w:szCs w:val="21"/>
        </w:rPr>
        <w:t>。</w:t>
      </w: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30761"/>
      <w:r>
        <w:rPr>
          <w:rFonts w:hint="eastAsia" w:ascii="黑体" w:hAnsi="黑体" w:eastAsia="黑体"/>
          <w:kern w:val="32"/>
          <w:sz w:val="28"/>
          <w:szCs w:val="28"/>
        </w:rPr>
        <w:t>计算原理</w:t>
      </w:r>
      <w:bookmarkEnd w:id="20"/>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5pt;width:410.2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1" w:name="_Toc387"/>
      <w:r>
        <w:rPr>
          <w:rFonts w:hint="eastAsia"/>
          <w:kern w:val="32"/>
          <w:sz w:val="28"/>
          <w:szCs w:val="28"/>
        </w:rPr>
        <w:t>计算参数</w:t>
      </w:r>
      <w:bookmarkEnd w:id="21"/>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2" w:name="_Toc7466"/>
      <w:r>
        <w:rPr>
          <w:rFonts w:hint="eastAsia"/>
          <w:sz w:val="24"/>
          <w:szCs w:val="24"/>
        </w:rPr>
        <w:t>渗透风量</w:t>
      </w:r>
      <w:bookmarkEnd w:id="22"/>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3" w:name="渗透风量"/>
      <w:r>
        <w:t>本项目忽略渗透风量的影响。</w:t>
      </w:r>
      <w:bookmarkEnd w:id="23"/>
    </w:p>
    <w:p>
      <w:pPr>
        <w:pStyle w:val="3"/>
        <w:rPr>
          <w:sz w:val="24"/>
          <w:szCs w:val="24"/>
        </w:rPr>
      </w:pPr>
      <w:bookmarkStart w:id="24" w:name="_Toc2753"/>
      <w:r>
        <w:rPr>
          <w:rFonts w:hint="eastAsia"/>
          <w:sz w:val="24"/>
          <w:szCs w:val="24"/>
        </w:rPr>
        <w:t>室内颗粒物源强</w:t>
      </w:r>
      <w:bookmarkEnd w:id="24"/>
    </w:p>
    <w:p>
      <w:pPr>
        <w:jc w:val="center"/>
      </w:pPr>
      <w:bookmarkStart w:id="25" w:name="室内颗粒物源强表"/>
      <w:r>
        <w:t>该项目室内颗粒物源强为0。</w:t>
      </w:r>
      <w:bookmarkEnd w:id="25"/>
    </w:p>
    <w:p>
      <w:pPr>
        <w:jc w:val="center"/>
      </w:pPr>
    </w:p>
    <w:p>
      <w:pPr>
        <w:pStyle w:val="3"/>
      </w:pPr>
      <w:bookmarkStart w:id="26" w:name="_Toc2371"/>
      <w:r>
        <w:rPr>
          <w:rFonts w:hint="eastAsia"/>
          <w:sz w:val="24"/>
          <w:szCs w:val="24"/>
        </w:rPr>
        <w:t>房间通风净化</w:t>
      </w:r>
      <w:bookmarkEnd w:id="26"/>
    </w:p>
    <w:p>
      <w:pPr>
        <w:rPr>
          <w:lang w:val="zh-CN" w:eastAsia="zh-CN"/>
        </w:rPr>
      </w:pPr>
    </w:p>
    <w:p>
      <w:pPr>
        <w:jc w:val="center"/>
      </w:pPr>
      <w:bookmarkStart w:id="27" w:name="通风净化表"/>
      <w:bookmarkEnd w:id="27"/>
      <w:r>
        <w:rPr>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开窗通风量（m³/h）</w:t>
            </w:r>
          </w:p>
        </w:tc>
        <w:tc>
          <w:tcPr>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1003</w:t>
            </w:r>
          </w:p>
        </w:tc>
        <w:tc>
          <w:tcPr>
            <w:vAlign w:val="center"/>
          </w:tcPr>
          <w:p>
            <w:pPr>
              <w:jc w:val="center"/>
            </w:pPr>
            <w:r>
              <w:t>书房</w:t>
            </w:r>
          </w:p>
        </w:tc>
        <w:tc>
          <w:tcPr>
            <w:vAlign w:val="center"/>
          </w:tcPr>
          <w:p>
            <w:pPr>
              <w:jc w:val="center"/>
            </w:pPr>
            <w:r>
              <w:t>49.2</w:t>
            </w:r>
          </w:p>
        </w:tc>
        <w:tc>
          <w:tcPr>
            <w:vAlign w:val="center"/>
          </w:tcPr>
          <w:p>
            <w:pPr>
              <w:jc w:val="center"/>
            </w:pPr>
            <w:r>
              <w:t>218.5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1005</w:t>
            </w:r>
          </w:p>
        </w:tc>
        <w:tc>
          <w:tcPr>
            <w:vAlign w:val="center"/>
          </w:tcPr>
          <w:p>
            <w:pPr>
              <w:jc w:val="center"/>
            </w:pPr>
            <w:r>
              <w:t>主卧</w:t>
            </w:r>
          </w:p>
        </w:tc>
        <w:tc>
          <w:tcPr>
            <w:vAlign w:val="center"/>
          </w:tcPr>
          <w:p>
            <w:pPr>
              <w:jc w:val="center"/>
            </w:pPr>
            <w:r>
              <w:t>35.0</w:t>
            </w:r>
          </w:p>
        </w:tc>
        <w:tc>
          <w:tcPr>
            <w:vAlign w:val="center"/>
          </w:tcPr>
          <w:p>
            <w:pPr>
              <w:jc w:val="center"/>
            </w:pPr>
            <w:r>
              <w:t>155.4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1006</w:t>
            </w:r>
          </w:p>
        </w:tc>
        <w:tc>
          <w:tcPr>
            <w:vAlign w:val="center"/>
          </w:tcPr>
          <w:p>
            <w:pPr>
              <w:jc w:val="center"/>
            </w:pPr>
            <w:r>
              <w:t>卧室</w:t>
            </w:r>
          </w:p>
        </w:tc>
        <w:tc>
          <w:tcPr>
            <w:vAlign w:val="center"/>
          </w:tcPr>
          <w:p>
            <w:pPr>
              <w:jc w:val="center"/>
            </w:pPr>
            <w:r>
              <w:t>28.1</w:t>
            </w:r>
          </w:p>
        </w:tc>
        <w:tc>
          <w:tcPr>
            <w:vAlign w:val="center"/>
          </w:tcPr>
          <w:p>
            <w:pPr>
              <w:jc w:val="center"/>
            </w:pPr>
            <w:r>
              <w:t>124.7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1007</w:t>
            </w:r>
          </w:p>
        </w:tc>
        <w:tc>
          <w:tcPr>
            <w:vAlign w:val="center"/>
          </w:tcPr>
          <w:p>
            <w:pPr>
              <w:jc w:val="center"/>
            </w:pPr>
            <w:r>
              <w:t>儿童卧室</w:t>
            </w:r>
          </w:p>
        </w:tc>
        <w:tc>
          <w:tcPr>
            <w:vAlign w:val="center"/>
          </w:tcPr>
          <w:p>
            <w:pPr>
              <w:jc w:val="center"/>
            </w:pPr>
            <w:r>
              <w:t>28.1</w:t>
            </w:r>
          </w:p>
        </w:tc>
        <w:tc>
          <w:tcPr>
            <w:vAlign w:val="center"/>
          </w:tcPr>
          <w:p>
            <w:pPr>
              <w:jc w:val="center"/>
            </w:pPr>
            <w:r>
              <w:t>124.7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1008</w:t>
            </w:r>
          </w:p>
        </w:tc>
        <w:tc>
          <w:tcPr>
            <w:vAlign w:val="center"/>
          </w:tcPr>
          <w:p>
            <w:pPr>
              <w:jc w:val="center"/>
            </w:pPr>
            <w:r>
              <w:t>卧室</w:t>
            </w:r>
          </w:p>
        </w:tc>
        <w:tc>
          <w:tcPr>
            <w:vAlign w:val="center"/>
          </w:tcPr>
          <w:p>
            <w:pPr>
              <w:jc w:val="center"/>
            </w:pPr>
            <w:r>
              <w:t>39.5</w:t>
            </w:r>
          </w:p>
        </w:tc>
        <w:tc>
          <w:tcPr>
            <w:vAlign w:val="center"/>
          </w:tcPr>
          <w:p>
            <w:pPr>
              <w:jc w:val="center"/>
            </w:pPr>
            <w:r>
              <w:t>175.6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2002</w:t>
            </w:r>
          </w:p>
        </w:tc>
        <w:tc>
          <w:tcPr>
            <w:vAlign w:val="center"/>
          </w:tcPr>
          <w:p>
            <w:pPr>
              <w:jc w:val="center"/>
            </w:pPr>
            <w:r>
              <w:t>房间</w:t>
            </w:r>
          </w:p>
        </w:tc>
        <w:tc>
          <w:tcPr>
            <w:vAlign w:val="center"/>
          </w:tcPr>
          <w:p>
            <w:pPr>
              <w:jc w:val="center"/>
            </w:pPr>
            <w:r>
              <w:t>20.7</w:t>
            </w:r>
          </w:p>
        </w:tc>
        <w:tc>
          <w:tcPr>
            <w:vAlign w:val="center"/>
          </w:tcPr>
          <w:p>
            <w:pPr>
              <w:jc w:val="center"/>
            </w:pPr>
            <w:r>
              <w:t>83.8</w:t>
            </w:r>
          </w:p>
        </w:tc>
      </w:tr>
    </w:tbl>
    <w:p>
      <w:pPr>
        <w:jc w:val="center"/>
      </w:pPr>
    </w:p>
    <w:p>
      <w:pPr>
        <w:jc w:val="center"/>
      </w:pPr>
      <w:r>
        <w:rPr>
          <w:sz w:val="20"/>
          <w:szCs w:val="20"/>
        </w:rPr>
        <w:t>表5.4-2 关窗-空气净化器净化及对应参数表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1002</w:t>
            </w:r>
          </w:p>
        </w:tc>
        <w:tc>
          <w:tcPr>
            <w:vAlign w:val="center"/>
          </w:tcPr>
          <w:p>
            <w:pPr>
              <w:jc w:val="center"/>
            </w:pPr>
            <w:r>
              <w:t>休息厅</w:t>
            </w:r>
          </w:p>
        </w:tc>
        <w:tc>
          <w:tcPr>
            <w:vAlign w:val="center"/>
          </w:tcPr>
          <w:p>
            <w:pPr>
              <w:jc w:val="center"/>
            </w:pPr>
            <w:r>
              <w:t>390.5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1010</w:t>
            </w:r>
          </w:p>
        </w:tc>
        <w:tc>
          <w:tcPr>
            <w:vAlign w:val="center"/>
          </w:tcPr>
          <w:p>
            <w:pPr>
              <w:jc w:val="center"/>
            </w:pPr>
            <w:r>
              <w:t>前厅</w:t>
            </w:r>
          </w:p>
        </w:tc>
        <w:tc>
          <w:tcPr>
            <w:vAlign w:val="center"/>
          </w:tcPr>
          <w:p>
            <w:pPr>
              <w:jc w:val="center"/>
            </w:pPr>
            <w:r>
              <w:t>92.5</w:t>
            </w:r>
          </w:p>
        </w:tc>
      </w:tr>
    </w:tbl>
    <w:p>
      <w:pPr>
        <w:jc w:val="center"/>
      </w:pPr>
    </w:p>
    <w:p>
      <w:pPr>
        <w:jc w:val="center"/>
      </w:pPr>
      <w:r>
        <w:rPr>
          <w:sz w:val="20"/>
          <w:szCs w:val="20"/>
        </w:rPr>
        <w:t>表5.4-3 全新风系统及对应参数表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新风量（m³/h）</w:t>
            </w:r>
          </w:p>
        </w:tc>
        <w:tc>
          <w:tcPr>
            <w:shd w:val="clear" w:color="auto" w:fill="E6E6E6"/>
            <w:vAlign w:val="center"/>
          </w:tcPr>
          <w:p>
            <w:pPr>
              <w:jc w:val="center"/>
            </w:pPr>
            <w:r>
              <w:rPr>
                <w:b/>
              </w:rPr>
              <w:t>新风净化效率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1002</w:t>
            </w:r>
          </w:p>
        </w:tc>
        <w:tc>
          <w:tcPr>
            <w:vAlign w:val="center"/>
          </w:tcPr>
          <w:p>
            <w:pPr>
              <w:jc w:val="center"/>
            </w:pPr>
            <w:r>
              <w:t>休息厅</w:t>
            </w:r>
          </w:p>
        </w:tc>
        <w:tc>
          <w:tcPr>
            <w:vAlign w:val="center"/>
          </w:tcPr>
          <w:p>
            <w:pPr>
              <w:jc w:val="center"/>
            </w:pPr>
            <w:r>
              <w:t>78.1</w:t>
            </w:r>
          </w:p>
        </w:tc>
        <w:tc>
          <w:tcPr>
            <w:vAlign w:val="center"/>
          </w:tcPr>
          <w:p>
            <w:pPr>
              <w:jc w:val="center"/>
            </w:pPr>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1010</w:t>
            </w:r>
          </w:p>
        </w:tc>
        <w:tc>
          <w:tcPr>
            <w:vAlign w:val="center"/>
          </w:tcPr>
          <w:p>
            <w:pPr>
              <w:jc w:val="center"/>
            </w:pPr>
            <w:r>
              <w:t>前厅</w:t>
            </w:r>
          </w:p>
        </w:tc>
        <w:tc>
          <w:tcPr>
            <w:vAlign w:val="center"/>
          </w:tcPr>
          <w:p>
            <w:pPr>
              <w:jc w:val="center"/>
            </w:pPr>
            <w:r>
              <w:t>18.5</w:t>
            </w:r>
          </w:p>
        </w:tc>
        <w:tc>
          <w:tcPr>
            <w:vAlign w:val="center"/>
          </w:tcPr>
          <w:p>
            <w:pPr>
              <w:jc w:val="center"/>
            </w:pPr>
            <w:r>
              <w:t>0.99</w:t>
            </w:r>
          </w:p>
        </w:tc>
      </w:tr>
    </w:tbl>
    <w:p>
      <w:pPr>
        <w:jc w:val="center"/>
      </w:pPr>
    </w:p>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8" w:name="_Toc23831"/>
      <w:r>
        <w:rPr>
          <w:rFonts w:hint="eastAsia" w:ascii="黑体" w:hAnsi="黑体" w:eastAsia="黑体"/>
          <w:kern w:val="32"/>
          <w:sz w:val="28"/>
          <w:szCs w:val="28"/>
        </w:rPr>
        <w:t>计算结果</w:t>
      </w:r>
      <w:bookmarkEnd w:id="28"/>
    </w:p>
    <w:p>
      <w:pPr>
        <w:spacing w:after="156" w:afterLines="50"/>
        <w:ind w:firstLine="420" w:firstLineChars="200"/>
      </w:pPr>
      <w:r>
        <w:rPr>
          <w:rFonts w:hint="eastAsia"/>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PM2.5</w:t>
            </w:r>
          </w:p>
        </w:tc>
        <w:tc>
          <w:tcPr>
            <w:shd w:val="clear" w:color="auto" w:fill="E6E6E6"/>
            <w:vAlign w:val="center"/>
          </w:tcPr>
          <w:p>
            <w:pPr>
              <w:jc w:val="center"/>
            </w:pPr>
            <w:r>
              <w:rPr>
                <w:b/>
              </w:rPr>
              <w:t>PM10</w:t>
            </w:r>
          </w:p>
        </w:tc>
        <w:tc>
          <w:tcPr>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1002</w:t>
            </w:r>
          </w:p>
        </w:tc>
        <w:tc>
          <w:tcPr>
            <w:vAlign w:val="center"/>
          </w:tcPr>
          <w:p>
            <w:pPr>
              <w:jc w:val="center"/>
            </w:pPr>
            <w:r>
              <w:t>休息厅</w:t>
            </w:r>
          </w:p>
        </w:tc>
        <w:tc>
          <w:tcPr>
            <w:vAlign w:val="center"/>
          </w:tcPr>
          <w:p>
            <w:pPr>
              <w:jc w:val="center"/>
            </w:pPr>
            <w:r>
              <w:t>0</w:t>
            </w:r>
          </w:p>
        </w:tc>
        <w:tc>
          <w:tcPr>
            <w:vAlign w:val="center"/>
          </w:tcPr>
          <w:p>
            <w:pPr>
              <w:jc w:val="center"/>
            </w:pPr>
            <w:r>
              <w:t>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1003</w:t>
            </w:r>
          </w:p>
        </w:tc>
        <w:tc>
          <w:tcPr>
            <w:vAlign w:val="center"/>
          </w:tcPr>
          <w:p>
            <w:pPr>
              <w:jc w:val="center"/>
            </w:pPr>
            <w:r>
              <w:t>书房</w:t>
            </w:r>
          </w:p>
        </w:tc>
        <w:tc>
          <w:tcPr>
            <w:vAlign w:val="center"/>
          </w:tcPr>
          <w:p>
            <w:pPr>
              <w:jc w:val="center"/>
            </w:pPr>
            <w:r>
              <w:t>8</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1005</w:t>
            </w:r>
          </w:p>
        </w:tc>
        <w:tc>
          <w:tcPr>
            <w:vAlign w:val="center"/>
          </w:tcPr>
          <w:p>
            <w:pPr>
              <w:jc w:val="center"/>
            </w:pPr>
            <w:r>
              <w:t>主卧</w:t>
            </w:r>
          </w:p>
        </w:tc>
        <w:tc>
          <w:tcPr>
            <w:vAlign w:val="center"/>
          </w:tcPr>
          <w:p>
            <w:pPr>
              <w:jc w:val="center"/>
            </w:pPr>
            <w:r>
              <w:t>8</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1006</w:t>
            </w:r>
          </w:p>
        </w:tc>
        <w:tc>
          <w:tcPr>
            <w:vAlign w:val="center"/>
          </w:tcPr>
          <w:p>
            <w:pPr>
              <w:jc w:val="center"/>
            </w:pPr>
            <w:r>
              <w:t>卧室</w:t>
            </w:r>
          </w:p>
        </w:tc>
        <w:tc>
          <w:tcPr>
            <w:vAlign w:val="center"/>
          </w:tcPr>
          <w:p>
            <w:pPr>
              <w:jc w:val="center"/>
            </w:pPr>
            <w:r>
              <w:t>8</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1007</w:t>
            </w:r>
          </w:p>
        </w:tc>
        <w:tc>
          <w:tcPr>
            <w:vAlign w:val="center"/>
          </w:tcPr>
          <w:p>
            <w:pPr>
              <w:jc w:val="center"/>
            </w:pPr>
            <w:r>
              <w:t>儿童卧室</w:t>
            </w:r>
          </w:p>
        </w:tc>
        <w:tc>
          <w:tcPr>
            <w:vAlign w:val="center"/>
          </w:tcPr>
          <w:p>
            <w:pPr>
              <w:jc w:val="center"/>
            </w:pPr>
            <w:r>
              <w:t>8</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1008</w:t>
            </w:r>
          </w:p>
        </w:tc>
        <w:tc>
          <w:tcPr>
            <w:vAlign w:val="center"/>
          </w:tcPr>
          <w:p>
            <w:pPr>
              <w:jc w:val="center"/>
            </w:pPr>
            <w:r>
              <w:t>卧室</w:t>
            </w:r>
          </w:p>
        </w:tc>
        <w:tc>
          <w:tcPr>
            <w:vAlign w:val="center"/>
          </w:tcPr>
          <w:p>
            <w:pPr>
              <w:jc w:val="center"/>
            </w:pPr>
            <w:r>
              <w:t>8</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1010</w:t>
            </w:r>
          </w:p>
        </w:tc>
        <w:tc>
          <w:tcPr>
            <w:vAlign w:val="center"/>
          </w:tcPr>
          <w:p>
            <w:pPr>
              <w:jc w:val="center"/>
            </w:pPr>
            <w:r>
              <w:t>前厅</w:t>
            </w:r>
          </w:p>
        </w:tc>
        <w:tc>
          <w:tcPr>
            <w:vAlign w:val="center"/>
          </w:tcPr>
          <w:p>
            <w:pPr>
              <w:jc w:val="center"/>
            </w:pPr>
            <w:r>
              <w:t>0</w:t>
            </w:r>
          </w:p>
        </w:tc>
        <w:tc>
          <w:tcPr>
            <w:vAlign w:val="center"/>
          </w:tcPr>
          <w:p>
            <w:pPr>
              <w:jc w:val="center"/>
            </w:pPr>
            <w:r>
              <w:t>0</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2002</w:t>
            </w:r>
          </w:p>
        </w:tc>
        <w:tc>
          <w:tcPr>
            <w:vAlign w:val="center"/>
          </w:tcPr>
          <w:p>
            <w:pPr>
              <w:jc w:val="center"/>
            </w:pPr>
            <w:r>
              <w:t>房间</w:t>
            </w:r>
          </w:p>
        </w:tc>
        <w:tc>
          <w:tcPr>
            <w:vAlign w:val="center"/>
          </w:tcPr>
          <w:p>
            <w:pPr>
              <w:jc w:val="center"/>
            </w:pPr>
            <w:r>
              <w:t>9</w:t>
            </w:r>
          </w:p>
        </w:tc>
        <w:tc>
          <w:tcPr>
            <w:vAlign w:val="center"/>
          </w:tcPr>
          <w:p>
            <w:pPr>
              <w:jc w:val="center"/>
            </w:pPr>
            <w:r>
              <w:t>15</w:t>
            </w:r>
          </w:p>
        </w:tc>
        <w:tc>
          <w:tcPr>
            <w:vAlign w:val="center"/>
          </w:tcPr>
          <w:p>
            <w:pPr>
              <w:jc w:val="center"/>
            </w:pPr>
            <w:r>
              <w:rPr>
                <w:b/>
              </w:rPr>
              <w:t>达标</w:t>
            </w:r>
          </w:p>
        </w:tc>
      </w:tr>
    </w:tbl>
    <w:p>
      <w:pPr>
        <w:jc w:val="center"/>
        <w:rPr>
          <w:b/>
        </w:rPr>
      </w:pPr>
      <w:bookmarkStart w:id="29" w:name="室内颗粒物达标判定表"/>
      <w:bookmarkEnd w:id="29"/>
    </w:p>
    <w:p>
      <w:pPr>
        <w:jc w:val="both"/>
        <w:rPr>
          <w:rFonts w:ascii="Times New Roman" w:hAnsi="Times New Roman" w:cs="Times New Roman"/>
          <w:b/>
          <w:szCs w:val="21"/>
        </w:rPr>
      </w:pPr>
      <w:bookmarkStart w:id="30" w:name="颗粒物达标判定图"/>
      <w:bookmarkEnd w:id="30"/>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浓度值</w:t>
            </w:r>
          </w:p>
        </w:tc>
        <w:tc>
          <w:tcPr>
            <w:shd w:val="clear" w:color="auto" w:fill="E6E6E6"/>
            <w:vAlign w:val="center"/>
          </w:tcPr>
          <w:p>
            <w:pPr>
              <w:jc w:val="center"/>
            </w:pPr>
            <w:r>
              <w:rPr>
                <w:b/>
              </w:rPr>
              <w:t>一星级</w:t>
            </w:r>
            <w:r>
              <w:rPr>
                <w:b/>
              </w:rPr>
              <w:br w:type="textWrapping"/>
            </w:r>
            <w:r>
              <w:rPr>
                <w:b/>
              </w:rPr>
              <w:t>&lt;0.135（降低10%）</w:t>
            </w:r>
          </w:p>
        </w:tc>
        <w:tc>
          <w:tcPr>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1002</w:t>
            </w:r>
          </w:p>
        </w:tc>
        <w:tc>
          <w:tcPr>
            <w:vAlign w:val="center"/>
          </w:tcPr>
          <w:p>
            <w:pPr>
              <w:jc w:val="center"/>
            </w:pPr>
            <w:r>
              <w:t>休息厅</w:t>
            </w:r>
          </w:p>
        </w:tc>
        <w:tc>
          <w:tcPr>
            <w:vAlign w:val="center"/>
          </w:tcPr>
          <w:p>
            <w:pPr>
              <w:jc w:val="center"/>
            </w:pPr>
            <w:r>
              <w:t>0.000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1003</w:t>
            </w:r>
          </w:p>
        </w:tc>
        <w:tc>
          <w:tcPr>
            <w:vAlign w:val="center"/>
          </w:tcPr>
          <w:p>
            <w:pPr>
              <w:jc w:val="center"/>
            </w:pPr>
            <w:r>
              <w:t>书房</w:t>
            </w:r>
          </w:p>
        </w:tc>
        <w:tc>
          <w:tcPr>
            <w:vAlign w:val="center"/>
          </w:tcPr>
          <w:p>
            <w:pPr>
              <w:jc w:val="center"/>
            </w:pPr>
            <w:r>
              <w:t>0.029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1005</w:t>
            </w:r>
          </w:p>
        </w:tc>
        <w:tc>
          <w:tcPr>
            <w:vAlign w:val="center"/>
          </w:tcPr>
          <w:p>
            <w:pPr>
              <w:jc w:val="center"/>
            </w:pPr>
            <w:r>
              <w:t>主卧</w:t>
            </w:r>
          </w:p>
        </w:tc>
        <w:tc>
          <w:tcPr>
            <w:vAlign w:val="center"/>
          </w:tcPr>
          <w:p>
            <w:pPr>
              <w:jc w:val="center"/>
            </w:pPr>
            <w:r>
              <w:t>0.029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1006</w:t>
            </w:r>
          </w:p>
        </w:tc>
        <w:tc>
          <w:tcPr>
            <w:vAlign w:val="center"/>
          </w:tcPr>
          <w:p>
            <w:pPr>
              <w:jc w:val="center"/>
            </w:pPr>
            <w:r>
              <w:t>卧室</w:t>
            </w:r>
          </w:p>
        </w:tc>
        <w:tc>
          <w:tcPr>
            <w:vAlign w:val="center"/>
          </w:tcPr>
          <w:p>
            <w:pPr>
              <w:jc w:val="center"/>
            </w:pPr>
            <w:r>
              <w:t>0.029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1007</w:t>
            </w:r>
          </w:p>
        </w:tc>
        <w:tc>
          <w:tcPr>
            <w:vAlign w:val="center"/>
          </w:tcPr>
          <w:p>
            <w:pPr>
              <w:jc w:val="center"/>
            </w:pPr>
            <w:r>
              <w:t>儿童卧室</w:t>
            </w:r>
          </w:p>
        </w:tc>
        <w:tc>
          <w:tcPr>
            <w:vAlign w:val="center"/>
          </w:tcPr>
          <w:p>
            <w:pPr>
              <w:jc w:val="center"/>
            </w:pPr>
            <w:r>
              <w:t>0.029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1008</w:t>
            </w:r>
          </w:p>
        </w:tc>
        <w:tc>
          <w:tcPr>
            <w:vAlign w:val="center"/>
          </w:tcPr>
          <w:p>
            <w:pPr>
              <w:jc w:val="center"/>
            </w:pPr>
            <w:r>
              <w:t>卧室</w:t>
            </w:r>
          </w:p>
        </w:tc>
        <w:tc>
          <w:tcPr>
            <w:vAlign w:val="center"/>
          </w:tcPr>
          <w:p>
            <w:pPr>
              <w:jc w:val="center"/>
            </w:pPr>
            <w:r>
              <w:t>0.029</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1010</w:t>
            </w:r>
          </w:p>
        </w:tc>
        <w:tc>
          <w:tcPr>
            <w:vAlign w:val="center"/>
          </w:tcPr>
          <w:p>
            <w:pPr>
              <w:jc w:val="center"/>
            </w:pPr>
            <w:r>
              <w:t>前厅</w:t>
            </w:r>
          </w:p>
        </w:tc>
        <w:tc>
          <w:tcPr>
            <w:vAlign w:val="center"/>
          </w:tcPr>
          <w:p>
            <w:pPr>
              <w:jc w:val="center"/>
            </w:pPr>
            <w:r>
              <w:t>0.000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2002</w:t>
            </w:r>
          </w:p>
        </w:tc>
        <w:tc>
          <w:tcPr>
            <w:vAlign w:val="center"/>
          </w:tcPr>
          <w:p>
            <w:pPr>
              <w:jc w:val="center"/>
            </w:pPr>
            <w:r>
              <w:t>房间</w:t>
            </w:r>
          </w:p>
        </w:tc>
        <w:tc>
          <w:tcPr>
            <w:vAlign w:val="center"/>
          </w:tcPr>
          <w:p>
            <w:pPr>
              <w:jc w:val="center"/>
            </w:pPr>
            <w:r>
              <w:t>0.032</w:t>
            </w:r>
          </w:p>
        </w:tc>
        <w:tc>
          <w:tcPr>
            <w:vAlign w:val="center"/>
          </w:tcPr>
          <w:p>
            <w:pPr>
              <w:jc w:val="center"/>
            </w:pPr>
            <w:r>
              <w:rPr>
                <w:b/>
              </w:rPr>
              <w:t>达标</w:t>
            </w:r>
          </w:p>
        </w:tc>
        <w:tc>
          <w:tcPr>
            <w:vAlign w:val="center"/>
          </w:tcPr>
          <w:p>
            <w:pPr>
              <w:jc w:val="center"/>
            </w:pPr>
            <w:r>
              <w:rPr>
                <w:b/>
              </w:rPr>
              <w:t>达标</w:t>
            </w:r>
          </w:p>
        </w:tc>
      </w:tr>
    </w:tbl>
    <w:p>
      <w:pPr>
        <w:jc w:val="both"/>
        <w:rPr>
          <w:rFonts w:ascii="Times New Roman" w:hAnsi="Times New Roman" w:cs="Times New Roman"/>
          <w:b/>
          <w:szCs w:val="21"/>
        </w:rPr>
      </w:pPr>
      <w:bookmarkStart w:id="31" w:name="室内PM10日均值达标判定表"/>
      <w:bookmarkEnd w:id="31"/>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2" w:name="_Toc17408"/>
      <w:r>
        <w:rPr>
          <w:rFonts w:hint="eastAsia" w:ascii="黑体" w:hAnsi="黑体" w:eastAsia="黑体"/>
          <w:kern w:val="32"/>
          <w:sz w:val="28"/>
          <w:szCs w:val="28"/>
        </w:rPr>
        <w:t>结论</w:t>
      </w:r>
      <w:bookmarkEnd w:id="32"/>
    </w:p>
    <w:p>
      <w:pPr>
        <w:spacing w:after="156" w:afterLines="50"/>
        <w:ind w:firstLine="420"/>
      </w:pPr>
      <w:r>
        <w:rPr>
          <w:rFonts w:hint="eastAsia"/>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33" w:name="颗粒物计算结果"/>
            <w:r>
              <w:rPr>
                <w:rFonts w:ascii="Times New Roman" w:hAnsi="Times New Roman" w:cs="Times New Roman"/>
                <w:szCs w:val="20"/>
              </w:rPr>
              <w:t>PM2.5年均浓度9μg/m³
PM10年均浓度15μg/m³</w:t>
            </w:r>
            <w:bookmarkEnd w:id="33"/>
          </w:p>
        </w:tc>
        <w:tc>
          <w:tcPr>
            <w:tcW w:w="850" w:type="dxa"/>
            <w:shd w:val="clear" w:color="auto" w:fill="FEF2CC" w:themeFill="accent4" w:themeFillTint="33"/>
            <w:noWrap/>
            <w:vAlign w:val="center"/>
          </w:tcPr>
          <w:p>
            <w:pPr>
              <w:jc w:val="center"/>
              <w:rPr>
                <w:b/>
                <w:bCs/>
              </w:rPr>
            </w:pPr>
            <w:bookmarkStart w:id="34" w:name="颗粒物评分项结论"/>
            <w:r>
              <w:rPr>
                <w:b/>
                <w:bCs/>
              </w:rPr>
              <w:t>满足</w:t>
            </w:r>
            <w:bookmarkEnd w:id="34"/>
          </w:p>
        </w:tc>
        <w:tc>
          <w:tcPr>
            <w:tcW w:w="794" w:type="dxa"/>
            <w:shd w:val="clear" w:color="auto" w:fill="FEF2CC" w:themeFill="accent4" w:themeFillTint="33"/>
            <w:noWrap/>
            <w:vAlign w:val="center"/>
          </w:tcPr>
          <w:p>
            <w:pPr>
              <w:jc w:val="center"/>
              <w:rPr>
                <w:b/>
                <w:bCs/>
              </w:rPr>
            </w:pPr>
            <w:bookmarkStart w:id="35" w:name="颗粒物评分项得分"/>
            <w:r>
              <w:rPr>
                <w:b/>
                <w:bCs/>
              </w:rPr>
              <w:t>6</w:t>
            </w:r>
            <w:bookmarkEnd w:id="35"/>
            <w:r>
              <w:rPr>
                <w:rFonts w:hint="eastAsia"/>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6</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docVars>
    <w:docVar w:name="commondata" w:val="eyJoZGlkIjoiMGRiOWIxZGIwNGNkOGNjZmJjN2I0ZWI3N2ZkMzhkYzQifQ=="/>
  </w:docVars>
  <w:rsids>
    <w:rsidRoot w:val="00217F62"/>
    <w:rsid w:val="001915A3"/>
    <w:rsid w:val="00217F62"/>
    <w:rsid w:val="00A906D8"/>
    <w:rsid w:val="00AB5A74"/>
    <w:rsid w:val="00F071AE"/>
    <w:rsid w:val="0C772FCB"/>
    <w:rsid w:val="365F4076"/>
    <w:rsid w:val="5FB22A70"/>
    <w:rsid w:val="71F1053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99"/>
    <w:rPr>
      <w:sz w:val="20"/>
      <w:szCs w:val="20"/>
    </w:rPr>
  </w:style>
  <w:style w:type="paragraph" w:styleId="12">
    <w:name w:val="toc 3"/>
    <w:basedOn w:val="1"/>
    <w:next w:val="1"/>
    <w:qFormat/>
    <w:uiPriority w:val="39"/>
    <w:pPr>
      <w:widowControl/>
      <w:ind w:left="840" w:leftChars="400"/>
    </w:pPr>
    <w:rPr>
      <w:rFonts w:ascii="Times New Roman" w:hAnsi="Times New Roman" w:cs="Times New Roman"/>
      <w:szCs w:val="24"/>
    </w:rPr>
  </w:style>
  <w:style w:type="paragraph" w:styleId="13">
    <w:name w:val="Balloon Text"/>
    <w:basedOn w:val="1"/>
    <w:link w:val="38"/>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cs="Times New Roman"/>
      <w:szCs w:val="24"/>
    </w:rPr>
  </w:style>
  <w:style w:type="paragraph" w:styleId="17">
    <w:name w:val="toc 2"/>
    <w:basedOn w:val="1"/>
    <w:next w:val="1"/>
    <w:qFormat/>
    <w:uiPriority w:val="39"/>
    <w:pPr>
      <w:widowControl/>
      <w:ind w:left="200" w:leftChars="200"/>
    </w:pPr>
    <w:rPr>
      <w:rFonts w:ascii="Times New Roman" w:hAnsi="Times New Roman" w:cs="Times New Roman"/>
      <w:szCs w:val="24"/>
    </w:rPr>
  </w:style>
  <w:style w:type="paragraph" w:styleId="18">
    <w:name w:val="annotation subject"/>
    <w:basedOn w:val="11"/>
    <w:next w:val="11"/>
    <w:link w:val="41"/>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annotation reference"/>
    <w:basedOn w:val="21"/>
    <w:semiHidden/>
    <w:unhideWhenUsed/>
    <w:qFormat/>
    <w:uiPriority w:val="99"/>
    <w:rPr>
      <w:sz w:val="16"/>
      <w:szCs w:val="16"/>
    </w:rPr>
  </w:style>
  <w:style w:type="character" w:customStyle="1" w:styleId="24">
    <w:name w:val="页眉 Char"/>
    <w:basedOn w:val="21"/>
    <w:link w:val="15"/>
    <w:qFormat/>
    <w:uiPriority w:val="0"/>
    <w:rPr>
      <w:sz w:val="18"/>
      <w:szCs w:val="18"/>
    </w:rPr>
  </w:style>
  <w:style w:type="character" w:customStyle="1" w:styleId="25">
    <w:name w:val="页脚 Char"/>
    <w:basedOn w:val="21"/>
    <w:link w:val="14"/>
    <w:qFormat/>
    <w:uiPriority w:val="99"/>
    <w:rPr>
      <w:sz w:val="18"/>
      <w:szCs w:val="18"/>
    </w:rPr>
  </w:style>
  <w:style w:type="character" w:customStyle="1" w:styleId="26">
    <w:name w:val="标题 2 字符"/>
    <w:basedOn w:val="21"/>
    <w:semiHidden/>
    <w:qFormat/>
    <w:uiPriority w:val="9"/>
    <w:rPr>
      <w:rFonts w:asciiTheme="majorHAnsi" w:hAnsiTheme="majorHAnsi" w:eastAsiaTheme="majorEastAsia" w:cstheme="majorBidi"/>
      <w:b/>
      <w:bCs/>
      <w:sz w:val="32"/>
      <w:szCs w:val="32"/>
    </w:rPr>
  </w:style>
  <w:style w:type="character" w:customStyle="1" w:styleId="27">
    <w:name w:val="标题 3 Char"/>
    <w:basedOn w:val="21"/>
    <w:link w:val="4"/>
    <w:qFormat/>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qFormat/>
    <w:uiPriority w:val="0"/>
    <w:rPr>
      <w:rFonts w:ascii="Arial" w:hAnsi="Arial" w:eastAsia="黑体" w:cs="Times New Roman"/>
      <w:b/>
      <w:bCs/>
      <w:sz w:val="24"/>
      <w:szCs w:val="28"/>
    </w:rPr>
  </w:style>
  <w:style w:type="character" w:customStyle="1" w:styleId="29">
    <w:name w:val="标题 2 Char"/>
    <w:link w:val="3"/>
    <w:qFormat/>
    <w:uiPriority w:val="0"/>
    <w:rPr>
      <w:rFonts w:ascii="Arial" w:hAnsi="Arial" w:eastAsia="黑体" w:cs="Times New Roman"/>
      <w:b/>
      <w:bCs/>
      <w:sz w:val="30"/>
      <w:szCs w:val="32"/>
      <w:lang w:val="zh-CN" w:eastAsia="zh-CN"/>
    </w:rPr>
  </w:style>
  <w:style w:type="character" w:customStyle="1" w:styleId="30">
    <w:name w:val="标题 1 Char"/>
    <w:basedOn w:val="21"/>
    <w:link w:val="2"/>
    <w:qFormat/>
    <w:uiPriority w:val="9"/>
    <w:rPr>
      <w:b/>
      <w:bCs/>
      <w:kern w:val="44"/>
      <w:sz w:val="44"/>
      <w:szCs w:val="44"/>
    </w:rPr>
  </w:style>
  <w:style w:type="character" w:customStyle="1" w:styleId="31">
    <w:name w:val="标题 5 Char"/>
    <w:basedOn w:val="21"/>
    <w:link w:val="6"/>
    <w:qFormat/>
    <w:uiPriority w:val="0"/>
    <w:rPr>
      <w:rFonts w:ascii="Arial" w:hAnsi="Arial" w:eastAsia="黑体" w:cs="Times New Roman"/>
      <w:b/>
      <w:sz w:val="28"/>
      <w:szCs w:val="28"/>
      <w:lang w:val="zh-CN" w:eastAsia="zh-CN"/>
    </w:rPr>
  </w:style>
  <w:style w:type="character" w:customStyle="1" w:styleId="32">
    <w:name w:val="标题 6 Char"/>
    <w:basedOn w:val="21"/>
    <w:link w:val="7"/>
    <w:qFormat/>
    <w:uiPriority w:val="0"/>
    <w:rPr>
      <w:rFonts w:ascii="Arial" w:hAnsi="Arial" w:eastAsia="黑体" w:cs="Times New Roman"/>
      <w:b/>
      <w:bCs/>
      <w:sz w:val="24"/>
      <w:szCs w:val="24"/>
    </w:rPr>
  </w:style>
  <w:style w:type="character" w:customStyle="1" w:styleId="33">
    <w:name w:val="标题 7 Char"/>
    <w:basedOn w:val="21"/>
    <w:link w:val="8"/>
    <w:qFormat/>
    <w:uiPriority w:val="0"/>
    <w:rPr>
      <w:rFonts w:ascii="Times New Roman" w:hAnsi="Times New Roman" w:eastAsia="宋体" w:cs="Times New Roman"/>
      <w:b/>
      <w:bCs/>
      <w:sz w:val="24"/>
      <w:szCs w:val="24"/>
    </w:rPr>
  </w:style>
  <w:style w:type="character" w:customStyle="1" w:styleId="34">
    <w:name w:val="标题 8 Char"/>
    <w:basedOn w:val="21"/>
    <w:link w:val="9"/>
    <w:qFormat/>
    <w:uiPriority w:val="0"/>
    <w:rPr>
      <w:rFonts w:ascii="Arial" w:hAnsi="Arial" w:eastAsia="黑体" w:cs="Times New Roman"/>
      <w:sz w:val="24"/>
      <w:szCs w:val="24"/>
    </w:rPr>
  </w:style>
  <w:style w:type="character" w:customStyle="1" w:styleId="35">
    <w:name w:val="标题 9 Char"/>
    <w:basedOn w:val="21"/>
    <w:link w:val="10"/>
    <w:qFormat/>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cs="Times New Roman"/>
    </w:rPr>
  </w:style>
  <w:style w:type="character" w:customStyle="1" w:styleId="38">
    <w:name w:val="批注框文本 Char"/>
    <w:basedOn w:val="21"/>
    <w:link w:val="13"/>
    <w:semiHidden/>
    <w:qFormat/>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qFormat/>
    <w:uiPriority w:val="99"/>
    <w:rPr>
      <w:sz w:val="20"/>
      <w:szCs w:val="20"/>
    </w:rPr>
  </w:style>
  <w:style w:type="character" w:customStyle="1" w:styleId="41">
    <w:name w:val="批注主题 Char"/>
    <w:basedOn w:val="40"/>
    <w:link w:val="18"/>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绿色建筑颗粒物预评价报告书.dotx</Template>
  <Company>Microsoft</Company>
  <Pages>6</Pages>
  <Words>463</Words>
  <Characters>2643</Characters>
  <Lines>22</Lines>
  <Paragraphs>6</Paragraphs>
  <TotalTime>1</TotalTime>
  <ScaleCrop>false</ScaleCrop>
  <LinksUpToDate>false</LinksUpToDate>
  <CharactersWithSpaces>3100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2021-08-20T05:58:00Z</dcterms:created>
  <dc:creator>sware</dc:creator>
  <cp:lastModifiedBy>呂慧潔</cp:lastModifiedBy>
  <dcterms:modified xsi:type="dcterms:W3CDTF">2023-12-18T03:29:02Z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5797F0D4B6FF43C7943491B894AAC780_12</vt:lpwstr>
  </property>
</Properties>
</file>