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内墙材料为190厚度</w:t>
            </w:r>
            <w:r>
              <w:t>混凝土多孔砖(190六孔砖）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楼板为100厚钢筋混凝土板、豆石混凝土、面层。室外噪声的降噪措施主要依靠外墙和外门窗的隔断。外墙采用200厚钢筋混凝土墙，外门窗为断桥铝框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</w:t>
            </w:r>
            <w:r>
              <w:rPr>
                <w:rFonts w:ascii="Times New Roman" w:hAnsi="Times New Roman" w:eastAsia="宋体" w:cs="Times New Roman"/>
                <w:szCs w:val="21"/>
              </w:rPr>
              <w:t>构件隔声性能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或</w:t>
            </w:r>
            <w:r>
              <w:rPr>
                <w:rFonts w:ascii="Times New Roman" w:hAnsi="Times New Roman" w:eastAsia="宋体" w:cs="Times New Roman"/>
                <w:szCs w:val="21"/>
              </w:rPr>
              <w:t>主要构件隔声性能的实验室检测报告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3F70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Wu</cp:lastModifiedBy>
  <dcterms:modified xsi:type="dcterms:W3CDTF">2024-03-16T08:16:56Z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7FBE0D7D51864C47B0AF9841B259282F_12</vt:lpwstr>
  </property>
</Properties>
</file>