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8.2.2 规划场地地表和屋面雨水径流，对场地雨水实施外排总量控制。（10分）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4962"/>
        <w:gridCol w:w="1701"/>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22"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62"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29"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dxa"/>
            <w:vAlign w:val="center"/>
          </w:tcPr>
          <w:p>
            <w:pPr>
              <w:jc w:val="center"/>
              <w:rPr>
                <w:rFonts w:ascii="Times New Roman" w:hAnsi="Times New Roman" w:cs="Times New Roman"/>
              </w:rPr>
            </w:pPr>
            <w:r>
              <w:rPr>
                <w:rFonts w:ascii="Times New Roman" w:hAnsi="Times New Roman" w:cs="Times New Roman"/>
              </w:rPr>
              <w:t>1</w:t>
            </w:r>
          </w:p>
        </w:tc>
        <w:tc>
          <w:tcPr>
            <w:tcW w:w="4962" w:type="dxa"/>
            <w:vAlign w:val="center"/>
          </w:tcPr>
          <w:p>
            <w:pPr>
              <w:jc w:val="left"/>
              <w:rPr>
                <w:rFonts w:ascii="Times New Roman" w:hAnsi="Times New Roman" w:cs="Times New Roman"/>
              </w:rPr>
            </w:pPr>
            <w:r>
              <w:rPr>
                <w:rFonts w:ascii="Times New Roman" w:hAnsi="Times New Roman" w:cs="Times New Roman"/>
              </w:rPr>
              <w:t>场地年径流总量控制率达到55%</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5</w:t>
            </w:r>
          </w:p>
        </w:tc>
        <w:sdt>
          <w:sdtPr>
            <w:rPr>
              <w:rFonts w:hint="default" w:ascii="Times New Roman" w:hAnsi="Times New Roman" w:eastAsia="宋体" w:cs="Times New Roman"/>
              <w:szCs w:val="21"/>
              <w:lang w:val="en-US"/>
            </w:rPr>
            <w:id w:val="-1221674549"/>
            <w:placeholder>
              <w:docPart w:val="02F66056823042BCA0DE405C905D244E"/>
            </w:placeholder>
            <w:text/>
          </w:sdtPr>
          <w:sdtEndPr>
            <w:rPr>
              <w:rFonts w:hint="eastAsia" w:ascii="Times New Roman" w:hAnsi="Times New Roman" w:eastAsia="宋体" w:cs="Times New Roman"/>
              <w:szCs w:val="21"/>
            </w:rPr>
          </w:sdtEndPr>
          <w:sdtContent>
            <w:tc>
              <w:tcPr>
                <w:tcW w:w="1629" w:type="dxa"/>
                <w:vMerge w:val="restart"/>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2" w:type="dxa"/>
            <w:vAlign w:val="center"/>
          </w:tcPr>
          <w:p>
            <w:pPr>
              <w:jc w:val="center"/>
              <w:rPr>
                <w:rFonts w:ascii="Times New Roman" w:hAnsi="Times New Roman" w:cs="Times New Roman"/>
              </w:rPr>
            </w:pPr>
            <w:r>
              <w:rPr>
                <w:rFonts w:ascii="Times New Roman" w:hAnsi="Times New Roman" w:cs="Times New Roman"/>
              </w:rPr>
              <w:t>2</w:t>
            </w:r>
          </w:p>
        </w:tc>
        <w:tc>
          <w:tcPr>
            <w:tcW w:w="4962" w:type="dxa"/>
            <w:vAlign w:val="center"/>
          </w:tcPr>
          <w:p>
            <w:pPr>
              <w:jc w:val="left"/>
              <w:rPr>
                <w:rFonts w:ascii="Times New Roman" w:hAnsi="Times New Roman" w:cs="Times New Roman"/>
              </w:rPr>
            </w:pPr>
            <w:r>
              <w:rPr>
                <w:rFonts w:ascii="Times New Roman" w:hAnsi="Times New Roman" w:cs="Times New Roman"/>
              </w:rPr>
              <w:t>场地年径流总量控制率达到70%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10</w:t>
            </w:r>
          </w:p>
        </w:tc>
        <w:tc>
          <w:tcPr>
            <w:tcW w:w="1629" w:type="dxa"/>
            <w:vMerge w:val="continue"/>
            <w:vAlign w:val="center"/>
          </w:tcPr>
          <w:p>
            <w:pPr>
              <w:jc w:val="center"/>
              <w:rPr>
                <w:rFonts w:ascii="Times New Roman" w:hAnsi="Times New Roman" w:cs="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884" w:type="dxa"/>
            <w:gridSpan w:val="2"/>
            <w:vAlign w:val="center"/>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10</w:t>
            </w:r>
          </w:p>
        </w:tc>
        <w:sdt>
          <w:sdtPr>
            <w:rPr>
              <w:rFonts w:hint="eastAsia" w:ascii="Times New Roman" w:hAnsi="Times New Roman" w:eastAsia="宋体" w:cs="Times New Roman"/>
              <w:szCs w:val="21"/>
            </w:rPr>
            <w:id w:val="402420764"/>
            <w:placeholder>
              <w:docPart w:val="D3302F1DEF0C4A7EA55A25F6271A25A2"/>
            </w:placeholder>
            <w:text/>
          </w:sdtPr>
          <w:sdtEndPr>
            <w:rPr>
              <w:rFonts w:hint="eastAsia" w:ascii="Times New Roman" w:hAnsi="Times New Roman" w:eastAsia="宋体" w:cs="Times New Roman"/>
              <w:szCs w:val="21"/>
            </w:rPr>
          </w:sdtEndPr>
          <w:sdtContent>
            <w:tc>
              <w:tcPr>
                <w:tcW w:w="1629" w:type="dxa"/>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10</w:t>
                </w:r>
                <w:r>
                  <w:rPr>
                    <w:rFonts w:hint="eastAsia" w:ascii="Times New Roman" w:hAnsi="Times New Roman" w:eastAsia="宋体" w:cs="Times New Roman"/>
                    <w:szCs w:val="21"/>
                  </w:rPr>
                  <w:t xml:space="preserve">  </w:t>
                </w:r>
              </w:p>
            </w:tc>
          </w:sdtContent>
        </w:sdt>
      </w:tr>
    </w:tbl>
    <w:p>
      <w:pPr>
        <w:spacing w:before="156" w:beforeLines="50" w:after="156" w:afterLines="50"/>
        <w:rPr>
          <w:rFonts w:hint="default" w:ascii="Times New Roman" w:hAnsi="Times New Roman" w:eastAsia="宋体" w:cs="Times New Roman"/>
          <w:b/>
          <w:szCs w:val="21"/>
          <w:lang w:val="en-US" w:eastAsia="zh-CN"/>
        </w:rPr>
      </w:pPr>
      <w:r>
        <w:rPr>
          <w:rFonts w:ascii="Times New Roman" w:hAnsi="Times New Roman" w:eastAsia="宋体" w:cs="Times New Roman"/>
          <w:b/>
          <w:szCs w:val="21"/>
        </w:rPr>
        <w:t>2 评价要点</w:t>
      </w:r>
    </w:p>
    <w:p>
      <w:pPr>
        <w:rPr>
          <w:u w:val="single"/>
        </w:rPr>
      </w:pPr>
      <w:r>
        <w:rPr>
          <w:rFonts w:hint="eastAsia"/>
        </w:rPr>
        <w:t>项目所在地</w:t>
      </w:r>
      <w:sdt>
        <w:sdtPr>
          <w:rPr>
            <w:rFonts w:hint="eastAsia"/>
            <w:u w:val="single"/>
          </w:rPr>
          <w:id w:val="543723202"/>
        </w:sdtPr>
        <w:sdtEndPr>
          <w:rPr>
            <w:rFonts w:hint="eastAsia"/>
            <w:u w:val="single"/>
          </w:rPr>
        </w:sdtEndPr>
        <w:sdtContent>
          <w:r>
            <w:rPr>
              <w:rFonts w:hint="eastAsia"/>
              <w:u w:val="single"/>
            </w:rPr>
            <w:t xml:space="preserve">   </w:t>
          </w:r>
          <w:r>
            <w:rPr>
              <w:rFonts w:hint="eastAsia"/>
              <w:u w:val="single"/>
              <w:lang w:val="en-US" w:eastAsia="zh-CN"/>
            </w:rPr>
            <w:t>鞍山岫岩</w:t>
          </w:r>
          <w:r>
            <w:rPr>
              <w:rFonts w:hint="eastAsia"/>
              <w:u w:val="single"/>
            </w:rPr>
            <w:t xml:space="preserve">  </w:t>
          </w:r>
        </w:sdtContent>
      </w:sdt>
      <w:r>
        <w:rPr>
          <w:rFonts w:hint="eastAsia"/>
        </w:rPr>
        <w:t>，当地年均降雨量</w:t>
      </w:r>
      <w:sdt>
        <w:sdtPr>
          <w:rPr>
            <w:rFonts w:hint="eastAsia"/>
            <w:u w:val="single"/>
          </w:rPr>
          <w:id w:val="1310596693"/>
        </w:sdtPr>
        <w:sdtEndPr>
          <w:rPr>
            <w:rFonts w:hint="eastAsia"/>
            <w:u w:val="single"/>
          </w:rPr>
        </w:sdtEndPr>
        <w:sdtContent>
          <w:r>
            <w:rPr>
              <w:rFonts w:hint="eastAsia"/>
              <w:u w:val="single"/>
            </w:rPr>
            <w:t xml:space="preserve">  </w:t>
          </w:r>
          <w:r>
            <w:rPr>
              <w:u w:val="single"/>
            </w:rPr>
            <w:t xml:space="preserve">     </w:t>
          </w:r>
          <w:r>
            <w:rPr>
              <w:rFonts w:hint="eastAsia"/>
              <w:u w:val="single"/>
            </w:rPr>
            <w:t xml:space="preserve">     </w:t>
          </w:r>
        </w:sdtContent>
      </w:sdt>
      <w:r>
        <w:t>mm</w:t>
      </w:r>
    </w:p>
    <w:p>
      <w:pPr>
        <w:rPr>
          <w:u w:val="single"/>
        </w:rPr>
      </w:pPr>
      <w:r>
        <w:rPr>
          <w:rFonts w:hint="eastAsia"/>
        </w:rPr>
        <w:t>场地年综合径流系数</w:t>
      </w:r>
      <w:sdt>
        <w:sdtPr>
          <w:rPr>
            <w:rFonts w:hint="eastAsia"/>
            <w:u w:val="single"/>
          </w:rPr>
          <w:id w:val="-1989316298"/>
        </w:sdtPr>
        <w:sdtEndPr>
          <w:rPr>
            <w:rFonts w:hint="eastAsia"/>
            <w:u w:val="single"/>
          </w:rPr>
        </w:sdtEndPr>
        <w:sdtContent>
          <w:r>
            <w:rPr>
              <w:rFonts w:hint="eastAsia"/>
              <w:u w:val="single"/>
            </w:rPr>
            <w:t xml:space="preserve">       </w:t>
          </w:r>
        </w:sdtContent>
      </w:sdt>
      <w:r>
        <w:rPr>
          <w:rFonts w:hint="eastAsia"/>
        </w:rPr>
        <w:t>，场地年径流总量控制率</w:t>
      </w:r>
      <w:sdt>
        <w:sdtPr>
          <w:rPr>
            <w:rFonts w:hint="eastAsia"/>
            <w:u w:val="single"/>
          </w:rPr>
          <w:id w:val="-485780857"/>
        </w:sdtPr>
        <w:sdtEndPr>
          <w:rPr>
            <w:rFonts w:hint="eastAsia"/>
            <w:u w:val="single"/>
          </w:rPr>
        </w:sdtEndPr>
        <w:sdtContent>
          <w:r>
            <w:rPr>
              <w:rFonts w:hint="eastAsia"/>
              <w:u w:val="single"/>
            </w:rPr>
            <w:t xml:space="preserve">      </w:t>
          </w:r>
        </w:sdtContent>
      </w:sdt>
      <w:r>
        <w:rPr>
          <w:rFonts w:hint="eastAsia"/>
        </w:rPr>
        <w:t>%</w:t>
      </w:r>
    </w:p>
    <w:p>
      <w:pPr>
        <w:rPr>
          <w:rFonts w:ascii="Times New Roman" w:hAnsi="Times New Roman" w:eastAsia="宋体" w:cs="Times New Roman"/>
          <w:szCs w:val="21"/>
        </w:rPr>
      </w:pPr>
      <w:r>
        <w:rPr>
          <w:rFonts w:hint="eastAsia"/>
        </w:rPr>
        <w:t>请简要说明雨水外排控制措施。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320" w:firstLineChars="200"/>
              <w:rPr>
                <w:rFonts w:hint="eastAsia" w:ascii="Times New Roman" w:hAnsi="Times New Roman" w:eastAsia="宋体" w:cs="Times New Roman"/>
                <w:kern w:val="0"/>
                <w:sz w:val="16"/>
                <w:szCs w:val="16"/>
              </w:rPr>
            </w:pPr>
            <w:r>
              <w:rPr>
                <w:rFonts w:hint="eastAsia" w:ascii="Times New Roman" w:hAnsi="Times New Roman" w:eastAsia="宋体" w:cs="Times New Roman"/>
                <w:kern w:val="0"/>
                <w:sz w:val="16"/>
                <w:szCs w:val="16"/>
              </w:rPr>
              <w:t>室外草地与花园雨水收集：在草地上设置流水篦子</w:t>
            </w:r>
            <w:bookmarkStart w:id="0" w:name="_GoBack"/>
            <w:bookmarkEnd w:id="0"/>
            <w:r>
              <w:rPr>
                <w:rFonts w:hint="eastAsia" w:ascii="Times New Roman" w:hAnsi="Times New Roman" w:eastAsia="宋体" w:cs="Times New Roman"/>
                <w:kern w:val="0"/>
                <w:sz w:val="16"/>
                <w:szCs w:val="16"/>
              </w:rPr>
              <w:t>，且流水篦子下设置渗水井，渗水井底部与就近盲沟渠道相连，道路雨水经过路面-流水篦子-渗水井-盲沟，最终流入滤池、蓄水池；屋面雨水需要先进行收集，通过收集管（即雨水管）流向整流井中，并且需要在整流井中设计相应的构件来阻挡雨水中夹杂的一些树叶、杂物等，本次设计设置的是格栅，初始流入到整流井中的雨水需要进行弃流处理。除此之外，整流井还能够被用于雨水收集利用系统蓄满时的溢流处理，通过这个将水资源进行有效的利用。雨量具有不均衡性，为了控制雨量的均衡，利用整流井的雨水自流进入雨水调蓄池来进行调控。进入调蓄池的雨水需要通过一级提升泵提升处理后才能够排入到雨水处理系统中，并且利用过滤装置将夹杂在雨水中的杂物进一步的进行清除，符合雨水的要求后才能够将其投放到清水池中。</w:t>
            </w:r>
          </w:p>
          <w:p>
            <w:pPr>
              <w:ind w:firstLine="32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16"/>
                <w:szCs w:val="16"/>
              </w:rPr>
              <w:t>（3）玉雕废水收集：玉雕设计过程中产生的废水经屋面设计的排水明沟排入到室内初沉池中，排水明沟宽 300mm，坡向初沉池，初沉池 1.8*1.5*1.5m，经DN100 管路排入二沉池，中间设置两个检查井。</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r>
        <w:rPr>
          <w:rFonts w:hint="eastAsia"/>
        </w:rPr>
        <w:t>1）景观专业竣工图纸及设计说明，应包括总平面竖向图、场地铺装平面图、种植图、雨水生态调蓄、处理设施详图；</w:t>
      </w:r>
    </w:p>
    <w:p>
      <w:r>
        <w:rPr>
          <w:rFonts w:hint="eastAsia"/>
        </w:rPr>
        <w:t>2）给排水专业竣工图纸及设计说明，应包括室外雨水平面图、雨水利用设施工艺图或调蓄设施详图；</w:t>
      </w:r>
    </w:p>
    <w:p>
      <w:r>
        <w:rPr>
          <w:rFonts w:hint="eastAsia"/>
        </w:rPr>
        <w:t>3）雨水外排控制专项规划设计实施文件，应包括年径流总量控制率计算书、设计控制雨量计算书、场地雨水综合利用方案等。</w:t>
      </w:r>
    </w:p>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r>
              <w:rPr>
                <w:rFonts w:hint="eastAsia"/>
              </w:rPr>
              <w:t>1）景观专业竣工图纸及设计说明，应包括总平面竖向图、场地铺装平面图、种植图、雨水生态调蓄、处理设施详图；</w:t>
            </w:r>
          </w:p>
          <w:p>
            <w:r>
              <w:rPr>
                <w:rFonts w:hint="eastAsia"/>
              </w:rPr>
              <w:t>2）给排水专业竣工图纸及设计说明，应包括室外雨水平面图、雨水利用设施工艺图或调蓄设施详图；</w:t>
            </w:r>
          </w:p>
          <w:p>
            <w:r>
              <w:rPr>
                <w:rFonts w:hint="eastAsia"/>
              </w:rPr>
              <w:t>3）雨水外排控制专项规划设计实施文件，应包括年径流总量控制率计算书、设计控制雨量计算书、场地雨水综合利用方案等。</w:t>
            </w:r>
          </w:p>
          <w:p/>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zYzNhMjI0YWU4MGU1YThkODFmYWMyMGIzNTYxNzQifQ=="/>
  </w:docVars>
  <w:rsids>
    <w:rsidRoot w:val="0059212D"/>
    <w:rsid w:val="00074A38"/>
    <w:rsid w:val="00085226"/>
    <w:rsid w:val="000E250D"/>
    <w:rsid w:val="00387B1D"/>
    <w:rsid w:val="00541896"/>
    <w:rsid w:val="0059212D"/>
    <w:rsid w:val="008060BF"/>
    <w:rsid w:val="0090411A"/>
    <w:rsid w:val="1A977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autoRedefine/>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autoRedefine/>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标题 4 Char"/>
    <w:basedOn w:val="8"/>
    <w:link w:val="3"/>
    <w:autoRedefine/>
    <w:qFormat/>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autoRedefine/>
    <w:qFormat/>
    <w:uiPriority w:val="1"/>
    <w:rPr>
      <w:rFonts w:eastAsiaTheme="minorEastAsia"/>
      <w:sz w:val="21"/>
    </w:rPr>
  </w:style>
  <w:style w:type="character" w:customStyle="1" w:styleId="15">
    <w:name w:val="标题 3 Char"/>
    <w:basedOn w:val="8"/>
    <w:link w:val="2"/>
    <w:autoRedefine/>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2F66056823042BCA0DE405C905D244E"/>
        <w:style w:val=""/>
        <w:category>
          <w:name w:val="常规"/>
          <w:gallery w:val="placeholder"/>
        </w:category>
        <w:types>
          <w:type w:val="bbPlcHdr"/>
        </w:types>
        <w:behaviors>
          <w:behavior w:val="content"/>
        </w:behaviors>
        <w:description w:val=""/>
        <w:guid w:val="{4F1EDB07-ACF4-4CC7-9B1F-6B124523D378}"/>
      </w:docPartPr>
      <w:docPartBody>
        <w:p>
          <w:pPr>
            <w:pStyle w:val="5"/>
          </w:pPr>
          <w:r>
            <w:rPr>
              <w:rStyle w:val="4"/>
              <w:rFonts w:hint="eastAsia"/>
            </w:rPr>
            <w:t>单击此处输入文字。</w:t>
          </w:r>
        </w:p>
      </w:docPartBody>
    </w:docPart>
    <w:docPart>
      <w:docPartPr>
        <w:name w:val="D3302F1DEF0C4A7EA55A25F6271A25A2"/>
        <w:style w:val=""/>
        <w:category>
          <w:name w:val="常规"/>
          <w:gallery w:val="placeholder"/>
        </w:category>
        <w:types>
          <w:type w:val="bbPlcHdr"/>
        </w:types>
        <w:behaviors>
          <w:behavior w:val="content"/>
        </w:behaviors>
        <w:description w:val=""/>
        <w:guid w:val="{490C2307-8F22-4C18-AFD6-42B1FA5E0B02}"/>
      </w:docPartPr>
      <w:docPartBody>
        <w:p>
          <w:pPr>
            <w:pStyle w:val="6"/>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9E"/>
    <w:rsid w:val="00575E9E"/>
    <w:rsid w:val="00592A5E"/>
    <w:rsid w:val="005F3C81"/>
    <w:rsid w:val="00687DEF"/>
    <w:rsid w:val="00C10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02F66056823042BCA0DE405C905D244E"/>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3302F1DEF0C4A7EA55A25F6271A25A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1ACA6A7833A41FCBE59C0E9F13164BD"/>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B33A175D736D48CBB331A5A7009E7E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77</Words>
  <Characters>442</Characters>
  <Lines>3</Lines>
  <Paragraphs>1</Paragraphs>
  <TotalTime>2</TotalTime>
  <ScaleCrop>false</ScaleCrop>
  <LinksUpToDate>false</LinksUpToDate>
  <CharactersWithSpaces>518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2019-07-12T08:16:00Z</dcterms:created>
  <dc:creator>dongYP</dc:creator>
  <cp:lastModifiedBy>Wu</cp:lastModifiedBy>
  <dcterms:modified xsi:type="dcterms:W3CDTF">2024-03-15T09:40:04Z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E9463B1E6B6D48C482D9D9D25C578D85_12</vt:lpwstr>
  </property>
</Properties>
</file>