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b w:val="0"/>
          <w:sz w:val="24"/>
          <w:szCs w:val="40"/>
        </w:rPr>
      </w:pPr>
      <w:r>
        <w:rPr>
          <w:rFonts w:hint="eastAsia"/>
          <w:sz w:val="24"/>
          <w:szCs w:val="40"/>
        </w:rPr>
        <w:t>8.2.7 建筑及照明设计避免产生光污染。（10分）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921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"/>
        <w:gridCol w:w="4962"/>
        <w:gridCol w:w="1701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  <w:jc w:val="center"/>
        </w:trPr>
        <w:tc>
          <w:tcPr>
            <w:tcW w:w="92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序号</w:t>
            </w:r>
          </w:p>
        </w:tc>
        <w:tc>
          <w:tcPr>
            <w:tcW w:w="4962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评价分值</w:t>
            </w:r>
          </w:p>
        </w:tc>
        <w:tc>
          <w:tcPr>
            <w:tcW w:w="1628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962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玻璃幕墙的可见光反射比及反射光对周边环境的影响符合《玻璃幕墙光热性能》GB/T 18091的规定</w:t>
            </w:r>
          </w:p>
        </w:tc>
        <w:tc>
          <w:tcPr>
            <w:tcW w:w="1701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100224614"/>
            <w:placeholder>
              <w:docPart w:val="E21A7FCE70CF43B69A8E5F20D76398B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2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kern w:val="0"/>
                <w:lang w:val="zh-CN"/>
              </w:rPr>
              <w:t>非玻璃幕墙建筑</w:t>
            </w:r>
          </w:p>
        </w:tc>
        <w:tc>
          <w:tcPr>
            <w:tcW w:w="1701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  <w:tc>
          <w:tcPr>
            <w:tcW w:w="1628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92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962" w:type="dxa"/>
            <w:vAlign w:val="center"/>
          </w:tcPr>
          <w:p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室外夜景照明光污染的限制符合现行国家标准《室外照明干扰光限制规范》GB/T 35626和现行行业标准《城市夜景照明设计规范》JGJ/T 163的规定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844518793"/>
            <w:placeholder>
              <w:docPart w:val="EBE320D7CEDD462E8959606215FADBB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5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5883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lang w:val="zh-CN"/>
              </w:rPr>
            </w:pPr>
            <w:r>
              <w:rPr>
                <w:rFonts w:ascii="Times New Roman" w:hAnsi="Times New Roman" w:cs="Times New Roman"/>
                <w:lang w:val="zh-CN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14491965"/>
            <w:placeholder>
              <w:docPart w:val="F49F6CE314E24B6E9744C6ACF6673830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628" w:type="dxa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lang w:val="zh-CN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r>
        <w:rPr>
          <w:rFonts w:hint="eastAsia"/>
        </w:rPr>
        <w:t>是否采用玻璃幕墙或镜面式铝合金装饰外墙：</w:t>
      </w:r>
      <w:sdt>
        <w:sdtPr>
          <w:id w:val="368810273"/>
        </w:sdtPr>
        <w:sdtContent>
          <w:sdt>
            <w:sdtPr>
              <w:id w:val="10748508"/>
            </w:sdtPr>
            <w:sdtContent>
              <w:sdt>
                <w:sdtPr>
                  <w:id w:val="-519396047"/>
                </w:sdtPr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1831824224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>
                      <w:rPr>
                        <w:rFonts w:hint="eastAsia"/>
                        <w:sz w:val="28"/>
                      </w:rPr>
                    </w:sdtEndPr>
                    <w:sdtContent>
                      <w:r>
                        <w:rPr>
                          <w:rFonts w:hint="eastAsia" w:ascii="Wingdings 2" w:hAnsi="Wingdings 2" w:eastAsiaTheme="minorEastAsia" w:cstheme="minorBidi"/>
                          <w:kern w:val="2"/>
                          <w:sz w:val="28"/>
                          <w:szCs w:val="22"/>
                          <w:lang w:val="en-US" w:eastAsia="zh-CN" w:bidi="ar-SA"/>
                        </w:rPr>
                        <w:t>R</w:t>
                      </w:r>
                    </w:sdtContent>
                  </w:sdt>
                </w:sdtContent>
              </w:sdt>
            </w:sdtContent>
          </w:sdt>
        </w:sdtContent>
      </w:sdt>
      <w:r>
        <w:rPr>
          <w:rFonts w:hint="eastAsia"/>
        </w:rPr>
        <w:t>是</w:t>
      </w:r>
      <w:sdt>
        <w:sdtPr>
          <w:id w:val="1037467397"/>
        </w:sdtPr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980216921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>
              <w:rPr>
                <w:rFonts w:hint="eastAsia"/>
                <w:sz w:val="28"/>
              </w:rPr>
            </w:sdtEndPr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</w:sdtContent>
      </w:sdt>
      <w:r>
        <w:rPr>
          <w:rFonts w:hint="eastAsia"/>
        </w:rPr>
        <w:t>否</w:t>
      </w:r>
    </w:p>
    <w:p>
      <w:r>
        <w:rPr>
          <w:rFonts w:hint="eastAsia"/>
        </w:rPr>
        <w:t>若采用，则其可见光反射比为：</w:t>
      </w:r>
      <w:r>
        <w:rPr>
          <w:rFonts w:hint="eastAsia"/>
          <w:u w:val="single"/>
        </w:rPr>
        <w:t xml:space="preserve"> </w:t>
      </w:r>
      <w:r>
        <w:rPr>
          <w:u w:val="single"/>
        </w:rPr>
        <w:t xml:space="preserve">         </w:t>
      </w:r>
      <w:r>
        <w:rPr>
          <w:rFonts w:hint="eastAsia"/>
        </w:rPr>
        <w:t>。</w:t>
      </w:r>
    </w:p>
    <w:p>
      <w:r>
        <w:rPr>
          <w:rFonts w:hint="eastAsia"/>
        </w:rPr>
        <w:t>室外夜景照明的光污染控制情况：</w:t>
      </w:r>
    </w:p>
    <w:tbl>
      <w:tblPr>
        <w:tblStyle w:val="6"/>
        <w:tblW w:w="4770" w:type="pct"/>
        <w:jc w:val="center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16"/>
        <w:gridCol w:w="2590"/>
        <w:gridCol w:w="832"/>
        <w:gridCol w:w="832"/>
        <w:gridCol w:w="832"/>
        <w:gridCol w:w="837"/>
      </w:tblGrid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1270" w:type="pct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照明技术参数</w:t>
            </w:r>
          </w:p>
        </w:tc>
        <w:tc>
          <w:tcPr>
            <w:tcW w:w="1631" w:type="pct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应用条件</w:t>
            </w:r>
          </w:p>
        </w:tc>
        <w:tc>
          <w:tcPr>
            <w:tcW w:w="2099" w:type="pct"/>
            <w:gridSpan w:val="4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环境区域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0" w:type="pct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1" w:type="pct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E1区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E2区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E3区</w:t>
            </w:r>
          </w:p>
        </w:tc>
        <w:tc>
          <w:tcPr>
            <w:tcW w:w="5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E4区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0" w:type="pct"/>
            <w:vMerge w:val="restar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垂直面照度（Ev）(lx)</w:t>
            </w:r>
          </w:p>
        </w:tc>
        <w:tc>
          <w:tcPr>
            <w:tcW w:w="163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熄灯时段前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5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25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0" w:type="pct"/>
            <w:vMerge w:val="continue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熄灯时段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5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0" w:type="pct"/>
            <w:vMerge w:val="restart"/>
            <w:tcBorders>
              <w:top w:val="single" w:color="333333" w:sz="6" w:space="0"/>
              <w:left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灯具发光强度I（cd）</w:t>
            </w:r>
          </w:p>
        </w:tc>
        <w:tc>
          <w:tcPr>
            <w:tcW w:w="1631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熄灯时段前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2500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7500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10000</w:t>
            </w:r>
          </w:p>
        </w:tc>
        <w:tc>
          <w:tcPr>
            <w:tcW w:w="527" w:type="pct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25000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0" w:type="pct"/>
            <w:vMerge w:val="continue"/>
            <w:tcBorders>
              <w:left w:val="single" w:color="333333" w:sz="6" w:space="0"/>
              <w:bottom w:val="single" w:color="auto" w:sz="4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1631" w:type="pct"/>
            <w:tcBorders>
              <w:top w:val="single" w:color="333333" w:sz="6" w:space="0"/>
              <w:left w:val="single" w:color="333333" w:sz="6" w:space="0"/>
              <w:bottom w:val="single" w:color="auto" w:sz="4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熄灯时段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auto" w:sz="4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auto" w:sz="4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500</w:t>
            </w:r>
          </w:p>
        </w:tc>
        <w:tc>
          <w:tcPr>
            <w:tcW w:w="524" w:type="pct"/>
            <w:tcBorders>
              <w:top w:val="single" w:color="333333" w:sz="6" w:space="0"/>
              <w:left w:val="single" w:color="333333" w:sz="6" w:space="0"/>
              <w:bottom w:val="single" w:color="auto" w:sz="4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1000</w:t>
            </w:r>
          </w:p>
        </w:tc>
        <w:tc>
          <w:tcPr>
            <w:tcW w:w="527" w:type="pct"/>
            <w:tcBorders>
              <w:top w:val="single" w:color="333333" w:sz="6" w:space="0"/>
              <w:left w:val="single" w:color="333333" w:sz="6" w:space="0"/>
              <w:bottom w:val="single" w:color="auto" w:sz="4" w:space="0"/>
              <w:right w:val="single" w:color="333333" w:sz="6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2500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上射光通比</w:t>
            </w:r>
          </w:p>
        </w:tc>
        <w:tc>
          <w:tcPr>
            <w:tcW w:w="1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灯具所处位置水平面以上的光通量与灯具总光通量之比（％）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15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25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建筑立面亮度Lb(cd/m2)</w:t>
            </w:r>
          </w:p>
        </w:tc>
        <w:tc>
          <w:tcPr>
            <w:tcW w:w="1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被照面平均亮度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0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25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2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标识亮度Ls(cd/m2)</w:t>
            </w:r>
          </w:p>
        </w:tc>
        <w:tc>
          <w:tcPr>
            <w:tcW w:w="16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外投光标识被照面平均亮度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50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400</w:t>
            </w:r>
          </w:p>
        </w:tc>
        <w:tc>
          <w:tcPr>
            <w:tcW w:w="5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800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1000</w:t>
            </w:r>
          </w:p>
        </w:tc>
      </w:tr>
    </w:tbl>
    <w:p>
      <w:r>
        <w:rPr>
          <w:rFonts w:hint="eastAsia"/>
        </w:rPr>
        <w:t>居住区和步行区夜景照明灯具的眩光限制值：</w:t>
      </w: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53"/>
        <w:gridCol w:w="1419"/>
        <w:gridCol w:w="1419"/>
        <w:gridCol w:w="19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3" w:type="dxa"/>
          </w:tcPr>
          <w:p>
            <w:pPr>
              <w:jc w:val="center"/>
            </w:pPr>
            <w:r>
              <w:rPr>
                <w:rFonts w:hint="eastAsia"/>
              </w:rPr>
              <w:t>安装高度(</w:t>
            </w:r>
            <w:r>
              <w:t>m)</w:t>
            </w:r>
          </w:p>
        </w:tc>
        <w:tc>
          <w:tcPr>
            <w:tcW w:w="1419" w:type="dxa"/>
          </w:tcPr>
          <w:p>
            <w:pPr>
              <w:jc w:val="center"/>
            </w:pPr>
            <w:r>
              <w:rPr>
                <w:rFonts w:hint="eastAsia"/>
              </w:rPr>
              <w:t>H≤4.5</w:t>
            </w:r>
          </w:p>
        </w:tc>
        <w:tc>
          <w:tcPr>
            <w:tcW w:w="1419" w:type="dxa"/>
          </w:tcPr>
          <w:p>
            <w:pPr>
              <w:jc w:val="center"/>
            </w:pPr>
            <w:r>
              <w:rPr>
                <w:rFonts w:hint="eastAsia"/>
              </w:rPr>
              <w:t>4.5＜H≤6</w:t>
            </w:r>
          </w:p>
        </w:tc>
        <w:tc>
          <w:tcPr>
            <w:tcW w:w="1971" w:type="dxa"/>
          </w:tcPr>
          <w:p>
            <w:pPr>
              <w:jc w:val="center"/>
            </w:pPr>
            <w:r>
              <w:rPr>
                <w:rFonts w:hint="eastAsia"/>
              </w:rPr>
              <w:t>H＞6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3" w:type="dxa"/>
          </w:tcPr>
          <w:p>
            <w:pPr>
              <w:jc w:val="center"/>
            </w:pPr>
            <w:r>
              <w:rPr>
                <w:rFonts w:hint="eastAsia"/>
              </w:rPr>
              <w:t>L与A</w:t>
            </w:r>
            <w:r>
              <w:rPr>
                <w:rFonts w:hint="eastAsia"/>
                <w:vertAlign w:val="superscript"/>
              </w:rPr>
              <w:t>0.5</w:t>
            </w:r>
            <w:r>
              <w:rPr>
                <w:rFonts w:hint="eastAsia"/>
              </w:rPr>
              <w:t>的乘积</w:t>
            </w:r>
          </w:p>
        </w:tc>
        <w:tc>
          <w:tcPr>
            <w:tcW w:w="1419" w:type="dxa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</w:pPr>
            <w:r>
              <w:rPr>
                <w:rFonts w:hint="eastAsia"/>
              </w:rPr>
              <w:t>LA</w:t>
            </w:r>
            <w:r>
              <w:rPr>
                <w:rFonts w:hint="eastAsia"/>
                <w:vertAlign w:val="superscript"/>
              </w:rPr>
              <w:t>0.5</w:t>
            </w:r>
            <w:r>
              <w:rPr>
                <w:rFonts w:hint="eastAsia"/>
              </w:rPr>
              <w:t>≤4000</w:t>
            </w:r>
          </w:p>
        </w:tc>
        <w:tc>
          <w:tcPr>
            <w:tcW w:w="1419" w:type="dxa"/>
          </w:tcPr>
          <w:p>
            <w:pPr>
              <w:jc w:val="center"/>
            </w:pPr>
            <w:r>
              <w:rPr>
                <w:rFonts w:hint="eastAsia"/>
              </w:rPr>
              <w:t>LA</w:t>
            </w:r>
            <w:r>
              <w:rPr>
                <w:rFonts w:hint="eastAsia"/>
                <w:vertAlign w:val="superscript"/>
              </w:rPr>
              <w:t>0.5</w:t>
            </w:r>
            <w:r>
              <w:rPr>
                <w:rFonts w:hint="eastAsia"/>
              </w:rPr>
              <w:t>≤5500</w:t>
            </w:r>
          </w:p>
        </w:tc>
        <w:tc>
          <w:tcPr>
            <w:tcW w:w="1971" w:type="dxa"/>
          </w:tcPr>
          <w:p>
            <w:pPr>
              <w:jc w:val="center"/>
            </w:pPr>
            <w:r>
              <w:rPr>
                <w:rFonts w:hint="eastAsia"/>
              </w:rPr>
              <w:t>LA</w:t>
            </w:r>
            <w:r>
              <w:rPr>
                <w:rFonts w:hint="eastAsia"/>
                <w:vertAlign w:val="superscript"/>
              </w:rPr>
              <w:t>0.5</w:t>
            </w:r>
            <w:r>
              <w:rPr>
                <w:rFonts w:hint="eastAsia"/>
              </w:rPr>
              <w:t>≤7000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53" w:type="dxa"/>
          </w:tcPr>
          <w:p>
            <w:pPr>
              <w:jc w:val="center"/>
            </w:pPr>
            <w:r>
              <w:rPr>
                <w:rFonts w:hint="eastAsia"/>
              </w:rPr>
              <w:t>项目情况</w:t>
            </w:r>
          </w:p>
        </w:tc>
        <w:tc>
          <w:tcPr>
            <w:tcW w:w="1419" w:type="dxa"/>
          </w:tcPr>
          <w:p>
            <w:pPr>
              <w:widowControl/>
              <w:adjustRightInd w:val="0"/>
              <w:snapToGrid w:val="0"/>
              <w:spacing w:line="360" w:lineRule="auto"/>
              <w:jc w:val="center"/>
            </w:pPr>
          </w:p>
        </w:tc>
        <w:tc>
          <w:tcPr>
            <w:tcW w:w="1419" w:type="dxa"/>
          </w:tcPr>
          <w:p>
            <w:pPr>
              <w:jc w:val="center"/>
            </w:pPr>
          </w:p>
        </w:tc>
        <w:tc>
          <w:tcPr>
            <w:tcW w:w="1971" w:type="dxa"/>
          </w:tcPr>
          <w:p>
            <w:pPr>
              <w:jc w:val="center"/>
            </w:pP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/>
        </w:rPr>
        <w:t>请简要说明建筑及照明设计控制光污染的措施。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本工程有采用玻璃幕墙，室外照明采用截光型灯具，无直射光射入空中，不会对周边</w:t>
            </w:r>
          </w:p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带来光污染。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室外有路灯，通过室外光污染分析，本项目夜景照明设施在建筑外表面产生的垂直照度、平均亮度、朝居室方向的发光强度、灯具的眩光限制值和上射光通比均符合现行行业标准《城市夜景照明设计规范》JGJ/T163的规定，本项目夜景照明的光线被严格控制在了被照区域内，减少了被照区域的溢散光，有效地避免产生光污染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r>
        <w:t>1</w:t>
      </w:r>
      <w:r>
        <w:rPr>
          <w:rFonts w:hint="eastAsia"/>
        </w:rPr>
        <w:t>）建筑专业竣工图纸及设计说明，应包括玻璃幕墙竣工图及说明；</w:t>
      </w:r>
    </w:p>
    <w:p>
      <w:r>
        <w:rPr>
          <w:rFonts w:hint="eastAsia"/>
        </w:rPr>
        <w:t>2）玻璃幕墙专项验收报告，包括玻璃幕墙光污染分析专项报告、玻璃的光学性能检验报告、玻璃进场复验报告；</w:t>
      </w:r>
    </w:p>
    <w:p>
      <w:pPr>
        <w:ind w:left="210" w:hanging="210" w:hangingChars="100"/>
      </w:pPr>
      <w:r>
        <w:rPr>
          <w:rFonts w:hint="eastAsia"/>
        </w:rPr>
        <w:t>3）室外夜景照明光污染分析报告；</w:t>
      </w:r>
    </w:p>
    <w:p>
      <w:pPr>
        <w:ind w:left="210" w:hanging="210" w:hangingChars="100"/>
      </w:pPr>
      <w:r>
        <w:rPr>
          <w:rFonts w:hint="eastAsia"/>
        </w:rPr>
        <w:t>4）灯具的光度检验报告、灯具进场复验报告；</w:t>
      </w:r>
    </w:p>
    <w:p>
      <w:pPr>
        <w:ind w:left="210" w:hanging="210" w:hangingChars="100"/>
      </w:pPr>
      <w:r>
        <w:rPr>
          <w:rFonts w:hint="eastAsia"/>
        </w:rPr>
        <w:t>5）照明设计方案，包括照明照度及功率密度计算；</w:t>
      </w:r>
    </w:p>
    <w:p>
      <w:pPr>
        <w:ind w:left="210" w:hanging="210" w:hangingChars="100"/>
      </w:pPr>
      <w:r>
        <w:rPr>
          <w:rFonts w:hint="eastAsia"/>
        </w:rPr>
        <w:t>6）泛光照明、景观照明竣工图纸及设计说明。</w:t>
      </w:r>
    </w:p>
    <w:p>
      <w:pPr>
        <w:ind w:left="210" w:hanging="210" w:hangingChars="100"/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建筑专业竣工图纸及设计说明，应包括玻璃幕墙竣工图及说明</w:t>
            </w:r>
          </w:p>
          <w:p>
            <w:pPr>
              <w:ind w:left="210" w:hanging="210" w:hangingChars="100"/>
              <w:rPr>
                <w:rFonts w:hint="eastAsia"/>
              </w:rPr>
            </w:pPr>
            <w:r>
              <w:rPr>
                <w:rFonts w:hint="eastAsia"/>
              </w:rPr>
              <w:t>室外夜景照明光污染分析报告；</w:t>
            </w:r>
          </w:p>
          <w:p>
            <w:r>
              <w:rPr>
                <w:rFonts w:hint="eastAsia"/>
              </w:rPr>
              <w:t>玻璃幕墙专项验收报告，包括玻璃幕墙光污染分析专项报告、玻璃的光学性能检验报告、玻璃进场复验报告；</w:t>
            </w:r>
          </w:p>
          <w:p>
            <w:pPr>
              <w:ind w:left="210" w:hanging="210" w:hangingChars="100"/>
              <w:rPr>
                <w:rFonts w:hint="eastAsia"/>
              </w:rPr>
            </w:pPr>
            <w:bookmarkStart w:id="0" w:name="_GoBack"/>
            <w:bookmarkEnd w:id="0"/>
          </w:p>
          <w:p>
            <w:pPr>
              <w:rPr>
                <w:rFonts w:hint="eastAsia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IzYzNhMjI0YWU4MGU1YThkODFmYWMyMGIzNTYxNzQifQ=="/>
  </w:docVars>
  <w:rsids>
    <w:rsidRoot w:val="00567447"/>
    <w:rsid w:val="00074A38"/>
    <w:rsid w:val="00082FB3"/>
    <w:rsid w:val="000A6109"/>
    <w:rsid w:val="00410E32"/>
    <w:rsid w:val="00567447"/>
    <w:rsid w:val="005A3A09"/>
    <w:rsid w:val="007F2368"/>
    <w:rsid w:val="00AA68AA"/>
    <w:rsid w:val="00C86FB9"/>
    <w:rsid w:val="00D453F0"/>
    <w:rsid w:val="00E66B50"/>
    <w:rsid w:val="00F50CB0"/>
    <w:rsid w:val="00F72F20"/>
    <w:rsid w:val="00FC712E"/>
    <w:rsid w:val="1DD37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autoRedefine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autoRedefine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autoRedefine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autoRedefine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autoRedefine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autoRedefine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E21A7FCE70CF43B69A8E5F20D76398B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B119181-E5FE-4D09-8AE9-AF668BA02A72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BE320D7CEDD462E8959606215FADBB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732F4AC-C912-47BE-B94C-353F49636050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49F6CE314E24B6E9744C6ACF667383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4CB8930-4B61-4CBF-9593-FC68E0338E88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BA4"/>
    <w:rsid w:val="000A5672"/>
    <w:rsid w:val="001D0BA4"/>
    <w:rsid w:val="00510E21"/>
    <w:rsid w:val="006678BB"/>
    <w:rsid w:val="00E47823"/>
    <w:rsid w:val="00E70C04"/>
    <w:rsid w:val="00F45DD6"/>
    <w:rsid w:val="00FB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autoRedefine/>
    <w:semiHidden/>
    <w:qFormat/>
    <w:uiPriority w:val="99"/>
    <w:rPr>
      <w:color w:val="808080"/>
    </w:rPr>
  </w:style>
  <w:style w:type="paragraph" w:customStyle="1" w:styleId="5">
    <w:name w:val="E21A7FCE70CF43B69A8E5F20D76398B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EBE320D7CEDD462E8959606215FADBB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F49F6CE314E24B6E9744C6ACF667383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B48EF286C440494E948B98C10C8D414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7C6A927A65D5421896D77E41D1537C6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B41186976EC4473C8EFABDC51F192EC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171</Words>
  <Characters>976</Characters>
  <Lines>8</Lines>
  <Paragraphs>2</Paragraphs>
  <TotalTime>1</TotalTime>
  <ScaleCrop>false</ScaleCrop>
  <LinksUpToDate>false</LinksUpToDate>
  <CharactersWithSpaces>1145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2019-07-12T08:17:00Z</dcterms:created>
  <dc:creator>dongYP</dc:creator>
  <cp:lastModifiedBy>Wu</cp:lastModifiedBy>
  <dcterms:modified xsi:type="dcterms:W3CDTF">2024-03-15T09:19:03Z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F1F804480E754572B89BB397DC0DF6E5_12</vt:lpwstr>
  </property>
</Properties>
</file>